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92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March 31, 2014</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April 30, 2014 was 32,680,405.</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360" w:type="dxa"/>
            <w:vAlign w:val="bottom"/>
            <w:tcBorders>
              <w:bottom w:val="single" w:sz="8" w:color="0000FF"/>
            </w:tcBorders>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March 31, 2014 and December 31, 2013</w:t>
              </w:r>
            </w:hyperlink>
          </w:p>
        </w:tc>
        <w:tc>
          <w:tcPr>
            <w:tcW w:w="3340" w:type="dxa"/>
            <w:vAlign w:val="bottom"/>
            <w:gridSpan w:val="5"/>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for the three months ended March 31, 2014 and 2013</w:t>
              </w:r>
            </w:hyperlink>
          </w:p>
        </w:tc>
        <w:tc>
          <w:tcPr>
            <w:tcW w:w="80" w:type="dxa"/>
            <w:vAlign w:val="bottom"/>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Condensed Consolidated Statements of Comprehensive Income for the three months ended March 31, 2014 and </w:t>
              </w:r>
            </w:hyperlink>
            <w:r>
              <w:rPr>
                <w:rFonts w:ascii="Arial" w:cs="Arial" w:eastAsia="Arial" w:hAnsi="Arial"/>
                <w:sz w:val="16"/>
                <w:szCs w:val="16"/>
                <w:color w:val="0000FF"/>
              </w:rPr>
              <w:t>2013</w:t>
            </w:r>
          </w:p>
        </w:tc>
        <w:tc>
          <w:tcPr>
            <w:tcW w:w="80" w:type="dxa"/>
            <w:vAlign w:val="bottom"/>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500" w:type="dxa"/>
            <w:vAlign w:val="bottom"/>
            <w:tcBorders>
              <w:top w:val="single" w:sz="8" w:color="0000FF"/>
            </w:tcBorders>
            <w:gridSpan w:val="17"/>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 for the three months ended March 31, 2014 and 2013</w:t>
              </w:r>
            </w:hyperlink>
          </w:p>
        </w:tc>
        <w:tc>
          <w:tcPr>
            <w:tcW w:w="1200" w:type="dxa"/>
            <w:vAlign w:val="bottom"/>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640" w:type="dxa"/>
            <w:vAlign w:val="bottom"/>
            <w:tcBorders>
              <w:top w:val="single" w:sz="8" w:color="0000FF"/>
            </w:tcBorders>
            <w:gridSpan w:val="16"/>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2060" w:type="dxa"/>
            <w:vAlign w:val="bottom"/>
            <w:gridSpan w:val="2"/>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4"/>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4"/>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2">
              <w:r>
                <w:rPr>
                  <w:rFonts w:ascii="Arial" w:cs="Arial" w:eastAsia="Arial" w:hAnsi="Arial"/>
                  <w:sz w:val="16"/>
                  <w:szCs w:val="16"/>
                  <w:color w:val="0000FF"/>
                  <w:w w:val="89"/>
                </w:rPr>
                <w:t>22</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35</w:t>
              </w:r>
            </w:hyperlink>
          </w:p>
        </w:tc>
        <w:tc>
          <w:tcPr>
            <w:tcW w:w="200" w:type="dxa"/>
            <w:vAlign w:val="bottom"/>
          </w:tcPr>
          <w:p>
            <w:pPr>
              <w:spacing w:after="0"/>
              <w:rPr>
                <w:sz w:val="19"/>
                <w:szCs w:val="19"/>
                <w:color w:val="auto"/>
              </w:rPr>
            </w:pPr>
          </w:p>
        </w:tc>
      </w:tr>
      <w:tr>
        <w:trPr>
          <w:trHeight w:val="258"/>
        </w:trPr>
        <w:tc>
          <w:tcPr>
            <w:tcW w:w="114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36</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58">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58">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59</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83"/>
        </w:trPr>
        <w:tc>
          <w:tcPr>
            <w:tcW w:w="7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42,369</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57,312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54,827</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$380 and $389 at March 31, 2014 and December 31, 2013, respectively</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4,679</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131,884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130,456</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39,387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35,608</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23,075</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2,296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192,603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9,037</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Deferred revenues, current</w:t>
            </w:r>
          </w:p>
        </w:tc>
        <w:tc>
          <w:tcPr>
            <w:tcW w:w="2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71,410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67,505</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lease obligations, current</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50"/>
        </w:trPr>
        <w:tc>
          <w:tcPr>
            <w:tcW w:w="76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82,410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79,277</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92,710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89,486</w:t>
            </w: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6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60" w:type="dxa"/>
            <w:vAlign w:val="bottom"/>
          </w:tcPr>
          <w:p>
            <w:pPr>
              <w:ind w:left="280"/>
              <w:spacing w:after="0"/>
              <w:rPr>
                <w:sz w:val="20"/>
                <w:szCs w:val="20"/>
                <w:color w:val="auto"/>
              </w:rPr>
            </w:pPr>
            <w:r>
              <w:rPr>
                <w:rFonts w:ascii="Arial" w:cs="Arial" w:eastAsia="Arial" w:hAnsi="Arial"/>
                <w:sz w:val="14"/>
                <w:szCs w:val="14"/>
                <w:color w:val="auto"/>
              </w:rPr>
              <w:t>2014 and December 31, 2013</w:t>
            </w:r>
          </w:p>
        </w:tc>
        <w:tc>
          <w:tcPr>
            <w:tcW w:w="260" w:type="dxa"/>
            <w:vAlign w:val="bottom"/>
          </w:tcPr>
          <w:p>
            <w:pPr>
              <w:spacing w:after="0"/>
              <w:rPr>
                <w:sz w:val="15"/>
                <w:szCs w:val="15"/>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32,633,969 and 32,375,299 shares issued and</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March 31, 2014 and December 31, 2013, respectively</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180,069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176,641</w:t>
            </w:r>
          </w:p>
        </w:tc>
        <w:tc>
          <w:tcPr>
            <w:tcW w:w="0" w:type="dxa"/>
            <w:vAlign w:val="bottom"/>
          </w:tcPr>
          <w:p>
            <w:pPr>
              <w:spacing w:after="0"/>
              <w:rPr>
                <w:sz w:val="1"/>
                <w:szCs w:val="1"/>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(72,908)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(72,468)</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106,127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103,117</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198,837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192,603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24,883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5,795</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19,088</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5,297</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10,168</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3,896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23,771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19,361</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provision for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Net loss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loss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32,516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31,494</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32,516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31,494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3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r>
      <w:tr>
        <w:trPr>
          <w:trHeight w:val="276"/>
        </w:trPr>
        <w:tc>
          <w:tcPr>
            <w:tcW w:w="85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Change in foreign currency translation gain (loss), net of zero tax</w:t>
            </w:r>
          </w:p>
        </w:tc>
        <w:tc>
          <w:tcPr>
            <w:tcW w:w="90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Change in net unrealized gain on investments, net of zero tax</w:t>
            </w:r>
          </w:p>
        </w:tc>
        <w:tc>
          <w:tcPr>
            <w:tcW w:w="90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loss</w:t>
            </w:r>
          </w:p>
        </w:tc>
        <w:tc>
          <w:tcPr>
            <w:tcW w:w="9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zero tax</w:t>
            </w: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900" w:type="dxa"/>
            <w:vAlign w:val="bottom"/>
            <w:tcBorders>
              <w:bottom w:val="single" w:sz="8" w:color="231F20"/>
            </w:tcBorders>
            <w:shd w:val="clear" w:color="auto" w:fill="CCEEFF"/>
          </w:tcPr>
          <w:p>
            <w:pPr>
              <w:spacing w:after="0"/>
              <w:rPr>
                <w:sz w:val="21"/>
                <w:szCs w:val="21"/>
                <w:color w:val="auto"/>
              </w:rPr>
            </w:pPr>
          </w:p>
        </w:tc>
        <w:tc>
          <w:tcPr>
            <w:tcW w:w="4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231F20"/>
            </w:tcBorders>
            <w:shd w:val="clear" w:color="auto" w:fill="CCEEFF"/>
          </w:tcPr>
          <w:p>
            <w:pPr>
              <w:spacing w:after="0"/>
              <w:rPr>
                <w:sz w:val="21"/>
                <w:szCs w:val="21"/>
                <w:color w:val="auto"/>
              </w:rPr>
            </w:pPr>
          </w:p>
        </w:tc>
        <w:tc>
          <w:tcPr>
            <w:tcW w:w="4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43"/>
        </w:trPr>
        <w:tc>
          <w:tcPr>
            <w:tcW w:w="858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084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2,805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2,119</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Bad debt expense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Loss on disposal of property and equipment</w:t>
            </w:r>
          </w:p>
        </w:tc>
        <w:tc>
          <w:tcPr>
            <w:tcW w:w="9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949</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9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8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 of premiums on investments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r>
      <w:tr>
        <w:trPr>
          <w:trHeight w:val="264"/>
        </w:trPr>
        <w:tc>
          <w:tcPr>
            <w:tcW w:w="8080" w:type="dxa"/>
            <w:vAlign w:val="bottom"/>
          </w:tcPr>
          <w:p>
            <w:pPr>
              <w:ind w:left="48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5,469</w:t>
            </w:r>
          </w:p>
        </w:tc>
      </w:tr>
      <w:tr>
        <w:trPr>
          <w:trHeight w:val="264"/>
        </w:trPr>
        <w:tc>
          <w:tcPr>
            <w:tcW w:w="8080" w:type="dxa"/>
            <w:vAlign w:val="bottom"/>
          </w:tcPr>
          <w:p>
            <w:pPr>
              <w:ind w:left="70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354</w:t>
            </w: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264"/>
        </w:trPr>
        <w:tc>
          <w:tcPr>
            <w:tcW w:w="8080" w:type="dxa"/>
            <w:vAlign w:val="bottom"/>
          </w:tcPr>
          <w:p>
            <w:pPr>
              <w:ind w:left="700"/>
              <w:spacing w:after="0"/>
              <w:rPr>
                <w:sz w:val="20"/>
                <w:szCs w:val="20"/>
                <w:color w:val="auto"/>
              </w:rPr>
            </w:pPr>
            <w:r>
              <w:rPr>
                <w:rFonts w:ascii="Arial" w:cs="Arial" w:eastAsia="Arial" w:hAnsi="Arial"/>
                <w:sz w:val="14"/>
                <w:szCs w:val="14"/>
                <w:color w:val="auto"/>
              </w:rPr>
              <w:t>Accrued liabilities</w:t>
            </w:r>
          </w:p>
        </w:tc>
        <w:tc>
          <w:tcPr>
            <w:tcW w:w="9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826</w:t>
            </w:r>
          </w:p>
        </w:tc>
      </w:tr>
      <w:tr>
        <w:trPr>
          <w:trHeight w:val="276"/>
        </w:trPr>
        <w:tc>
          <w:tcPr>
            <w:tcW w:w="80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Deferred revenues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w:t>
            </w:r>
          </w:p>
        </w:tc>
      </w:tr>
      <w:tr>
        <w:trPr>
          <w:trHeight w:val="264"/>
        </w:trPr>
        <w:tc>
          <w:tcPr>
            <w:tcW w:w="808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Other noncurrent liabilities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r>
      <w:tr>
        <w:trPr>
          <w:trHeight w:val="256"/>
        </w:trPr>
        <w:tc>
          <w:tcPr>
            <w:tcW w:w="8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15,075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10,059</w:t>
            </w:r>
          </w:p>
        </w:tc>
      </w:tr>
      <w:tr>
        <w:trPr>
          <w:trHeight w:val="258"/>
        </w:trPr>
        <w:tc>
          <w:tcPr>
            <w:tcW w:w="80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investments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(47,451)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(59,916)</w:t>
            </w: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Sales and maturities of investments</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41,062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65,309</w:t>
            </w:r>
          </w:p>
        </w:tc>
      </w:tr>
      <w:tr>
        <w:trPr>
          <w:trHeight w:val="270"/>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(3,650)</w:t>
            </w:r>
          </w:p>
        </w:tc>
      </w:tr>
      <w:tr>
        <w:trPr>
          <w:trHeight w:val="250"/>
        </w:trPr>
        <w:tc>
          <w:tcPr>
            <w:tcW w:w="80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(10,167)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1,743</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818</w:t>
            </w:r>
          </w:p>
        </w:tc>
      </w:tr>
      <w:tr>
        <w:trPr>
          <w:trHeight w:val="276"/>
        </w:trPr>
        <w:tc>
          <w:tcPr>
            <w:tcW w:w="8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 benefits from exercise of stock options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80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Principal payments under capital lease obligations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r>
      <w:tr>
        <w:trPr>
          <w:trHeight w:val="250"/>
        </w:trPr>
        <w:tc>
          <w:tcPr>
            <w:tcW w:w="8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r>
      <w:tr>
        <w:trPr>
          <w:trHeight w:val="25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5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12,220</w:t>
            </w:r>
          </w:p>
        </w:tc>
      </w:tr>
      <w:tr>
        <w:trPr>
          <w:trHeight w:val="26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42,369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34,885</w:t>
            </w: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47,105</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8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58"/>
        </w:trPr>
        <w:tc>
          <w:tcPr>
            <w:tcW w:w="8080" w:type="dxa"/>
            <w:vAlign w:val="bottom"/>
          </w:tcPr>
          <w:p>
            <w:pPr>
              <w:ind w:left="260"/>
              <w:spacing w:after="0"/>
              <w:rPr>
                <w:sz w:val="20"/>
                <w:szCs w:val="20"/>
                <w:color w:val="auto"/>
              </w:rPr>
            </w:pPr>
            <w:r>
              <w:rPr>
                <w:rFonts w:ascii="Arial" w:cs="Arial" w:eastAsia="Arial" w:hAnsi="Arial"/>
                <w:sz w:val="14"/>
                <w:szCs w:val="14"/>
                <w:color w:val="auto"/>
              </w:rPr>
              <w:t>Vesting of early exercised common stock options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80</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1"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0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2013</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months ended March 31, 2014 is not necessarily indicative of the results of operations expected for the entire year ending December 31, 2014 or for any other future annual or interim period. These condensed consolidated financial statements should be read in conjunction with the consolidated financial statements and related notes included in the Company’s Annual Report on Form 10-K for the year ended December 31, 2013 filed with the SEC on February 28, 2014.</w:t>
      </w:r>
    </w:p>
    <w:p>
      <w:pPr>
        <w:spacing w:after="0" w:line="21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231F20"/>
        </w:rPr>
        <w:t>Certain prior year amounts have been reclassified to conform to the current year presentation. These reclassifications did not change previously reported total assets, liabilities, stockholders' equity, income from operations or net income.</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 owned subsidiaries. All significant intercompany transactions and balances have been eliminated upon consolidation.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valuation allowances associated with deferred tax assets.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Actual results could differ from those estimates and such differences may be material to the accompanying condensed consolidated financial statements.</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310"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March 31, 2014</w:t>
      </w:r>
      <w:r>
        <w:rPr>
          <w:rFonts w:ascii="Arial" w:cs="Arial" w:eastAsia="Arial" w:hAnsi="Arial"/>
          <w:sz w:val="18"/>
          <w:szCs w:val="18"/>
          <w:color w:val="231F20"/>
        </w:rPr>
        <w:t xml:space="preserve"> , one channel partner accounted for 12% of the Company's accounts receivable balance. As of </w:t>
      </w:r>
      <w:r>
        <w:rPr>
          <w:rFonts w:ascii="Arial" w:cs="Arial" w:eastAsia="Arial" w:hAnsi="Arial"/>
          <w:sz w:val="18"/>
          <w:szCs w:val="18"/>
          <w:color w:val="000000"/>
        </w:rPr>
        <w:t>December 31, 2013</w:t>
      </w:r>
      <w:r>
        <w:rPr>
          <w:rFonts w:ascii="Arial" w:cs="Arial" w:eastAsia="Arial" w:hAnsi="Arial"/>
          <w:sz w:val="18"/>
          <w:szCs w:val="18"/>
          <w:color w:val="231F20"/>
        </w:rPr>
        <w:t>,</w:t>
      </w:r>
      <w:r>
        <w:rPr>
          <w:rFonts w:ascii="Arial" w:cs="Arial" w:eastAsia="Arial" w:hAnsi="Arial"/>
          <w:sz w:val="18"/>
          <w:szCs w:val="18"/>
          <w:color w:val="000000"/>
        </w:rPr>
        <w:t xml:space="preserve"> no </w:t>
      </w:r>
      <w:r>
        <w:rPr>
          <w:rFonts w:ascii="Arial" w:cs="Arial" w:eastAsia="Arial" w:hAnsi="Arial"/>
          <w:sz w:val="18"/>
          <w:szCs w:val="18"/>
          <w:color w:val="231F20"/>
        </w:rPr>
        <w:t>customer or channel partner accounted for more than 10% of the Company's accounts receivable balance.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commercial paper and corporate bonds,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municipal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31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2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and liabilities include </w:t>
      </w:r>
      <w:r>
        <w:rPr>
          <w:rFonts w:ascii="Arial" w:cs="Arial" w:eastAsia="Arial" w:hAnsi="Arial"/>
          <w:sz w:val="18"/>
          <w:szCs w:val="18"/>
          <w:color w:val="000000"/>
        </w:rPr>
        <w:t>fixed-income U.S. government agency securities, commercial paper, corporate bonds, municipal bonds and asset</w:t>
      </w:r>
      <w:r>
        <w:rPr>
          <w:rFonts w:ascii="Arial" w:cs="Arial" w:eastAsia="Arial" w:hAnsi="Arial"/>
          <w:sz w:val="18"/>
          <w:szCs w:val="18"/>
          <w:color w:val="231F20"/>
        </w:rPr>
        <w:t xml:space="preserve"> </w:t>
      </w:r>
      <w:r>
        <w:rPr>
          <w:rFonts w:ascii="Arial" w:cs="Arial" w:eastAsia="Arial" w:hAnsi="Arial"/>
          <w:sz w:val="18"/>
          <w:szCs w:val="18"/>
          <w:color w:val="000000"/>
        </w:rPr>
        <w:t xml:space="preserve">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w:t>
      </w:r>
      <w:r>
        <w:rPr>
          <w:rFonts w:ascii="Arial" w:cs="Arial" w:eastAsia="Arial" w:hAnsi="Arial"/>
          <w:sz w:val="18"/>
          <w:szCs w:val="18"/>
          <w:color w:val="000000"/>
        </w:rPr>
        <w:t xml:space="preserve"> </w:t>
      </w:r>
      <w:r>
        <w:rPr>
          <w:rFonts w:ascii="Arial" w:cs="Arial" w:eastAsia="Arial" w:hAnsi="Arial"/>
          <w:sz w:val="18"/>
          <w:szCs w:val="18"/>
          <w:color w:val="231F20"/>
        </w:rPr>
        <w:t>currency forward contracts are valued usi</w:t>
      </w:r>
      <w:r>
        <w:rPr>
          <w:rFonts w:ascii="Arial" w:cs="Arial" w:eastAsia="Arial" w:hAnsi="Arial"/>
          <w:sz w:val="18"/>
          <w:szCs w:val="18"/>
          <w:color w:val="000000"/>
        </w:rPr>
        <w:t>ng observable inputs, such as quotations on forward foreign exchange points and foreign interest</w:t>
      </w:r>
      <w:r>
        <w:rPr>
          <w:rFonts w:ascii="Arial" w:cs="Arial" w:eastAsia="Arial" w:hAnsi="Arial"/>
          <w:sz w:val="18"/>
          <w:szCs w:val="18"/>
          <w:color w:val="231F20"/>
        </w:rPr>
        <w:t xml:space="preserve"> </w:t>
      </w:r>
      <w:r>
        <w:rPr>
          <w:rFonts w:ascii="Arial" w:cs="Arial" w:eastAsia="Arial" w:hAnsi="Arial"/>
          <w:sz w:val="18"/>
          <w:szCs w:val="18"/>
          <w:color w:val="000000"/>
        </w:rPr>
        <w:t>rates.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41" w:right="29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long-term investments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March 31, 2014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29,594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29,594</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15,599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15,599</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1,537</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48,296</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22,974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22,981</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29,921</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4,410</w:t>
            </w:r>
          </w:p>
        </w:tc>
      </w:tr>
      <w:tr>
        <w:trPr>
          <w:trHeight w:val="257"/>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57,284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57,312</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17,921</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14,305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14,310</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7,156</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39,365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39,387</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144,945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144,995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27,488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27,488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14,698</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42,369</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32,790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16,905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54,827</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15,274</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14,833</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35,608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132,766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March 31, 2014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38,580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38,580</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17,921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17,921</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45,768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45,768</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11,566</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11,566</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113,835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113,835</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8"/>
        </w:trPr>
        <w:tc>
          <w:tcPr>
            <w:tcW w:w="47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2013</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5,501</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32,179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32,179</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Municipal bonds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18,837</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18,837</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tcPr>
          <w:p>
            <w:pPr>
              <w:jc w:val="right"/>
              <w:ind w:right="996"/>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105,133</w:t>
            </w:r>
          </w:p>
        </w:tc>
        <w:tc>
          <w:tcPr>
            <w:tcW w:w="100" w:type="dxa"/>
            <w:vAlign w:val="bottom"/>
          </w:tcPr>
          <w:p>
            <w:pPr>
              <w:spacing w:after="0"/>
              <w:rPr>
                <w:sz w:val="20"/>
                <w:szCs w:val="20"/>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4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March 31, 2014</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Two Years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38,580</w:t>
            </w:r>
          </w:p>
        </w:tc>
      </w:tr>
      <w:tr>
        <w:trPr>
          <w:trHeight w:val="26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Corporate bonds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31,458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14,310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45,768</w:t>
            </w:r>
          </w:p>
        </w:tc>
      </w:tr>
      <w:tr>
        <w:trPr>
          <w:trHeight w:val="28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11,566</w:t>
            </w: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Asset backed securities</w:t>
            </w:r>
          </w:p>
        </w:tc>
        <w:tc>
          <w:tcPr>
            <w:tcW w:w="6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16,820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17,921</w:t>
            </w:r>
          </w:p>
        </w:tc>
      </w:tr>
      <w:tr>
        <w:trPr>
          <w:trHeight w:val="240"/>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113,835</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6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Two Years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Municipal bonds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28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32,179</w:t>
            </w:r>
          </w:p>
        </w:tc>
      </w:tr>
      <w:tr>
        <w:trPr>
          <w:trHeight w:val="26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14,833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18,837</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 backed securities</w:t>
            </w: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69,525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30,107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The Company does not enter into derivative financial instruments for trading or speculative purposes.</w:t>
      </w:r>
    </w:p>
    <w:p>
      <w:pPr>
        <w:spacing w:after="0" w:line="20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22222"/>
        </w:rPr>
        <w:t xml:space="preserve">At March 31, 2014, the Company had two outstanding forward contracts with notional amounts of 4.7 million Euros and 1.8 million British Pounds, both of which expired on April 30, 2014. At December 31, 2013, the Company had two outstanding forward contract with a notional amount of 6.3 million Euros and 2.0 million British Pounds, which expired on January 31, 2014. These </w:t>
      </w:r>
      <w:r>
        <w:rPr>
          <w:rFonts w:ascii="Arial" w:cs="Arial" w:eastAsia="Arial" w:hAnsi="Arial"/>
          <w:sz w:val="18"/>
          <w:szCs w:val="18"/>
          <w:color w:val="231F20"/>
        </w:rPr>
        <w:t>forward contracts were entered into at</w:t>
      </w:r>
      <w:r>
        <w:rPr>
          <w:rFonts w:ascii="Arial" w:cs="Arial" w:eastAsia="Arial" w:hAnsi="Arial"/>
          <w:sz w:val="18"/>
          <w:szCs w:val="18"/>
          <w:color w:val="222222"/>
        </w:rPr>
        <w:t xml:space="preserve"> </w:t>
      </w:r>
      <w:r>
        <w:rPr>
          <w:rFonts w:ascii="Arial" w:cs="Arial" w:eastAsia="Arial" w:hAnsi="Arial"/>
          <w:sz w:val="18"/>
          <w:szCs w:val="18"/>
          <w:color w:val="231F20"/>
        </w:rPr>
        <w:t xml:space="preserve">the end of 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March 31, 2014</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2013</w:t>
      </w:r>
      <w:r>
        <w:rPr>
          <w:rFonts w:ascii="Arial" w:cs="Arial" w:eastAsia="Arial" w:hAnsi="Arial"/>
          <w:sz w:val="18"/>
          <w:szCs w:val="18"/>
          <w:color w:val="222222"/>
        </w:rPr>
        <w:t>.</w:t>
      </w:r>
      <w:r>
        <w:rPr>
          <w:rFonts w:ascii="Arial" w:cs="Arial" w:eastAsia="Arial" w:hAnsi="Arial"/>
          <w:sz w:val="18"/>
          <w:szCs w:val="18"/>
          <w:color w:val="231F20"/>
        </w:rPr>
        <w:t xml:space="preserve"> In the three months ended March 31, 2014, the Company recorded a loss of $0.2 million from these contracts, which was partially offset by foreign currency transaction gains of $0.1 million for the quarter. In the three months ended March 31, 2013, the Company recorded a loss of $0.1 million from these contracts, in addition to other foreign currency transaction losses of $0.2 million. These derivatives did not meet the criteria to be designated as hedges. These instruments were valued using Level 2 inputs.</w:t>
      </w:r>
    </w:p>
    <w:p>
      <w:pPr>
        <w:spacing w:after="0" w:line="206"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auto"/>
        </w:rPr>
        <w:t>There were no significant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47"/>
        </w:trPr>
        <w:tc>
          <w:tcPr>
            <w:tcW w:w="7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30,107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27,464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9,310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9,277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17,826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17,055</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57,927</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(34,852)</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24,169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231F20"/>
        </w:rPr>
        <w:t xml:space="preserve">Assets held under capital lease included in computer software at </w:t>
      </w:r>
      <w:r>
        <w:rPr>
          <w:rFonts w:ascii="Arial" w:cs="Arial" w:eastAsia="Arial" w:hAnsi="Arial"/>
          <w:sz w:val="18"/>
          <w:szCs w:val="18"/>
          <w:color w:val="000000"/>
        </w:rPr>
        <w:t>March 31, 2014</w:t>
      </w:r>
      <w:r>
        <w:rPr>
          <w:rFonts w:ascii="Arial" w:cs="Arial" w:eastAsia="Arial" w:hAnsi="Arial"/>
          <w:sz w:val="18"/>
          <w:szCs w:val="18"/>
          <w:color w:val="231F20"/>
        </w:rPr>
        <w:t xml:space="preserve"> and December 31, 2013 totaled approximately </w:t>
      </w:r>
      <w:r>
        <w:rPr>
          <w:rFonts w:ascii="Arial" w:cs="Arial" w:eastAsia="Arial" w:hAnsi="Arial"/>
          <w:sz w:val="18"/>
          <w:szCs w:val="18"/>
          <w:color w:val="000000"/>
        </w:rPr>
        <w:t>$3.1</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The related accumulated depreciation at</w:t>
      </w:r>
      <w:r>
        <w:rPr>
          <w:rFonts w:ascii="Arial" w:cs="Arial" w:eastAsia="Arial" w:hAnsi="Arial"/>
          <w:sz w:val="18"/>
          <w:szCs w:val="18"/>
          <w:color w:val="000000"/>
        </w:rPr>
        <w:t xml:space="preserve"> March 31, 2014 </w:t>
      </w:r>
      <w:r>
        <w:rPr>
          <w:rFonts w:ascii="Arial" w:cs="Arial" w:eastAsia="Arial" w:hAnsi="Arial"/>
          <w:sz w:val="18"/>
          <w:szCs w:val="18"/>
          <w:color w:val="231F20"/>
        </w:rPr>
        <w:t>and December 31, 2013 totaled $1.3 million and</w:t>
      </w:r>
      <w:r>
        <w:rPr>
          <w:rFonts w:ascii="Arial" w:cs="Arial" w:eastAsia="Arial" w:hAnsi="Arial"/>
          <w:sz w:val="18"/>
          <w:szCs w:val="18"/>
          <w:color w:val="000000"/>
        </w:rPr>
        <w:t xml:space="preserve"> $1.2 million</w:t>
      </w:r>
      <w:r>
        <w:rPr>
          <w:rFonts w:ascii="Arial" w:cs="Arial" w:eastAsia="Arial" w:hAnsi="Arial"/>
          <w:sz w:val="18"/>
          <w:szCs w:val="18"/>
          <w:color w:val="231F20"/>
        </w:rPr>
        <w:t>, respectively.</w:t>
      </w:r>
      <w:r>
        <w:rPr>
          <w:rFonts w:ascii="Arial" w:cs="Arial" w:eastAsia="Arial" w:hAnsi="Arial"/>
          <w:sz w:val="18"/>
          <w:szCs w:val="18"/>
          <w:color w:val="000000"/>
        </w:rPr>
        <w:t xml:space="preserve"> </w:t>
      </w:r>
      <w:r>
        <w:rPr>
          <w:rFonts w:ascii="Arial" w:cs="Arial" w:eastAsia="Arial" w:hAnsi="Arial"/>
          <w:sz w:val="18"/>
          <w:szCs w:val="18"/>
          <w:color w:val="231F20"/>
        </w:rPr>
        <w:t>The capital lease obligations are secured by the related software.</w:t>
      </w:r>
    </w:p>
    <w:p>
      <w:pPr>
        <w:spacing w:after="0" w:line="25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$ 5.3</w:t>
      </w:r>
      <w:r>
        <w:rPr>
          <w:rFonts w:ascii="Arial" w:cs="Arial" w:eastAsia="Arial" w:hAnsi="Arial"/>
          <w:sz w:val="18"/>
          <w:szCs w:val="18"/>
          <w:color w:val="231F20"/>
        </w:rPr>
        <w:t xml:space="preserve"> million and </w:t>
      </w:r>
      <w:r>
        <w:rPr>
          <w:rFonts w:ascii="Arial" w:cs="Arial" w:eastAsia="Arial" w:hAnsi="Arial"/>
          <w:sz w:val="18"/>
          <w:szCs w:val="18"/>
          <w:color w:val="000000"/>
        </w:rPr>
        <w:t>$ 4.7</w:t>
      </w:r>
      <w:r>
        <w:rPr>
          <w:rFonts w:ascii="Arial" w:cs="Arial" w:eastAsia="Arial" w:hAnsi="Arial"/>
          <w:sz w:val="18"/>
          <w:szCs w:val="18"/>
          <w:color w:val="231F20"/>
        </w:rPr>
        <w:t xml:space="preserve"> million at </w:t>
      </w:r>
      <w:r>
        <w:rPr>
          <w:rFonts w:ascii="Arial" w:cs="Arial" w:eastAsia="Arial" w:hAnsi="Arial"/>
          <w:sz w:val="18"/>
          <w:szCs w:val="18"/>
          <w:color w:val="000000"/>
        </w:rPr>
        <w:t>March 31, 2014</w:t>
      </w:r>
      <w:r>
        <w:rPr>
          <w:rFonts w:ascii="Arial" w:cs="Arial" w:eastAsia="Arial" w:hAnsi="Arial"/>
          <w:sz w:val="18"/>
          <w:szCs w:val="18"/>
          <w:color w:val="231F20"/>
        </w:rPr>
        <w:t xml:space="preserve"> and December 31, 2013, respectively, including assets that have not been placed in service of </w:t>
      </w:r>
      <w:r>
        <w:rPr>
          <w:rFonts w:ascii="Arial" w:cs="Arial" w:eastAsia="Arial" w:hAnsi="Arial"/>
          <w:sz w:val="18"/>
          <w:szCs w:val="18"/>
          <w:color w:val="000000"/>
        </w:rPr>
        <w:t>$1.0</w:t>
      </w:r>
      <w:r>
        <w:rPr>
          <w:rFonts w:ascii="Arial" w:cs="Arial" w:eastAsia="Arial" w:hAnsi="Arial"/>
          <w:sz w:val="18"/>
          <w:szCs w:val="18"/>
          <w:color w:val="231F20"/>
        </w:rPr>
        <w:t xml:space="preserve"> million and </w:t>
      </w:r>
      <w:r>
        <w:rPr>
          <w:rFonts w:ascii="Arial" w:cs="Arial" w:eastAsia="Arial" w:hAnsi="Arial"/>
          <w:sz w:val="18"/>
          <w:szCs w:val="18"/>
          <w:color w:val="000000"/>
        </w:rPr>
        <w:t>$0.6</w:t>
      </w:r>
      <w:r>
        <w:rPr>
          <w:rFonts w:ascii="Arial" w:cs="Arial" w:eastAsia="Arial" w:hAnsi="Arial"/>
          <w:sz w:val="18"/>
          <w:szCs w:val="18"/>
          <w:color w:val="231F20"/>
        </w:rPr>
        <w:t xml:space="preserve"> million, respectively. Other fixed assets not placed in service at March 31, 2014 and December 31, 2013, included in computer equipment and leasehold improvements, relate to new information technology systems and tenant improvements of approximately </w:t>
      </w:r>
      <w:r>
        <w:rPr>
          <w:rFonts w:ascii="Arial" w:cs="Arial" w:eastAsia="Arial" w:hAnsi="Arial"/>
          <w:sz w:val="18"/>
          <w:szCs w:val="18"/>
          <w:color w:val="000000"/>
        </w:rPr>
        <w:t>$1.7</w:t>
      </w:r>
      <w:r>
        <w:rPr>
          <w:rFonts w:ascii="Arial" w:cs="Arial" w:eastAsia="Arial" w:hAnsi="Arial"/>
          <w:sz w:val="18"/>
          <w:szCs w:val="18"/>
          <w:color w:val="231F20"/>
        </w:rPr>
        <w:t xml:space="preserve"> million and $1.6 million, respectively. Depreciation and amortization expense relating to property and equipment, including capitalized leases, was $2.7 million and $2.0 million for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 2013,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2013</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2,099</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2,394</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2014</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2014</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2015</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March 31, 2014</w:t>
      </w:r>
      <w:r>
        <w:rPr>
          <w:rFonts w:ascii="Arial" w:cs="Arial" w:eastAsia="Arial" w:hAnsi="Arial"/>
          <w:sz w:val="18"/>
          <w:szCs w:val="18"/>
          <w:color w:val="231F20"/>
        </w:rPr>
        <w:t xml:space="preserve"> and December 31,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2019.</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The capital lease obligation has an interest rate of 1.8% and is secured by the related computer software. In connection with this transaction, the Company also has minimum obligations for related maintenance and support, which were amended in June 2013. The minimum obligations were $0.1 million and $0.3 million at </w:t>
      </w:r>
      <w:r>
        <w:rPr>
          <w:rFonts w:ascii="Arial" w:cs="Arial" w:eastAsia="Arial" w:hAnsi="Arial"/>
          <w:sz w:val="18"/>
          <w:szCs w:val="18"/>
          <w:color w:val="000000"/>
        </w:rPr>
        <w:t>March 31,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xml:space="preserve">, respectively. Such obligations for maintenance and support are recorded in current liabilities in the accompanying condensed consolidated balance sheets at </w:t>
      </w:r>
      <w:r>
        <w:rPr>
          <w:rFonts w:ascii="Arial" w:cs="Arial" w:eastAsia="Arial" w:hAnsi="Arial"/>
          <w:sz w:val="18"/>
          <w:szCs w:val="18"/>
          <w:color w:val="000000"/>
        </w:rPr>
        <w:t>March 31,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March 31, 2014</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line="20" w:lineRule="exact"/>
              <w:rPr>
                <w:sz w:val="1"/>
                <w:szCs w:val="1"/>
                <w:color w:val="auto"/>
              </w:rPr>
            </w:pPr>
          </w:p>
        </w:tc>
      </w:tr>
      <w:tr>
        <w:trPr>
          <w:trHeight w:val="247"/>
        </w:trPr>
        <w:tc>
          <w:tcPr>
            <w:tcW w:w="79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231F20"/>
        </w:rPr>
        <w:t xml:space="preserve">Rent expense was $1.5 million and $1.3 million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March 31,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the Company has accrued $0.6 million of deferred rent related to these agreements, which is reflected in other noncurrent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$0.5 million</w:t>
      </w:r>
      <w:r>
        <w:rPr>
          <w:rFonts w:ascii="Arial" w:cs="Arial" w:eastAsia="Arial" w:hAnsi="Arial"/>
          <w:sz w:val="18"/>
          <w:szCs w:val="18"/>
          <w:color w:val="231F20"/>
        </w:rPr>
        <w:t xml:space="preserve"> at </w:t>
      </w:r>
      <w:r>
        <w:rPr>
          <w:rFonts w:ascii="Arial" w:cs="Arial" w:eastAsia="Arial" w:hAnsi="Arial"/>
          <w:sz w:val="18"/>
          <w:szCs w:val="18"/>
          <w:color w:val="000000"/>
        </w:rPr>
        <w:t>March 31, 2014</w:t>
      </w:r>
      <w:r>
        <w:rPr>
          <w:rFonts w:ascii="Arial" w:cs="Arial" w:eastAsia="Arial" w:hAnsi="Arial"/>
          <w:sz w:val="18"/>
          <w:szCs w:val="18"/>
          <w:color w:val="231F20"/>
        </w:rPr>
        <w:t xml:space="preserve"> and </w:t>
      </w:r>
      <w:r>
        <w:rPr>
          <w:rFonts w:ascii="Arial" w:cs="Arial" w:eastAsia="Arial" w:hAnsi="Arial"/>
          <w:sz w:val="18"/>
          <w:szCs w:val="18"/>
          <w:color w:val="000000"/>
        </w:rPr>
        <w:t>December 31, 2013</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March 31, 2014</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March 31, 2014</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4,668,764 shares of common stock. Options may be granted with an exercise price that is at least equal to the fair market value of the Company's stock at the date of grant and are exercisable when vested. As of March 31, 2014, 2,078,529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Employee stock-based compensation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8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60"/>
        </w:trPr>
        <w:tc>
          <w:tcPr>
            <w:tcW w:w="84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208</w:t>
            </w:r>
          </w:p>
        </w:tc>
      </w:tr>
      <w:tr>
        <w:trPr>
          <w:trHeight w:val="280"/>
        </w:trPr>
        <w:tc>
          <w:tcPr>
            <w:tcW w:w="8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r>
      <w:tr>
        <w:trPr>
          <w:trHeight w:val="264"/>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w:t>
            </w:r>
          </w:p>
        </w:tc>
      </w:tr>
      <w:tr>
        <w:trPr>
          <w:trHeight w:val="24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employee stock-based compensation</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2014</w:t>
      </w:r>
      <w:r>
        <w:rPr>
          <w:rFonts w:ascii="Arial" w:cs="Arial" w:eastAsia="Arial" w:hAnsi="Arial"/>
          <w:sz w:val="18"/>
          <w:szCs w:val="18"/>
          <w:color w:val="231F20"/>
        </w:rPr>
        <w:t xml:space="preserve">, the Company had </w:t>
      </w:r>
      <w:r>
        <w:rPr>
          <w:rFonts w:ascii="Arial" w:cs="Arial" w:eastAsia="Arial" w:hAnsi="Arial"/>
          <w:sz w:val="18"/>
          <w:szCs w:val="18"/>
          <w:color w:val="000000"/>
        </w:rPr>
        <w:t>$18.1 million</w:t>
      </w:r>
      <w:r>
        <w:rPr>
          <w:rFonts w:ascii="Arial" w:cs="Arial" w:eastAsia="Arial" w:hAnsi="Arial"/>
          <w:sz w:val="18"/>
          <w:szCs w:val="18"/>
          <w:color w:val="231F20"/>
        </w:rPr>
        <w:t xml:space="preserve"> of total unrecognized employee compensation cost related to nonvested awards that it expects to recognize over a weighted-average period of </w:t>
      </w:r>
      <w:r>
        <w:rPr>
          <w:rFonts w:ascii="Arial" w:cs="Arial" w:eastAsia="Arial" w:hAnsi="Arial"/>
          <w:sz w:val="18"/>
          <w:szCs w:val="18"/>
          <w:color w:val="000000"/>
        </w:rPr>
        <w:t>2.6</w:t>
      </w:r>
      <w:r>
        <w:rPr>
          <w:rFonts w:ascii="Arial" w:cs="Arial" w:eastAsia="Arial" w:hAnsi="Arial"/>
          <w:sz w:val="18"/>
          <w:szCs w:val="18"/>
          <w:color w:val="231F20"/>
        </w:rPr>
        <w:t xml:space="preserve"> years.</w:t>
      </w:r>
    </w:p>
    <w:p>
      <w:pPr>
        <w:spacing w:after="0" w:line="23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Pr>
          <w:p>
            <w:pPr>
              <w:spacing w:after="0"/>
              <w:rPr>
                <w:sz w:val="18"/>
                <w:szCs w:val="18"/>
                <w:color w:val="auto"/>
              </w:rPr>
            </w:pPr>
          </w:p>
        </w:tc>
      </w:tr>
      <w:tr>
        <w:trPr>
          <w:trHeight w:val="283"/>
        </w:trPr>
        <w:tc>
          <w:tcPr>
            <w:tcW w:w="78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tcPr>
          <w:p>
            <w:pPr>
              <w:spacing w:after="0"/>
              <w:rPr>
                <w:sz w:val="24"/>
                <w:szCs w:val="24"/>
                <w:color w:val="auto"/>
              </w:rPr>
            </w:pPr>
          </w:p>
        </w:tc>
      </w:tr>
      <w:tr>
        <w:trPr>
          <w:trHeight w:val="264"/>
        </w:trPr>
        <w:tc>
          <w:tcPr>
            <w:tcW w:w="7860" w:type="dxa"/>
            <w:vAlign w:val="bottom"/>
          </w:tcPr>
          <w:p>
            <w:pPr>
              <w:spacing w:after="0"/>
              <w:rPr>
                <w:sz w:val="22"/>
                <w:szCs w:val="22"/>
                <w:color w:val="auto"/>
              </w:rPr>
            </w:pPr>
          </w:p>
        </w:tc>
        <w:tc>
          <w:tcPr>
            <w:tcW w:w="1320" w:type="dxa"/>
            <w:vAlign w:val="bottom"/>
            <w:gridSpan w:val="2"/>
          </w:tcPr>
          <w:p>
            <w:pPr>
              <w:jc w:val="center"/>
              <w:ind w:left="279"/>
              <w:spacing w:after="0"/>
              <w:rPr>
                <w:sz w:val="20"/>
                <w:szCs w:val="20"/>
                <w:color w:val="auto"/>
              </w:rPr>
            </w:pPr>
            <w:r>
              <w:rPr>
                <w:rFonts w:ascii="Arial" w:cs="Arial" w:eastAsia="Arial" w:hAnsi="Arial"/>
                <w:sz w:val="16"/>
                <w:szCs w:val="16"/>
                <w:b w:val="1"/>
                <w:bCs w:val="1"/>
                <w:color w:val="auto"/>
              </w:rPr>
              <w:t>2014</w:t>
            </w: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7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3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6.1</w:t>
            </w: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940" w:type="dxa"/>
            <w:vAlign w:val="bottom"/>
          </w:tcPr>
          <w:p>
            <w:pPr>
              <w:jc w:val="right"/>
              <w:spacing w:after="0"/>
              <w:rPr>
                <w:sz w:val="20"/>
                <w:szCs w:val="20"/>
                <w:color w:val="auto"/>
              </w:rPr>
            </w:pPr>
            <w:r>
              <w:rPr>
                <w:rFonts w:ascii="Arial" w:cs="Arial" w:eastAsia="Arial" w:hAnsi="Arial"/>
                <w:sz w:val="16"/>
                <w:szCs w:val="16"/>
                <w:color w:val="auto"/>
              </w:rPr>
              <w:t>51% to</w:t>
            </w:r>
          </w:p>
        </w:tc>
        <w:tc>
          <w:tcPr>
            <w:tcW w:w="380" w:type="dxa"/>
            <w:vAlign w:val="bottom"/>
          </w:tcPr>
          <w:p>
            <w:pPr>
              <w:ind w:left="20"/>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 to</w:t>
            </w:r>
          </w:p>
        </w:tc>
        <w:tc>
          <w:tcPr>
            <w:tcW w:w="740" w:type="dxa"/>
            <w:vAlign w:val="bottom"/>
          </w:tcPr>
          <w:p>
            <w:pPr>
              <w:spacing w:after="0"/>
              <w:rPr>
                <w:sz w:val="20"/>
                <w:szCs w:val="20"/>
                <w:color w:val="auto"/>
              </w:rPr>
            </w:pPr>
            <w:r>
              <w:rPr>
                <w:rFonts w:ascii="Arial" w:cs="Arial" w:eastAsia="Arial" w:hAnsi="Arial"/>
                <w:sz w:val="16"/>
                <w:szCs w:val="16"/>
                <w:color w:val="auto"/>
              </w:rPr>
              <w:t>53%</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320" w:type="dxa"/>
            <w:vAlign w:val="bottom"/>
            <w:gridSpan w:val="2"/>
            <w:shd w:val="clear" w:color="auto" w:fill="CCEEFF"/>
          </w:tcPr>
          <w:p>
            <w:pPr>
              <w:jc w:val="center"/>
              <w:ind w:left="299"/>
              <w:spacing w:after="0"/>
              <w:rPr>
                <w:sz w:val="20"/>
                <w:szCs w:val="20"/>
                <w:color w:val="auto"/>
              </w:rPr>
            </w:pPr>
            <w:r>
              <w:rPr>
                <w:rFonts w:ascii="Arial" w:cs="Arial" w:eastAsia="Arial" w:hAnsi="Arial"/>
                <w:sz w:val="16"/>
                <w:szCs w:val="16"/>
                <w:color w:val="auto"/>
              </w:rPr>
              <w:t>1.5%</w:t>
            </w:r>
          </w:p>
        </w:tc>
        <w:tc>
          <w:tcPr>
            <w:tcW w:w="2180" w:type="dxa"/>
            <w:vAlign w:val="bottom"/>
            <w:gridSpan w:val="4"/>
            <w:shd w:val="clear" w:color="auto" w:fill="CCEEFF"/>
          </w:tcPr>
          <w:p>
            <w:pPr>
              <w:jc w:val="center"/>
              <w:ind w:left="419"/>
              <w:spacing w:after="0"/>
              <w:rPr>
                <w:sz w:val="20"/>
                <w:szCs w:val="20"/>
                <w:color w:val="auto"/>
              </w:rPr>
            </w:pPr>
            <w:r>
              <w:rPr>
                <w:rFonts w:ascii="Arial" w:cs="Arial" w:eastAsia="Arial" w:hAnsi="Arial"/>
                <w:sz w:val="16"/>
                <w:szCs w:val="16"/>
                <w:color w:val="auto"/>
                <w:w w:val="98"/>
              </w:rPr>
              <w:t>0.8%</w:t>
            </w:r>
          </w:p>
        </w:tc>
      </w:tr>
      <w:tr>
        <w:trPr>
          <w:trHeight w:val="251"/>
        </w:trPr>
        <w:tc>
          <w:tcPr>
            <w:tcW w:w="78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5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7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41" w:right="2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141" w:right="25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$0.2 million</w:t>
      </w:r>
      <w:r>
        <w:rPr>
          <w:rFonts w:ascii="Arial" w:cs="Arial" w:eastAsia="Arial" w:hAnsi="Arial"/>
          <w:sz w:val="18"/>
          <w:szCs w:val="18"/>
          <w:color w:val="231F20"/>
        </w:rPr>
        <w:t xml:space="preserve"> and </w:t>
      </w:r>
      <w:r>
        <w:rPr>
          <w:rFonts w:ascii="Arial" w:cs="Arial" w:eastAsia="Arial" w:hAnsi="Arial"/>
          <w:sz w:val="18"/>
          <w:szCs w:val="18"/>
          <w:color w:val="000000"/>
        </w:rPr>
        <w:t>$30 thousand</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2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2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7,039,093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112,312</w:t>
            </w:r>
          </w:p>
        </w:tc>
      </w:tr>
      <w:tr>
        <w:trPr>
          <w:trHeight w:val="260"/>
        </w:trPr>
        <w:tc>
          <w:tcPr>
            <w:tcW w:w="50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779,750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7,402,083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120,828</w:t>
            </w: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2014</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6,882,999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116,736</w:t>
            </w:r>
          </w:p>
        </w:tc>
      </w:tr>
      <w:tr>
        <w:trPr>
          <w:trHeight w:val="280"/>
        </w:trPr>
        <w:tc>
          <w:tcPr>
            <w:tcW w:w="5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2014</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5,083,298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106,676</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 The Company has the right to repurchase shares that do not vest.</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did not issue restricted stock during the three months ended March 31, 2014 or 2013.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Accumulated Other Comprehensive Income (Loss)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presents the components of accumulated other comprehensive income (loss):</w:t>
      </w:r>
    </w:p>
    <w:p>
      <w:pPr>
        <w:spacing w:after="0" w:line="397"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37"/>
        </w:trPr>
        <w:tc>
          <w:tcPr>
            <w:tcW w:w="7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60" w:type="dxa"/>
            <w:vAlign w:val="bottom"/>
          </w:tcPr>
          <w:p>
            <w:pPr>
              <w:ind w:left="40"/>
              <w:spacing w:after="0"/>
              <w:rPr>
                <w:sz w:val="20"/>
                <w:szCs w:val="20"/>
                <w:color w:val="auto"/>
              </w:rPr>
            </w:pPr>
            <w:r>
              <w:rPr>
                <w:rFonts w:ascii="Arial" w:cs="Arial" w:eastAsia="Arial" w:hAnsi="Arial"/>
                <w:sz w:val="16"/>
                <w:szCs w:val="16"/>
                <w:color w:val="auto"/>
              </w:rPr>
              <w:t>Foreign currency translation gain (loss), net of zero tax</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73"/>
        </w:trPr>
        <w:tc>
          <w:tcPr>
            <w:tcW w:w="7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unrealized gain on investments, net of zero tax</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40"/>
        </w:trPr>
        <w:tc>
          <w:tcPr>
            <w:tcW w:w="796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Other Income (Expense), Net</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5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r>
      <w:tr>
        <w:trPr>
          <w:trHeight w:val="283"/>
        </w:trPr>
        <w:tc>
          <w:tcPr>
            <w:tcW w:w="8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r>
      <w:tr>
        <w:trPr>
          <w:trHeight w:val="247"/>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2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gains (losses)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4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 xml:space="preserve">The provision for income taxes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 2013 primarily reflects foreign and state taxes. The state taxes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were computed using the "discrete" (or "cut-off") method.</w:t>
      </w:r>
    </w:p>
    <w:p>
      <w:pPr>
        <w:spacing w:after="0" w:line="1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 xml:space="preserve">As of March 31, 2014 and December 31, 2013, the Company had unrecognized tax benefits of </w:t>
      </w:r>
      <w:r>
        <w:rPr>
          <w:rFonts w:ascii="Arial" w:cs="Arial" w:eastAsia="Arial" w:hAnsi="Arial"/>
          <w:sz w:val="18"/>
          <w:szCs w:val="18"/>
          <w:color w:val="000000"/>
        </w:rPr>
        <w:t>$3.3 million</w:t>
      </w:r>
      <w:r>
        <w:rPr>
          <w:rFonts w:ascii="Arial" w:cs="Arial" w:eastAsia="Arial" w:hAnsi="Arial"/>
          <w:sz w:val="18"/>
          <w:szCs w:val="18"/>
          <w:color w:val="231F20"/>
        </w:rPr>
        <w:t xml:space="preserve">, of which </w:t>
      </w:r>
      <w:r>
        <w:rPr>
          <w:rFonts w:ascii="Arial" w:cs="Arial" w:eastAsia="Arial" w:hAnsi="Arial"/>
          <w:sz w:val="18"/>
          <w:szCs w:val="18"/>
          <w:color w:val="000000"/>
        </w:rPr>
        <w:t>$1.0 million</w:t>
      </w:r>
      <w:r>
        <w:rPr>
          <w:rFonts w:ascii="Arial" w:cs="Arial" w:eastAsia="Arial" w:hAnsi="Arial"/>
          <w:sz w:val="18"/>
          <w:szCs w:val="18"/>
          <w:color w:val="231F20"/>
        </w:rPr>
        <w:t>, if recognized and in absence of a valuation allowance, would favorably impact the Company's effective tax rate.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68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r>
      <w:tr>
        <w:trPr>
          <w:trHeight w:val="283"/>
        </w:trPr>
        <w:tc>
          <w:tcPr>
            <w:tcW w:w="8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Borders>
              <w:bottom w:val="single" w:sz="8" w:color="auto"/>
            </w:tcBorders>
          </w:tcPr>
          <w:p>
            <w:pPr>
              <w:spacing w:after="0"/>
              <w:rPr>
                <w:sz w:val="22"/>
                <w:szCs w:val="22"/>
                <w:color w:val="auto"/>
              </w:rPr>
            </w:pPr>
          </w:p>
        </w:tc>
      </w:tr>
      <w:tr>
        <w:trPr>
          <w:trHeight w:val="247"/>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0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21,327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17,373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7,510</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30,356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24,883</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19,909</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3,166</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11.Net Income (Loss)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loss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loss per share: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31,494</w:t>
            </w:r>
          </w:p>
        </w:tc>
      </w:tr>
      <w:tr>
        <w:trPr>
          <w:trHeight w:val="257"/>
        </w:trPr>
        <w:tc>
          <w:tcPr>
            <w:tcW w:w="8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32,516</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31,494</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loss per share because doing so would be antidilutive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2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190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190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2014</w:t>
            </w: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8580" w:type="dxa"/>
            <w:vAlign w:val="bottom"/>
          </w:tcPr>
          <w:p>
            <w:pPr>
              <w:spacing w:after="0"/>
              <w:rPr>
                <w:sz w:val="21"/>
                <w:szCs w:val="21"/>
                <w:color w:val="auto"/>
              </w:rPr>
            </w:pPr>
          </w:p>
        </w:tc>
        <w:tc>
          <w:tcPr>
            <w:tcW w:w="2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90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6,272</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2013, filed with the Securities and Exchange Commission, or SEC, on February 28, 2014.</w:t>
      </w:r>
    </w:p>
    <w:p>
      <w:pPr>
        <w:spacing w:after="0" w:line="3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10-Q include, but are not limited to, statements about:</w:t>
      </w:r>
    </w:p>
    <w:p>
      <w:pPr>
        <w:spacing w:after="0" w:line="257"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attain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and research and development;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 and</w:t>
      </w:r>
    </w:p>
    <w:p>
      <w:pPr>
        <w:spacing w:after="0" w:line="9" w:lineRule="exact"/>
        <w:rPr>
          <w:rFonts w:ascii="Arial" w:cs="Arial" w:eastAsia="Arial" w:hAnsi="Arial"/>
          <w:sz w:val="18"/>
          <w:szCs w:val="18"/>
          <w:i w:val="1"/>
          <w:iCs w:val="1"/>
          <w:color w:val="auto"/>
        </w:rPr>
      </w:pP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0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231F20"/>
        </w:rPr>
        <w:t>QualysGuard Cloud Platform to cost-effectively obtain a unified view of their security and compliance posture across globally-distributed IT infrastructures.</w:t>
      </w:r>
    </w:p>
    <w:p>
      <w:pPr>
        <w:spacing w:after="0" w:line="15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83% and 85% of total revenues for the three months ended March 31, 2014 and 2013,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w:t>
      </w:r>
    </w:p>
    <w:p>
      <w:pPr>
        <w:spacing w:after="0" w:line="16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In the three month periods ended March 31, 2014 and </w:t>
      </w:r>
      <w:r>
        <w:rPr>
          <w:rFonts w:ascii="Arial" w:cs="Arial" w:eastAsia="Arial" w:hAnsi="Arial"/>
          <w:sz w:val="18"/>
          <w:szCs w:val="18"/>
          <w:color w:val="000000"/>
        </w:rPr>
        <w:t>2013</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6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231F20"/>
        </w:rPr>
        <w:t xml:space="preserve">We have had continued revenue growth 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same period in 2013. Our revenues increased to </w:t>
      </w:r>
      <w:r>
        <w:rPr>
          <w:rFonts w:ascii="Arial" w:cs="Arial" w:eastAsia="Arial" w:hAnsi="Arial"/>
          <w:sz w:val="18"/>
          <w:szCs w:val="18"/>
          <w:color w:val="000000"/>
        </w:rPr>
        <w:t>$30.4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from </w:t>
      </w:r>
      <w:r>
        <w:rPr>
          <w:rFonts w:ascii="Arial" w:cs="Arial" w:eastAsia="Arial" w:hAnsi="Arial"/>
          <w:sz w:val="18"/>
          <w:szCs w:val="18"/>
          <w:color w:val="000000"/>
        </w:rPr>
        <w:t>$24.9 million</w:t>
      </w:r>
      <w:r>
        <w:rPr>
          <w:rFonts w:ascii="Arial" w:cs="Arial" w:eastAsia="Arial" w:hAnsi="Arial"/>
          <w:sz w:val="18"/>
          <w:szCs w:val="18"/>
          <w:color w:val="231F20"/>
        </w:rPr>
        <w:t xml:space="preserve"> for the comparable period in 2013, representing an increase of </w:t>
      </w:r>
      <w:r>
        <w:rPr>
          <w:rFonts w:ascii="Arial" w:cs="Arial" w:eastAsia="Arial" w:hAnsi="Arial"/>
          <w:sz w:val="18"/>
          <w:szCs w:val="18"/>
          <w:color w:val="000000"/>
        </w:rPr>
        <w:t>$5.5 million</w:t>
      </w:r>
      <w:r>
        <w:rPr>
          <w:rFonts w:ascii="Arial" w:cs="Arial" w:eastAsia="Arial" w:hAnsi="Arial"/>
          <w:sz w:val="18"/>
          <w:szCs w:val="18"/>
          <w:color w:val="231F20"/>
        </w:rPr>
        <w:t xml:space="preserve"> or </w:t>
      </w:r>
      <w:r>
        <w:rPr>
          <w:rFonts w:ascii="Arial" w:cs="Arial" w:eastAsia="Arial" w:hAnsi="Arial"/>
          <w:sz w:val="18"/>
          <w:szCs w:val="18"/>
          <w:color w:val="000000"/>
        </w:rPr>
        <w:t>22%</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we had net losses of $0.4 million and $0.6 million ,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2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loss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unaudited table presents the reconciliation of net loss to Adjusted EBITDA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2013</w:t>
      </w:r>
      <w:r>
        <w:rPr>
          <w:rFonts w:ascii="Arial" w:cs="Arial" w:eastAsia="Arial" w:hAnsi="Arial"/>
          <w:sz w:val="18"/>
          <w:szCs w:val="18"/>
          <w:color w:val="231F20"/>
        </w:rPr>
        <w:t>:</w:t>
      </w:r>
    </w:p>
    <w:p>
      <w:pPr>
        <w:spacing w:after="0" w:line="397"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3060" w:type="dxa"/>
            <w:vAlign w:val="bottom"/>
            <w:gridSpan w:val="4"/>
          </w:tcPr>
          <w:p>
            <w:pPr>
              <w:jc w:val="center"/>
              <w:ind w:left="57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r>
      <w:tr>
        <w:trPr>
          <w:trHeight w:val="283"/>
        </w:trPr>
        <w:tc>
          <w:tcPr>
            <w:tcW w:w="72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tcPr>
          <w:p>
            <w:pPr>
              <w:spacing w:after="0"/>
              <w:rPr>
                <w:sz w:val="24"/>
                <w:szCs w:val="24"/>
                <w:color w:val="auto"/>
              </w:rPr>
            </w:pPr>
          </w:p>
        </w:tc>
      </w:tr>
      <w:tr>
        <w:trPr>
          <w:trHeight w:val="264"/>
        </w:trPr>
        <w:tc>
          <w:tcPr>
            <w:tcW w:w="72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660" w:type="dxa"/>
            <w:vAlign w:val="bottom"/>
            <w:tcBorders>
              <w:bottom w:val="single" w:sz="8" w:color="auto"/>
            </w:tcBorders>
          </w:tcPr>
          <w:p>
            <w:pPr>
              <w:spacing w:after="0"/>
              <w:rPr>
                <w:sz w:val="22"/>
                <w:szCs w:val="22"/>
                <w:color w:val="auto"/>
              </w:rPr>
            </w:pPr>
          </w:p>
        </w:tc>
      </w:tr>
      <w:tr>
        <w:trPr>
          <w:trHeight w:val="247"/>
        </w:trPr>
        <w:tc>
          <w:tcPr>
            <w:tcW w:w="7240" w:type="dxa"/>
            <w:vAlign w:val="bottom"/>
          </w:tcPr>
          <w:p>
            <w:pPr>
              <w:spacing w:after="0"/>
              <w:rPr>
                <w:sz w:val="21"/>
                <w:szCs w:val="21"/>
                <w:color w:val="auto"/>
              </w:rPr>
            </w:pPr>
          </w:p>
        </w:tc>
        <w:tc>
          <w:tcPr>
            <w:tcW w:w="3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w:t>
            </w:r>
          </w:p>
        </w:tc>
      </w:tr>
      <w:tr>
        <w:trPr>
          <w:trHeight w:val="260"/>
        </w:trPr>
        <w:tc>
          <w:tcPr>
            <w:tcW w:w="72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14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260</w:t>
            </w:r>
          </w:p>
        </w:tc>
      </w:tr>
      <w:tr>
        <w:trPr>
          <w:trHeight w:val="28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r>
      <w:tr>
        <w:trPr>
          <w:trHeight w:val="260"/>
        </w:trPr>
        <w:tc>
          <w:tcPr>
            <w:tcW w:w="7240" w:type="dxa"/>
            <w:vAlign w:val="bottom"/>
          </w:tcPr>
          <w:p>
            <w:pPr>
              <w:ind w:left="20"/>
              <w:spacing w:after="0"/>
              <w:rPr>
                <w:sz w:val="20"/>
                <w:szCs w:val="20"/>
                <w:color w:val="auto"/>
              </w:rPr>
            </w:pPr>
            <w:r>
              <w:rPr>
                <w:rFonts w:ascii="Arial" w:cs="Arial" w:eastAsia="Arial" w:hAnsi="Arial"/>
                <w:sz w:val="16"/>
                <w:szCs w:val="16"/>
                <w:color w:val="auto"/>
              </w:rPr>
              <w:t>Depreciation and amortization of property and equipment</w:t>
            </w:r>
          </w:p>
        </w:tc>
        <w:tc>
          <w:tcPr>
            <w:tcW w:w="114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2,707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2,012</w:t>
            </w:r>
          </w:p>
        </w:tc>
      </w:tr>
      <w:tr>
        <w:trPr>
          <w:trHeight w:val="28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w:t>
            </w:r>
          </w:p>
        </w:tc>
      </w:tr>
      <w:tr>
        <w:trPr>
          <w:trHeight w:val="264"/>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Stock-based compensation</w:t>
            </w: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2,126</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949</w:t>
            </w: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4,670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2,795</w:t>
            </w:r>
          </w:p>
        </w:tc>
      </w:tr>
      <w:tr>
        <w:trPr>
          <w:trHeight w:val="20"/>
        </w:trPr>
        <w:tc>
          <w:tcPr>
            <w:tcW w:w="7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bl>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Adjusted EBITDA</w:t>
      </w:r>
    </w:p>
    <w:p>
      <w:pPr>
        <w:spacing w:after="0" w:line="193"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231F20"/>
        </w:rPr>
        <w:t>Adjusted EBITDA, a non-GAAP financial measure, has limitations as an analytical tool, and should not be considered in isolation from or as a substitute for the measures presented in accordance with U.S. GAAP. Some of these limitations are:</w:t>
      </w:r>
    </w:p>
    <w:p>
      <w:pPr>
        <w:spacing w:after="0" w:line="48" w:lineRule="exact"/>
        <w:rPr>
          <w:sz w:val="20"/>
          <w:szCs w:val="20"/>
          <w:color w:val="auto"/>
        </w:rPr>
      </w:pPr>
    </w:p>
    <w:p>
      <w:pPr>
        <w:ind w:left="1060" w:hanging="404"/>
        <w:spacing w:after="0"/>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40" w:hanging="404"/>
        <w:spacing w:after="0" w:line="262" w:lineRule="auto"/>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88" w:lineRule="exact"/>
        <w:rPr>
          <w:rFonts w:ascii="Arial" w:cs="Arial" w:eastAsia="Arial" w:hAnsi="Arial"/>
          <w:sz w:val="18"/>
          <w:szCs w:val="18"/>
          <w:color w:val="231F20"/>
        </w:rPr>
      </w:pPr>
    </w:p>
    <w:p>
      <w:pPr>
        <w:ind w:left="1060" w:hanging="404"/>
        <w:spacing w:after="0" w:line="262" w:lineRule="auto"/>
        <w:tabs>
          <w:tab w:leader="none" w:pos="106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Adjusted EBITDA differently or not at all, which reduces their usefulness as a comparative measure.</w:t>
      </w:r>
    </w:p>
    <w:p>
      <w:pPr>
        <w:spacing w:after="0" w:line="23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231F20"/>
        </w:rPr>
        <w:t>Because of these limitations, Adjusted EBITDA should be considered alongside other financial performance measures, including revenues, net income (loss) and our financial results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8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invest significantly in additional sales personnel and more marketing programs as we introduce new solutions to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growth.</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and interest expense associated with our capital leases.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net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and also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41" w:right="2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6"/>
          </w:tcPr>
          <w:p>
            <w:pPr>
              <w:jc w:val="center"/>
              <w:ind w:right="24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left="442"/>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6"/>
          </w:tcPr>
          <w:p>
            <w:pPr>
              <w:jc w:val="center"/>
              <w:ind w:right="24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960" w:type="dxa"/>
            <w:vAlign w:val="bottom"/>
          </w:tcPr>
          <w:p>
            <w:pPr>
              <w:jc w:val="right"/>
              <w:spacing w:after="0"/>
              <w:rPr>
                <w:sz w:val="20"/>
                <w:szCs w:val="20"/>
                <w:color w:val="auto"/>
              </w:rPr>
            </w:pPr>
            <w:r>
              <w:rPr>
                <w:rFonts w:ascii="Arial" w:cs="Arial" w:eastAsia="Arial" w:hAnsi="Arial"/>
                <w:sz w:val="16"/>
                <w:szCs w:val="16"/>
                <w:color w:val="231F20"/>
              </w:rPr>
              <w:t>30,356</w:t>
            </w:r>
          </w:p>
        </w:tc>
        <w:tc>
          <w:tcPr>
            <w:tcW w:w="80" w:type="dxa"/>
            <w:vAlign w:val="bottom"/>
          </w:tcPr>
          <w:p>
            <w:pPr>
              <w:spacing w:after="0"/>
              <w:rPr>
                <w:sz w:val="22"/>
                <w:szCs w:val="22"/>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231F20"/>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231F20"/>
              </w:rPr>
              <w:t>24,883</w:t>
            </w:r>
          </w:p>
        </w:tc>
        <w:tc>
          <w:tcPr>
            <w:tcW w:w="0" w:type="dxa"/>
            <w:vAlign w:val="bottom"/>
          </w:tcPr>
          <w:p>
            <w:pPr>
              <w:spacing w:after="0"/>
              <w:rPr>
                <w:sz w:val="1"/>
                <w:szCs w:val="1"/>
                <w:color w:val="auto"/>
              </w:rPr>
            </w:pPr>
          </w:p>
        </w:tc>
      </w:tr>
      <w:tr>
        <w:trPr>
          <w:trHeight w:val="28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80" w:type="dxa"/>
            <w:vAlign w:val="bottom"/>
            <w:tcBorders>
              <w:bottom w:val="single" w:sz="8" w:color="231F20"/>
            </w:tcBorders>
            <w:shd w:val="clear" w:color="auto" w:fill="CCEEFF"/>
          </w:tcPr>
          <w:p>
            <w:pPr>
              <w:spacing w:after="0"/>
              <w:rPr>
                <w:sz w:val="24"/>
                <w:szCs w:val="24"/>
                <w:color w:val="auto"/>
              </w:rPr>
            </w:pPr>
          </w:p>
        </w:tc>
        <w:tc>
          <w:tcPr>
            <w:tcW w:w="260" w:type="dxa"/>
            <w:vAlign w:val="bottom"/>
            <w:tcBorders>
              <w:bottom w:val="single" w:sz="8" w:color="231F20"/>
            </w:tcBorders>
            <w:shd w:val="clear" w:color="auto" w:fill="CCEEFF"/>
          </w:tcPr>
          <w:p>
            <w:pPr>
              <w:spacing w:after="0"/>
              <w:rPr>
                <w:sz w:val="24"/>
                <w:szCs w:val="24"/>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6,846</w:t>
            </w:r>
          </w:p>
        </w:tc>
        <w:tc>
          <w:tcPr>
            <w:tcW w:w="80" w:type="dxa"/>
            <w:vAlign w:val="bottom"/>
            <w:tcBorders>
              <w:bottom w:val="single" w:sz="8" w:color="231F20"/>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bottom w:val="single" w:sz="8" w:color="231F20"/>
            </w:tcBorders>
            <w:shd w:val="clear" w:color="auto" w:fill="CCEEFF"/>
          </w:tcPr>
          <w:p>
            <w:pPr>
              <w:spacing w:after="0"/>
              <w:rPr>
                <w:sz w:val="24"/>
                <w:szCs w:val="24"/>
                <w:color w:val="auto"/>
              </w:rPr>
            </w:pPr>
          </w:p>
        </w:tc>
        <w:tc>
          <w:tcPr>
            <w:tcW w:w="8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5,795</w:t>
            </w:r>
          </w:p>
        </w:tc>
        <w:tc>
          <w:tcPr>
            <w:tcW w:w="0" w:type="dxa"/>
            <w:vAlign w:val="bottom"/>
          </w:tcPr>
          <w:p>
            <w:pPr>
              <w:spacing w:after="0"/>
              <w:rPr>
                <w:sz w:val="1"/>
                <w:szCs w:val="1"/>
                <w:color w:val="auto"/>
              </w:rPr>
            </w:pPr>
          </w:p>
        </w:tc>
      </w:tr>
      <w:tr>
        <w:trPr>
          <w:trHeight w:val="240"/>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19,088</w:t>
            </w:r>
          </w:p>
        </w:tc>
        <w:tc>
          <w:tcPr>
            <w:tcW w:w="0" w:type="dxa"/>
            <w:vAlign w:val="bottom"/>
          </w:tcPr>
          <w:p>
            <w:pPr>
              <w:spacing w:after="0"/>
              <w:rPr>
                <w:sz w:val="1"/>
                <w:szCs w:val="1"/>
                <w:color w:val="auto"/>
              </w:rPr>
            </w:pPr>
          </w:p>
        </w:tc>
      </w:tr>
      <w:tr>
        <w:trPr>
          <w:trHeight w:val="28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6,404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231F20"/>
              </w:rPr>
              <w:t>5,297</w:t>
            </w:r>
          </w:p>
        </w:tc>
        <w:tc>
          <w:tcPr>
            <w:tcW w:w="0" w:type="dxa"/>
            <w:vAlign w:val="bottom"/>
          </w:tcPr>
          <w:p>
            <w:pPr>
              <w:spacing w:after="0"/>
              <w:rPr>
                <w:sz w:val="1"/>
                <w:szCs w:val="1"/>
                <w:color w:val="auto"/>
              </w:rPr>
            </w:pPr>
          </w:p>
        </w:tc>
      </w:tr>
      <w:tr>
        <w:trPr>
          <w:trHeight w:val="270"/>
        </w:trPr>
        <w:tc>
          <w:tcPr>
            <w:tcW w:w="8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12,492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10,168</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8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4,875</w:t>
            </w:r>
          </w:p>
        </w:tc>
        <w:tc>
          <w:tcPr>
            <w:tcW w:w="80" w:type="dxa"/>
            <w:vAlign w:val="bottom"/>
            <w:tcBorders>
              <w:bottom w:val="single" w:sz="8" w:color="231F20"/>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3,896</w:t>
            </w:r>
          </w:p>
        </w:tc>
        <w:tc>
          <w:tcPr>
            <w:tcW w:w="0" w:type="dxa"/>
            <w:vAlign w:val="bottom"/>
          </w:tcPr>
          <w:p>
            <w:pPr>
              <w:spacing w:after="0"/>
              <w:rPr>
                <w:sz w:val="1"/>
                <w:szCs w:val="1"/>
                <w:color w:val="auto"/>
              </w:rPr>
            </w:pPr>
          </w:p>
        </w:tc>
      </w:tr>
      <w:tr>
        <w:trPr>
          <w:trHeight w:val="244"/>
        </w:trPr>
        <w:tc>
          <w:tcPr>
            <w:tcW w:w="8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23,771</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19,361</w:t>
            </w:r>
          </w:p>
        </w:tc>
        <w:tc>
          <w:tcPr>
            <w:tcW w:w="0" w:type="dxa"/>
            <w:vAlign w:val="bottom"/>
          </w:tcPr>
          <w:p>
            <w:pPr>
              <w:spacing w:after="0"/>
              <w:rPr>
                <w:sz w:val="1"/>
                <w:szCs w:val="1"/>
                <w:color w:val="auto"/>
              </w:rPr>
            </w:pPr>
          </w:p>
        </w:tc>
      </w:tr>
      <w:tr>
        <w:trPr>
          <w:trHeight w:val="24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Loss from operations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73"/>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4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Loss before provision for income taxes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73"/>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80" w:type="dxa"/>
            <w:vAlign w:val="bottom"/>
            <w:tcBorders>
              <w:bottom w:val="single" w:sz="8" w:color="231F20"/>
            </w:tcBorders>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182</w:t>
            </w:r>
          </w:p>
        </w:tc>
        <w:tc>
          <w:tcPr>
            <w:tcW w:w="80" w:type="dxa"/>
            <w:vAlign w:val="bottom"/>
            <w:tcBorders>
              <w:bottom w:val="single" w:sz="8" w:color="231F20"/>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8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(440)</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00" w:type="dxa"/>
            <w:vAlign w:val="bottom"/>
            <w:vMerge w:val="continue"/>
          </w:tcPr>
          <w:p>
            <w:pPr>
              <w:spacing w:after="0"/>
              <w:rPr>
                <w:sz w:val="24"/>
                <w:szCs w:val="24"/>
                <w:color w:val="auto"/>
              </w:rPr>
            </w:pP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3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6"/>
          </w:tcPr>
          <w:p>
            <w:pPr>
              <w:jc w:val="center"/>
              <w:ind w:right="14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left="542"/>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6"/>
          </w:tcPr>
          <w:p>
            <w:pPr>
              <w:jc w:val="center"/>
              <w:ind w:right="16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4"/>
                <w:szCs w:val="24"/>
                <w:color w:val="auto"/>
              </w:rPr>
            </w:pPr>
          </w:p>
        </w:tc>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75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4"/>
                <w:szCs w:val="24"/>
                <w:color w:val="auto"/>
              </w:rPr>
            </w:pPr>
          </w:p>
        </w:tc>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573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969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2,126</w:t>
            </w:r>
          </w:p>
        </w:tc>
        <w:tc>
          <w:tcPr>
            <w:tcW w:w="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31750</wp:posOffset>
            </wp:positionV>
            <wp:extent cx="1920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r>
      <w:tr>
        <w:trPr>
          <w:trHeight w:val="257"/>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r>
      <w:tr>
        <w:trPr>
          <w:trHeight w:val="257"/>
        </w:trPr>
        <w:tc>
          <w:tcPr>
            <w:tcW w:w="9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r>
      <w:tr>
        <w:trPr>
          <w:trHeight w:val="260"/>
        </w:trPr>
        <w:tc>
          <w:tcPr>
            <w:tcW w:w="93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0"/>
        </w:trPr>
        <w:tc>
          <w:tcPr>
            <w:tcW w:w="9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r>
      <w:tr>
        <w:trPr>
          <w:trHeight w:val="260"/>
        </w:trPr>
        <w:tc>
          <w:tcPr>
            <w:tcW w:w="93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41</w:t>
            </w:r>
          </w:p>
        </w:tc>
      </w:tr>
      <w:tr>
        <w:trPr>
          <w:trHeight w:val="273"/>
        </w:trPr>
        <w:tc>
          <w:tcPr>
            <w:tcW w:w="8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50"/>
        </w:trPr>
        <w:tc>
          <w:tcPr>
            <w:tcW w:w="8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78</w:t>
            </w:r>
          </w:p>
        </w:tc>
      </w:tr>
      <w:tr>
        <w:trPr>
          <w:trHeight w:val="257"/>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57"/>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before provision for income taxes</w:t>
            </w:r>
          </w:p>
        </w:tc>
        <w:tc>
          <w:tcPr>
            <w:tcW w:w="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40"/>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March 31, 2014</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2013</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30,356</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5,473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15"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$5.5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primarily due to new customer subscriptions entered into after March 31, 2013 and from an increase in the purchase of subscriptions from existing customers. Of the total increase of </w:t>
      </w:r>
      <w:r>
        <w:rPr>
          <w:rFonts w:ascii="Arial" w:cs="Arial" w:eastAsia="Arial" w:hAnsi="Arial"/>
          <w:sz w:val="18"/>
          <w:szCs w:val="18"/>
          <w:color w:val="000000"/>
        </w:rPr>
        <w:t>$5.5 million</w:t>
      </w:r>
      <w:r>
        <w:rPr>
          <w:rFonts w:ascii="Arial" w:cs="Arial" w:eastAsia="Arial" w:hAnsi="Arial"/>
          <w:sz w:val="18"/>
          <w:szCs w:val="18"/>
          <w:color w:val="231F20"/>
        </w:rPr>
        <w:t>, $4.0 million was from customers in the United States and the remaining $1.5 million was from customers in foreign countries. The growth in revenues reflects increased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6,846</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1,051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March 31,</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primarily due to a $0.6 million increase in depreciation expenses related to additional computer hardware and software for our new and</w:t>
      </w:r>
      <w:r>
        <w:rPr>
          <w:rFonts w:ascii="Arial" w:cs="Arial" w:eastAsia="Arial" w:hAnsi="Arial"/>
          <w:sz w:val="18"/>
          <w:szCs w:val="18"/>
          <w:color w:val="000000"/>
        </w:rPr>
        <w:t xml:space="preserve"> </w:t>
      </w:r>
      <w:r>
        <w:rPr>
          <w:rFonts w:ascii="Arial" w:cs="Arial" w:eastAsia="Arial" w:hAnsi="Arial"/>
          <w:sz w:val="18"/>
          <w:szCs w:val="18"/>
          <w:color w:val="231F20"/>
        </w:rPr>
        <w:t>existing data centers; increased personnel expenses of $0.2 million, principally driven by the addition of employees in our operations staff and higher stock-based compensation; and increased third-party software maintenance expense of $0.2 million.</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6,404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1,107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$1.1 million in the three months ended March 31, 2014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2013</w:t>
      </w:r>
      <w:r>
        <w:rPr>
          <w:rFonts w:ascii="Arial" w:cs="Arial" w:eastAsia="Arial" w:hAnsi="Arial"/>
          <w:sz w:val="18"/>
          <w:szCs w:val="18"/>
          <w:color w:val="231F20"/>
        </w:rPr>
        <w:t>, primarily due to an increase in personnel expenses of $0.8 million, including higher stock-based compensation,</w:t>
      </w:r>
      <w:r>
        <w:rPr>
          <w:rFonts w:ascii="Arial" w:cs="Arial" w:eastAsia="Arial" w:hAnsi="Arial"/>
          <w:sz w:val="18"/>
          <w:szCs w:val="18"/>
          <w:color w:val="000000"/>
        </w:rPr>
        <w:t xml:space="preserve"> </w:t>
      </w:r>
      <w:r>
        <w:rPr>
          <w:rFonts w:ascii="Arial" w:cs="Arial" w:eastAsia="Arial" w:hAnsi="Arial"/>
          <w:sz w:val="18"/>
          <w:szCs w:val="18"/>
          <w:color w:val="231F20"/>
        </w:rPr>
        <w:t>principally driven by the addition of employees as we continue to invest in enhancing our platform and developing new solutions, and higher corporate overhead costs of $0.2 million, principally due to our expansion in India.</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12,492</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2,324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$2.3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2013</w:t>
      </w:r>
      <w:r>
        <w:rPr>
          <w:rFonts w:ascii="Arial" w:cs="Arial" w:eastAsia="Arial" w:hAnsi="Arial"/>
          <w:sz w:val="18"/>
          <w:szCs w:val="18"/>
          <w:color w:val="231F20"/>
        </w:rPr>
        <w:t>, primarily due to an increase in personnel expenses of $1.5 million, including higher stock-based compensation, principally</w:t>
      </w:r>
      <w:r>
        <w:rPr>
          <w:rFonts w:ascii="Arial" w:cs="Arial" w:eastAsia="Arial" w:hAnsi="Arial"/>
          <w:sz w:val="18"/>
          <w:szCs w:val="18"/>
          <w:color w:val="000000"/>
        </w:rPr>
        <w:t xml:space="preserve"> </w:t>
      </w:r>
      <w:r>
        <w:rPr>
          <w:rFonts w:ascii="Arial" w:cs="Arial" w:eastAsia="Arial" w:hAnsi="Arial"/>
          <w:sz w:val="18"/>
          <w:szCs w:val="18"/>
          <w:color w:val="231F20"/>
        </w:rPr>
        <w:t>driven by the addition of employees as we continue to expand our domestic and international sales and marketing efforts, and higher sales commissions as a result of higher bookings in the current quarter compared to the same period last year. We also incurred increased marketing expenses of $0.4 million, primarily related to increased trade show and program activities; increased travel related costs of $0.1 million; and increased recruiting expenses of $0.1 million.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4,875</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979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$1.0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2013</w:t>
      </w:r>
      <w:r>
        <w:rPr>
          <w:rFonts w:ascii="Arial" w:cs="Arial" w:eastAsia="Arial" w:hAnsi="Arial"/>
          <w:sz w:val="18"/>
          <w:szCs w:val="18"/>
          <w:color w:val="231F20"/>
        </w:rPr>
        <w:t>, primarily driven by increased personnel expenses of $0.6 million, including higher employee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principally due to the addition of employees to support the growth of our business. We also incurred increased non-employee stock-based compensation of $0.2 million as well as increased professional services of $0.1 million.</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44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20" w:type="dxa"/>
            <w:vAlign w:val="bottom"/>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56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(260)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263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51"/>
        </w:trPr>
        <w:tc>
          <w:tcPr>
            <w:tcW w:w="542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1020" w:type="dxa"/>
            <w:vAlign w:val="bottom"/>
          </w:tcPr>
          <w:p>
            <w:pPr>
              <w:spacing w:after="0"/>
              <w:rPr>
                <w:sz w:val="21"/>
                <w:szCs w:val="21"/>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0%</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231F20"/>
        </w:rPr>
        <w:t xml:space="preserve">Other income (expense), net increased $0.3 million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2013</w:t>
      </w:r>
      <w:r>
        <w:rPr>
          <w:rFonts w:ascii="Arial" w:cs="Arial" w:eastAsia="Arial" w:hAnsi="Arial"/>
          <w:sz w:val="18"/>
          <w:szCs w:val="18"/>
          <w:color w:val="231F20"/>
        </w:rPr>
        <w:t>, primarily due to lower foreign currency exchange losses of $0.2 million in the first quarter of 2014.</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112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62"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231F20"/>
        </w:rPr>
        <w:t xml:space="preserve">Provision for income taxes increased </w:t>
      </w:r>
      <w:r>
        <w:rPr>
          <w:rFonts w:ascii="Arial" w:cs="Arial" w:eastAsia="Arial" w:hAnsi="Arial"/>
          <w:sz w:val="18"/>
          <w:szCs w:val="18"/>
          <w:color w:val="000000"/>
        </w:rPr>
        <w:t>$0.1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2013</w:t>
      </w:r>
      <w:r>
        <w:rPr>
          <w:rFonts w:ascii="Arial" w:cs="Arial" w:eastAsia="Arial" w:hAnsi="Arial"/>
          <w:sz w:val="18"/>
          <w:szCs w:val="18"/>
          <w:color w:val="231F20"/>
        </w:rPr>
        <w:t>. The provision for income taxes is primarily for taxes on income in foreign jurisdictions and state income taxes in the United</w:t>
      </w:r>
      <w:r>
        <w:rPr>
          <w:rFonts w:ascii="Arial" w:cs="Arial" w:eastAsia="Arial" w:hAnsi="Arial"/>
          <w:sz w:val="18"/>
          <w:szCs w:val="18"/>
          <w:color w:val="000000"/>
        </w:rPr>
        <w:t xml:space="preserve"> </w:t>
      </w:r>
      <w:r>
        <w:rPr>
          <w:rFonts w:ascii="Arial" w:cs="Arial" w:eastAsia="Arial" w:hAnsi="Arial"/>
          <w:sz w:val="18"/>
          <w:szCs w:val="18"/>
          <w:color w:val="231F20"/>
        </w:rPr>
        <w:t xml:space="preserve">States. The increase is </w:t>
      </w:r>
      <w:r>
        <w:rPr>
          <w:rFonts w:ascii="Arial" w:cs="Arial" w:eastAsia="Arial" w:hAnsi="Arial"/>
          <w:sz w:val="18"/>
          <w:szCs w:val="18"/>
          <w:color w:val="000000"/>
        </w:rPr>
        <w:t>due to higher taxable income in foreign and state jurisdictions, primarily resulting from higher non-deductible stock-based compensation in the current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2014</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$145.0</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$2.7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We have experienced positive cash flows from operations during the three months ended </w:t>
      </w:r>
      <w:r>
        <w:rPr>
          <w:rFonts w:ascii="Arial" w:cs="Arial" w:eastAsia="Arial" w:hAnsi="Arial"/>
          <w:sz w:val="18"/>
          <w:szCs w:val="18"/>
          <w:color w:val="000000"/>
        </w:rPr>
        <w:t>March 31, 2014</w:t>
      </w:r>
      <w:r>
        <w:rPr>
          <w:rFonts w:ascii="Arial" w:cs="Arial" w:eastAsia="Arial" w:hAnsi="Arial"/>
          <w:sz w:val="18"/>
          <w:szCs w:val="18"/>
          <w:color w:val="231F20"/>
        </w:rPr>
        <w:t xml:space="preserve"> and 2013.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9"/>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10,059</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provided by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(10,167)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1,743</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12,220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93" w:lineRule="exact"/>
        <w:rPr>
          <w:sz w:val="20"/>
          <w:szCs w:val="20"/>
          <w:color w:val="auto"/>
        </w:rPr>
      </w:pPr>
    </w:p>
    <w:p>
      <w:pPr>
        <w:ind w:right="460" w:firstLine="486"/>
        <w:spacing w:after="0" w:line="250"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$15.1 million</w:t>
      </w:r>
      <w:r>
        <w:rPr>
          <w:rFonts w:ascii="Arial" w:cs="Arial" w:eastAsia="Arial" w:hAnsi="Arial"/>
          <w:sz w:val="18"/>
          <w:szCs w:val="18"/>
          <w:color w:val="231F20"/>
        </w:rPr>
        <w:t xml:space="preserve"> in cash related to a decrease of accounts receivable of $6.7 million due to lower bookings in the first quarter compared to the fourth quarter of the prior year and an increase of </w:t>
      </w:r>
      <w:r>
        <w:rPr>
          <w:rFonts w:ascii="Arial" w:cs="Arial" w:eastAsia="Arial" w:hAnsi="Arial"/>
          <w:sz w:val="18"/>
          <w:szCs w:val="18"/>
          <w:color w:val="000000"/>
        </w:rPr>
        <w:t>$3.9</w:t>
      </w:r>
      <w:r>
        <w:rPr>
          <w:rFonts w:ascii="Arial" w:cs="Arial" w:eastAsia="Arial" w:hAnsi="Arial"/>
          <w:sz w:val="18"/>
          <w:szCs w:val="18"/>
          <w:color w:val="231F20"/>
        </w:rPr>
        <w:t xml:space="preserve"> </w:t>
      </w:r>
      <w:r>
        <w:rPr>
          <w:rFonts w:ascii="Arial" w:cs="Arial" w:eastAsia="Arial" w:hAnsi="Arial"/>
          <w:sz w:val="18"/>
          <w:szCs w:val="18"/>
          <w:color w:val="000000"/>
        </w:rPr>
        <w:t>million in deferred revenues attributable to our continued growth.</w:t>
      </w:r>
    </w:p>
    <w:p>
      <w:pPr>
        <w:spacing w:after="0" w:line="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These working capital increases are partially offset by a net loss of $0.4 million, adjusted by non-cash items including depreciation and amortization of $2.8 million and stock-based compensation of $2.1 million</w:t>
      </w:r>
      <w:r>
        <w:rPr>
          <w:rFonts w:ascii="Arial" w:cs="Arial" w:eastAsia="Arial" w:hAnsi="Arial"/>
          <w:sz w:val="18"/>
          <w:szCs w:val="18"/>
          <w:color w:val="231F20"/>
        </w:rPr>
        <w:t>.</w:t>
      </w:r>
    </w:p>
    <w:p>
      <w:pPr>
        <w:spacing w:after="0" w:line="196"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$10.1 million</w:t>
      </w:r>
      <w:r>
        <w:rPr>
          <w:rFonts w:ascii="Arial" w:cs="Arial" w:eastAsia="Arial" w:hAnsi="Arial"/>
          <w:sz w:val="18"/>
          <w:szCs w:val="18"/>
          <w:color w:val="231F20"/>
        </w:rPr>
        <w:t xml:space="preserve"> in cash related to a decrease of accounts receivable of </w:t>
      </w:r>
      <w:r>
        <w:rPr>
          <w:rFonts w:ascii="Arial" w:cs="Arial" w:eastAsia="Arial" w:hAnsi="Arial"/>
          <w:sz w:val="18"/>
          <w:szCs w:val="18"/>
          <w:color w:val="000000"/>
        </w:rPr>
        <w:t>$5.5 million</w:t>
      </w:r>
      <w:r>
        <w:rPr>
          <w:rFonts w:ascii="Arial" w:cs="Arial" w:eastAsia="Arial" w:hAnsi="Arial"/>
          <w:sz w:val="18"/>
          <w:szCs w:val="18"/>
          <w:color w:val="231F20"/>
        </w:rPr>
        <w:t xml:space="preserve"> due to lower bookings in the first quarter compared to the fourth quarter of the prior year and an increase of </w:t>
      </w:r>
      <w:r>
        <w:rPr>
          <w:rFonts w:ascii="Arial" w:cs="Arial" w:eastAsia="Arial" w:hAnsi="Arial"/>
          <w:sz w:val="18"/>
          <w:szCs w:val="18"/>
          <w:color w:val="000000"/>
        </w:rPr>
        <w:t>$1.1</w:t>
      </w:r>
      <w:r>
        <w:rPr>
          <w:rFonts w:ascii="Arial" w:cs="Arial" w:eastAsia="Arial" w:hAnsi="Arial"/>
          <w:sz w:val="18"/>
          <w:szCs w:val="18"/>
          <w:color w:val="231F20"/>
        </w:rPr>
        <w:t xml:space="preserve"> </w:t>
      </w:r>
      <w:r>
        <w:rPr>
          <w:rFonts w:ascii="Arial" w:cs="Arial" w:eastAsia="Arial" w:hAnsi="Arial"/>
          <w:sz w:val="18"/>
          <w:szCs w:val="18"/>
          <w:color w:val="000000"/>
        </w:rPr>
        <w:t>million in deferred revenues attributable to our continued growth. These working capital increases are partially offset by a net loss of $0.6 million</w:t>
      </w:r>
      <w:r>
        <w:rPr>
          <w:rFonts w:ascii="Arial" w:cs="Arial" w:eastAsia="Arial" w:hAnsi="Arial"/>
          <w:sz w:val="18"/>
          <w:szCs w:val="18"/>
          <w:color w:val="231F20"/>
        </w:rPr>
        <w:t>, adjusted by non-cash items including depreciation and amortization of</w:t>
      </w:r>
      <w:r>
        <w:rPr>
          <w:rFonts w:ascii="Arial" w:cs="Arial" w:eastAsia="Arial" w:hAnsi="Arial"/>
          <w:sz w:val="18"/>
          <w:szCs w:val="18"/>
          <w:color w:val="000000"/>
        </w:rPr>
        <w:t xml:space="preserve"> $2.1 million </w:t>
      </w:r>
      <w:r>
        <w:rPr>
          <w:rFonts w:ascii="Arial" w:cs="Arial" w:eastAsia="Arial" w:hAnsi="Arial"/>
          <w:sz w:val="18"/>
          <w:szCs w:val="18"/>
          <w:color w:val="231F20"/>
        </w:rPr>
        <w:t>and stock-based compensation of</w:t>
      </w:r>
      <w:r>
        <w:rPr>
          <w:rFonts w:ascii="Arial" w:cs="Arial" w:eastAsia="Arial" w:hAnsi="Arial"/>
          <w:sz w:val="18"/>
          <w:szCs w:val="18"/>
          <w:color w:val="000000"/>
        </w:rPr>
        <w:t xml:space="preserve"> $0.9 million</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$ 10.2 million was primarily attributable to the use of $3.8</w:t>
      </w:r>
      <w:r>
        <w:rPr>
          <w:rFonts w:ascii="Arial" w:cs="Arial" w:eastAsia="Arial" w:hAnsi="Arial"/>
          <w:sz w:val="18"/>
          <w:szCs w:val="18"/>
          <w:color w:val="231F20"/>
        </w:rPr>
        <w:t xml:space="preserve"> </w:t>
      </w:r>
      <w:r>
        <w:rPr>
          <w:rFonts w:ascii="Arial" w:cs="Arial" w:eastAsia="Arial" w:hAnsi="Arial"/>
          <w:sz w:val="18"/>
          <w:szCs w:val="18"/>
          <w:color w:val="000000"/>
        </w:rPr>
        <w:t>million of cash for capital expenditures, including computer hardware and software for our data centers to support our growth and development, and to purchase physical scanner appliances and computer hardware provided to certain customers as part of their subscriptions. There were also purchases of investments of $47.5 million, partially offset by the sales and maturities of investments of $41.1 million.</w:t>
      </w:r>
    </w:p>
    <w:p>
      <w:pPr>
        <w:spacing w:after="0" w:line="2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investing activities provided $1.7 million. This increase is primarily attributable to the sale of investments of $65.3 million, partially offset by the purchase of investments of $59.9 million, and the use of </w:t>
      </w:r>
      <w:r>
        <w:rPr>
          <w:rFonts w:ascii="Arial" w:cs="Arial" w:eastAsia="Arial" w:hAnsi="Arial"/>
          <w:sz w:val="18"/>
          <w:szCs w:val="18"/>
          <w:color w:val="000000"/>
        </w:rPr>
        <w:t>$3.7 million of cash for capital</w:t>
      </w:r>
      <w:r>
        <w:rPr>
          <w:rFonts w:ascii="Arial" w:cs="Arial" w:eastAsia="Arial" w:hAnsi="Arial"/>
          <w:sz w:val="18"/>
          <w:szCs w:val="18"/>
          <w:color w:val="231F20"/>
        </w:rPr>
        <w:t xml:space="preserve"> </w:t>
      </w:r>
      <w:r>
        <w:rPr>
          <w:rFonts w:ascii="Arial" w:cs="Arial" w:eastAsia="Arial" w:hAnsi="Arial"/>
          <w:sz w:val="18"/>
          <w:szCs w:val="18"/>
          <w:color w:val="000000"/>
        </w:rPr>
        <w:t>expenditures, including computer hardware and software for our data centers to support our growth and development, and to purchase physical scanner appliances and computer hardware provided to certain customers as part of their subscriptions.</w:t>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93"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$1.0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$1.3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$0.3 million</w:t>
      </w:r>
      <w:r>
        <w:rPr>
          <w:rFonts w:ascii="Arial" w:cs="Arial" w:eastAsia="Arial" w:hAnsi="Arial"/>
          <w:sz w:val="18"/>
          <w:szCs w:val="18"/>
          <w:color w:val="231F20"/>
        </w:rPr>
        <w:t>.</w:t>
      </w:r>
    </w:p>
    <w:p>
      <w:pPr>
        <w:spacing w:after="0" w:line="196"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three months ended March 31, 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$0.5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$0.8 million</w:t>
      </w:r>
      <w:r>
        <w:rPr>
          <w:rFonts w:ascii="Arial" w:cs="Arial" w:eastAsia="Arial" w:hAnsi="Arial"/>
          <w:sz w:val="18"/>
          <w:szCs w:val="18"/>
          <w:color w:val="231F20"/>
        </w:rPr>
        <w:t xml:space="preserve"> of proceeds from the exercise of stock options, partially offset by repayments on our capital lease obligations of </w:t>
      </w:r>
      <w:r>
        <w:rPr>
          <w:rFonts w:ascii="Arial" w:cs="Arial" w:eastAsia="Arial" w:hAnsi="Arial"/>
          <w:sz w:val="18"/>
          <w:szCs w:val="18"/>
          <w:color w:val="000000"/>
        </w:rPr>
        <w:t>$0.3 million</w:t>
      </w:r>
      <w:r>
        <w:rPr>
          <w:rFonts w:ascii="Arial" w:cs="Arial" w:eastAsia="Arial" w:hAnsi="Arial"/>
          <w:sz w:val="18"/>
          <w:szCs w:val="18"/>
          <w:color w:val="231F20"/>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and third-party data centers, and capital lease and third-party software maintenance obligations. The following table summarizes our contractual cash obligations, including future interest payments, at </w:t>
      </w:r>
      <w:r>
        <w:rPr>
          <w:rFonts w:ascii="Arial" w:cs="Arial" w:eastAsia="Arial" w:hAnsi="Arial"/>
          <w:sz w:val="18"/>
          <w:szCs w:val="18"/>
          <w:color w:val="000000"/>
        </w:rPr>
        <w:t>March 31, 2014</w:t>
      </w:r>
      <w:r>
        <w:rPr>
          <w:rFonts w:ascii="Arial" w:cs="Arial" w:eastAsia="Arial" w:hAnsi="Arial"/>
          <w:sz w:val="18"/>
          <w:szCs w:val="18"/>
          <w:color w:val="231F20"/>
        </w:rPr>
        <w:t xml:space="preserve"> and the effect such obligations are expected to have on our liquidity and cash flows in future periods: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6"/>
                <w:szCs w:val="16"/>
                <w:b w:val="1"/>
                <w:bCs w:val="1"/>
                <w:color w:val="auto"/>
              </w:rPr>
              <w:t>Payment Due by Period</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1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 and</w:t>
            </w:r>
          </w:p>
        </w:tc>
      </w:tr>
      <w:tr>
        <w:trPr>
          <w:trHeight w:val="180"/>
        </w:trPr>
        <w:tc>
          <w:tcPr>
            <w:tcW w:w="4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jc w:val="right"/>
              <w:ind w:right="419"/>
              <w:spacing w:after="0" w:line="181" w:lineRule="exact"/>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rPr>
              <w:t>2015-2016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2017-2018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Maintenance obligations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10,265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4,627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r>
      <w:tr>
        <w:trPr>
          <w:trHeight w:val="20"/>
        </w:trPr>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right="280" w:hanging="332"/>
        <w:spacing w:after="0" w:line="261" w:lineRule="auto"/>
        <w:tabs>
          <w:tab w:leader="none" w:pos="232"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three months ended March 31, 2014</w:t>
      </w:r>
      <w:r>
        <w:rPr>
          <w:rFonts w:ascii="Arial" w:cs="Arial" w:eastAsia="Arial" w:hAnsi="Arial"/>
          <w:sz w:val="14"/>
          <w:szCs w:val="14"/>
          <w:color w:val="231F20"/>
        </w:rPr>
        <w:t>, we made regular payments on our operating lease obligations of $1.1 million.</w:t>
      </w:r>
    </w:p>
    <w:p>
      <w:pPr>
        <w:ind w:left="340" w:right="40" w:hanging="332"/>
        <w:spacing w:after="0" w:line="251" w:lineRule="auto"/>
        <w:tabs>
          <w:tab w:leader="none" w:pos="232"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 xml:space="preserve">Capital lease obligations represent financing on computer software purchases. During the </w:t>
      </w:r>
      <w:r>
        <w:rPr>
          <w:rFonts w:ascii="Arial" w:cs="Arial" w:eastAsia="Arial" w:hAnsi="Arial"/>
          <w:sz w:val="14"/>
          <w:szCs w:val="14"/>
          <w:color w:val="000000"/>
        </w:rPr>
        <w:t>three months ended March 31, 2014</w:t>
      </w:r>
      <w:r>
        <w:rPr>
          <w:rFonts w:ascii="Arial" w:cs="Arial" w:eastAsia="Arial" w:hAnsi="Arial"/>
          <w:sz w:val="14"/>
          <w:szCs w:val="14"/>
          <w:color w:val="231F20"/>
        </w:rPr>
        <w:t xml:space="preserve">, we made regular payments on our capital lease obligations of </w:t>
      </w:r>
      <w:r>
        <w:rPr>
          <w:rFonts w:ascii="Arial" w:cs="Arial" w:eastAsia="Arial" w:hAnsi="Arial"/>
          <w:sz w:val="14"/>
          <w:szCs w:val="14"/>
          <w:color w:val="000000"/>
        </w:rPr>
        <w:t>$0.3 million</w:t>
      </w:r>
      <w:r>
        <w:rPr>
          <w:rFonts w:ascii="Arial" w:cs="Arial" w:eastAsia="Arial" w:hAnsi="Arial"/>
          <w:sz w:val="14"/>
          <w:szCs w:val="14"/>
          <w:color w:val="231F20"/>
        </w:rPr>
        <w:t>.</w:t>
      </w:r>
    </w:p>
    <w:p>
      <w:pPr>
        <w:ind w:left="340" w:right="140" w:hanging="332"/>
        <w:spacing w:after="0" w:line="278" w:lineRule="auto"/>
        <w:tabs>
          <w:tab w:leader="none" w:pos="232"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 xml:space="preserve">Maintenance obligations relate to third-party software licenses. During the </w:t>
      </w:r>
      <w:r>
        <w:rPr>
          <w:rFonts w:ascii="Arial" w:cs="Arial" w:eastAsia="Arial" w:hAnsi="Arial"/>
          <w:sz w:val="14"/>
          <w:szCs w:val="14"/>
          <w:color w:val="000000"/>
        </w:rPr>
        <w:t>three months ended March 31, 2014</w:t>
      </w:r>
      <w:r>
        <w:rPr>
          <w:rFonts w:ascii="Arial" w:cs="Arial" w:eastAsia="Arial" w:hAnsi="Arial"/>
          <w:sz w:val="14"/>
          <w:szCs w:val="14"/>
          <w:color w:val="231F20"/>
        </w:rPr>
        <w:t>, we made regular payments on our maintenance obligations of $0.1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2"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2013, filed with the SEC on February 28, 2014,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28"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231F20"/>
        </w:rPr>
        <w:t>We use foreign exchange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$145.0 million in cash, cash equivalents and short-term and long-term investments at March 31, 2014. Cash and cash equivalents include cash held in banks and highly liquid money market funds, corporate bonds and commercial paper. Investments consist of fixed-income U.S. government agency securities, corporate bonds, asset-backed securities, municipal bonds and commercial paper. All of these investments, excluding long-term investments, have maturities of less than one year from date of purchase. Long-term investments have maturities that extend more than one year from date of purchase.</w:t>
      </w:r>
    </w:p>
    <w:p>
      <w:pPr>
        <w:spacing w:after="0" w:line="165"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Due to the nature of these investments held as available-for-sale securities,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74"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71"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47"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maintain profitability in the future. Although we have been profitable in 2013, 2012 and 2011, we have had losses in certain quarters within these years, and also in the most recent quarter ended March 31, 2014. Additionally, our net income for the most recent year ended December 31, 2013 was lower than the prior year, primarily due to increased sales and marketing activities, as we continued to expand our worldwide customer base and focus on the promotion of our new solutions; increased investments to expand our data center infrastructure and to add capacity to deploy new solutions on our cloud platform; and increased personnel, professional services and other expenses to operate as a public company.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to ensure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budgets on these products and may not adopt our security and compliance solutions in addition to or as a replacement for such products.</w:t>
      </w:r>
    </w:p>
    <w:p>
      <w:pPr>
        <w:spacing w:after="0" w:line="225"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41" w:right="3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derived 83</w:t>
      </w:r>
      <w:r>
        <w:rPr>
          <w:rFonts w:ascii="Arial" w:cs="Arial" w:eastAsia="Arial" w:hAnsi="Arial"/>
          <w:sz w:val="18"/>
          <w:szCs w:val="18"/>
          <w:color w:val="000000"/>
        </w:rPr>
        <w:t>% and 85%</w:t>
      </w:r>
      <w:r>
        <w:rPr>
          <w:rFonts w:ascii="Arial" w:cs="Arial" w:eastAsia="Arial" w:hAnsi="Arial"/>
          <w:sz w:val="18"/>
          <w:szCs w:val="18"/>
          <w:color w:val="231F20"/>
        </w:rPr>
        <w:t xml:space="preserve"> of our revenues from subscriptions to our QualysGuard Vulnerability Management solution for the three months ended March 31, 2014 and </w:t>
      </w:r>
      <w:r>
        <w:rPr>
          <w:rFonts w:ascii="Arial" w:cs="Arial" w:eastAsia="Arial" w:hAnsi="Arial"/>
          <w:sz w:val="18"/>
          <w:szCs w:val="18"/>
          <w:color w:val="000000"/>
        </w:rPr>
        <w:t>2013</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added data center facilities in 2013 to provide additional capacity for our cloud platform and to enable disaster recovery. We are continuing to build out these facilities and anticipate they will be fully operational by the end of 2014. However, the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206"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compete with large public companies, such as Barracuda Networks, Inc., Hewlett-Packard Company, Imperva, Inc., International Business Machines Corporation, McAfee, Inc. (a subsidiary of Intel Corporation), and Symantec Corporation, as well as privately held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1"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2011</w:t>
      </w:r>
      <w:r>
        <w:rPr>
          <w:rFonts w:ascii="Arial" w:cs="Arial" w:eastAsia="Arial" w:hAnsi="Arial"/>
          <w:sz w:val="18"/>
          <w:szCs w:val="18"/>
          <w:color w:val="231F20"/>
        </w:rPr>
        <w:t xml:space="preserve"> to </w:t>
      </w:r>
      <w:r>
        <w:rPr>
          <w:rFonts w:ascii="Arial" w:cs="Arial" w:eastAsia="Arial" w:hAnsi="Arial"/>
          <w:sz w:val="18"/>
          <w:szCs w:val="18"/>
          <w:color w:val="000000"/>
        </w:rPr>
        <w:t>2013</w:t>
      </w:r>
      <w:r>
        <w:rPr>
          <w:rFonts w:ascii="Arial" w:cs="Arial" w:eastAsia="Arial" w:hAnsi="Arial"/>
          <w:sz w:val="18"/>
          <w:szCs w:val="18"/>
          <w:color w:val="231F20"/>
        </w:rPr>
        <w:t xml:space="preserve">, our revenues grew from </w:t>
      </w:r>
      <w:r>
        <w:rPr>
          <w:rFonts w:ascii="Arial" w:cs="Arial" w:eastAsia="Arial" w:hAnsi="Arial"/>
          <w:sz w:val="18"/>
          <w:szCs w:val="18"/>
          <w:color w:val="000000"/>
        </w:rPr>
        <w:t>$76.2 million</w:t>
      </w:r>
      <w:r>
        <w:rPr>
          <w:rFonts w:ascii="Arial" w:cs="Arial" w:eastAsia="Arial" w:hAnsi="Arial"/>
          <w:sz w:val="18"/>
          <w:szCs w:val="18"/>
          <w:color w:val="231F20"/>
        </w:rPr>
        <w:t xml:space="preserve"> to $108.0 million, and our headcount increased from 256 employees at the beginning of 2011 to 414 employees at March 31, 2014.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1"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the three months ended March 31, 2014 and </w:t>
      </w:r>
      <w:r>
        <w:rPr>
          <w:rFonts w:ascii="Arial" w:cs="Arial" w:eastAsia="Arial" w:hAnsi="Arial"/>
          <w:sz w:val="18"/>
          <w:szCs w:val="18"/>
          <w:color w:val="000000"/>
        </w:rPr>
        <w:t>2013</w:t>
      </w:r>
      <w:r>
        <w:rPr>
          <w:rFonts w:ascii="Arial" w:cs="Arial" w:eastAsia="Arial" w:hAnsi="Arial"/>
          <w:sz w:val="18"/>
          <w:szCs w:val="18"/>
          <w:color w:val="231F20"/>
        </w:rPr>
        <w:t>, we derived approximately</w:t>
      </w:r>
      <w:r>
        <w:rPr>
          <w:rFonts w:ascii="Arial" w:cs="Arial" w:eastAsia="Arial" w:hAnsi="Arial"/>
          <w:sz w:val="18"/>
          <w:szCs w:val="18"/>
          <w:color w:val="000000"/>
        </w:rPr>
        <w:t xml:space="preserve"> 38% and 39%, </w:t>
      </w:r>
      <w:r>
        <w:rPr>
          <w:rFonts w:ascii="Arial" w:cs="Arial" w:eastAsia="Arial" w:hAnsi="Arial"/>
          <w:sz w:val="18"/>
          <w:szCs w:val="18"/>
          <w:color w:val="231F20"/>
        </w:rPr>
        <w:t>of our revenues, respectively, from sales of subscriptions for our solutions through channel</w:t>
      </w:r>
      <w:r>
        <w:rPr>
          <w:rFonts w:ascii="Arial" w:cs="Arial" w:eastAsia="Arial" w:hAnsi="Arial"/>
          <w:sz w:val="18"/>
          <w:szCs w:val="18"/>
          <w:color w:val="000000"/>
        </w:rPr>
        <w:t xml:space="preserve"> </w:t>
      </w:r>
      <w:r>
        <w:rPr>
          <w:rFonts w:ascii="Arial" w:cs="Arial" w:eastAsia="Arial" w:hAnsi="Arial"/>
          <w:sz w:val="18"/>
          <w:szCs w:val="18"/>
          <w:color w:val="231F20"/>
        </w:rPr>
        <w:t>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three months ended March 31, 2014, we incurred approximately </w:t>
      </w:r>
      <w:r>
        <w:rPr>
          <w:rFonts w:ascii="Arial" w:cs="Arial" w:eastAsia="Arial" w:hAnsi="Arial"/>
          <w:sz w:val="18"/>
          <w:szCs w:val="18"/>
          <w:color w:val="000000"/>
        </w:rPr>
        <w:t>20%</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for the three months ended March 31, 2014 approximately </w:t>
      </w:r>
      <w:r>
        <w:rPr>
          <w:rFonts w:ascii="Arial" w:cs="Arial" w:eastAsia="Arial" w:hAnsi="Arial"/>
          <w:sz w:val="18"/>
          <w:szCs w:val="18"/>
          <w:color w:val="000000"/>
        </w:rPr>
        <w:t>18%</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1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have three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$0.5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March 31, 2014</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19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231F20"/>
        </w:rPr>
        <w:t xml:space="preserve">We are required under </w:t>
      </w:r>
      <w:r>
        <w:rPr>
          <w:rFonts w:ascii="Arial" w:cs="Arial" w:eastAsia="Arial" w:hAnsi="Arial"/>
          <w:sz w:val="18"/>
          <w:szCs w:val="18"/>
          <w:color w:val="000000"/>
        </w:rPr>
        <w:t>accounting principles generally accepted in the United States (“U.S. GAAP”)</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1" w:right="2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common stock valuations and fair value measurement.</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41"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$51.4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90"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6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2014</w:t>
      </w:r>
      <w:r>
        <w:rPr>
          <w:rFonts w:ascii="Arial" w:cs="Arial" w:eastAsia="Arial" w:hAnsi="Arial"/>
          <w:sz w:val="18"/>
          <w:szCs w:val="18"/>
          <w:color w:val="231F20"/>
        </w:rPr>
        <w:t>, our executive officers, directors and holders of 5% or more of our outstanding common stock beneficially own, in the aggregate, approximately 50%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2014, we had approximately 32.6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In addition, as of March 31, 2014, we had outstanding options to purchase approximately 7.4 million shares of common stock options that, if exercised, will result in these additional shares becoming available for sale. As of March 31, 2014, we had an aggregate of </w:t>
      </w:r>
      <w:r>
        <w:rPr>
          <w:rFonts w:ascii="Arial" w:cs="Arial" w:eastAsia="Arial" w:hAnsi="Arial"/>
          <w:sz w:val="18"/>
          <w:szCs w:val="18"/>
          <w:color w:val="000000"/>
        </w:rPr>
        <w:t>2.1 million</w:t>
      </w:r>
      <w:r>
        <w:rPr>
          <w:rFonts w:ascii="Arial" w:cs="Arial" w:eastAsia="Arial" w:hAnsi="Arial"/>
          <w:sz w:val="18"/>
          <w:szCs w:val="18"/>
          <w:color w:val="231F20"/>
        </w:rPr>
        <w:t xml:space="preserve">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532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141" w:right="49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May 8, 2014.</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1"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1380" w:type="dxa"/>
            <w:vAlign w:val="bottom"/>
            <w:gridSpan w:val="3"/>
          </w:tcPr>
          <w:p>
            <w:pPr>
              <w:jc w:val="center"/>
              <w:ind w:right="120"/>
              <w:spacing w:after="0"/>
              <w:rPr>
                <w:rFonts w:ascii="Arial" w:cs="Arial" w:eastAsia="Arial" w:hAnsi="Arial"/>
                <w:sz w:val="16"/>
                <w:szCs w:val="16"/>
                <w:color w:val="0000EE"/>
                <w:w w:val="99"/>
              </w:rPr>
            </w:pPr>
            <w:hyperlink w:anchor="page1">
              <w:r>
                <w:rPr>
                  <w:rFonts w:ascii="Arial" w:cs="Arial" w:eastAsia="Arial" w:hAnsi="Arial"/>
                  <w:sz w:val="16"/>
                  <w:szCs w:val="16"/>
                  <w:color w:val="0000EE"/>
                  <w:w w:val="99"/>
                </w:rPr>
                <w:t>Table of Contents</w:t>
              </w:r>
            </w:hyperlink>
          </w:p>
        </w:tc>
        <w:tc>
          <w:tcPr>
            <w:tcW w:w="10040" w:type="dxa"/>
            <w:vAlign w:val="bottom"/>
          </w:tcPr>
          <w:p>
            <w:pPr>
              <w:spacing w:after="0"/>
              <w:rPr>
                <w:sz w:val="16"/>
                <w:szCs w:val="16"/>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Exhibit</w:t>
            </w:r>
          </w:p>
        </w:tc>
        <w:tc>
          <w:tcPr>
            <w:tcW w:w="10040" w:type="dxa"/>
            <w:vAlign w:val="bottom"/>
          </w:tcPr>
          <w:p>
            <w:pPr>
              <w:spacing w:after="0"/>
              <w:rPr>
                <w:sz w:val="24"/>
                <w:szCs w:val="24"/>
                <w:color w:val="auto"/>
              </w:rPr>
            </w:pPr>
          </w:p>
        </w:tc>
      </w:tr>
      <w:tr>
        <w:trPr>
          <w:trHeight w:val="224"/>
        </w:trPr>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Number</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431"/>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44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and 18 U.S.C. Section 1350 as adopted pursuant to Section 906 of The Sarbanes-Oxley Act of 2002.</w:t>
            </w:r>
          </w:p>
        </w:tc>
      </w:tr>
      <w:tr>
        <w:trPr>
          <w:trHeight w:val="485"/>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and 18 U.S.C. Section 1350 as adopted pursuant to Section 906 of The 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color w:val="auto"/>
              </w:rPr>
              <w:t>INS^^</w:t>
            </w:r>
          </w:p>
        </w:tc>
        <w:tc>
          <w:tcPr>
            <w:tcW w:w="10040" w:type="dxa"/>
            <w:vAlign w:val="bottom"/>
          </w:tcPr>
          <w:p>
            <w:pPr>
              <w:ind w:left="40"/>
              <w:spacing w:after="0"/>
              <w:rPr>
                <w:sz w:val="20"/>
                <w:szCs w:val="20"/>
                <w:color w:val="auto"/>
              </w:rPr>
            </w:pPr>
            <w:r>
              <w:rPr>
                <w:rFonts w:ascii="Arial" w:cs="Arial" w:eastAsia="Arial" w:hAnsi="Arial"/>
                <w:sz w:val="18"/>
                <w:szCs w:val="18"/>
                <w:color w:val="231F20"/>
              </w:rPr>
              <w:t>XBRL Instance Document</w:t>
            </w:r>
          </w:p>
        </w:tc>
      </w:tr>
      <w:tr>
        <w:trPr>
          <w:trHeight w:val="500"/>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 SCH^^</w:t>
            </w:r>
          </w:p>
        </w:tc>
        <w:tc>
          <w:tcPr>
            <w:tcW w:w="10040" w:type="dxa"/>
            <w:vAlign w:val="bottom"/>
          </w:tcPr>
          <w:p>
            <w:pPr>
              <w:ind w:left="4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CAL^^</w:t>
            </w:r>
          </w:p>
        </w:tc>
        <w:tc>
          <w:tcPr>
            <w:tcW w:w="10040" w:type="dxa"/>
            <w:vAlign w:val="bottom"/>
          </w:tcPr>
          <w:p>
            <w:pPr>
              <w:ind w:left="4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DEF^^</w:t>
            </w:r>
          </w:p>
        </w:tc>
        <w:tc>
          <w:tcPr>
            <w:tcW w:w="10040" w:type="dxa"/>
            <w:vAlign w:val="bottom"/>
          </w:tcPr>
          <w:p>
            <w:pPr>
              <w:ind w:left="4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LAB^^</w:t>
            </w:r>
          </w:p>
        </w:tc>
        <w:tc>
          <w:tcPr>
            <w:tcW w:w="10040" w:type="dxa"/>
            <w:vAlign w:val="bottom"/>
          </w:tcPr>
          <w:p>
            <w:pPr>
              <w:ind w:left="4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PRE^^</w:t>
            </w:r>
          </w:p>
        </w:tc>
        <w:tc>
          <w:tcPr>
            <w:tcW w:w="10040" w:type="dxa"/>
            <w:vAlign w:val="bottom"/>
          </w:tcPr>
          <w:p>
            <w:pPr>
              <w:ind w:left="4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60" w:hanging="492"/>
        <w:spacing w:after="0" w:line="253" w:lineRule="auto"/>
        <w:tabs>
          <w:tab w:leader="none" w:pos="5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right="40" w:hanging="492"/>
        <w:spacing w:after="0" w:line="302" w:lineRule="auto"/>
        <w:tabs>
          <w:tab w:leader="none" w:pos="500" w:val="left"/>
        </w:tabs>
        <w:numPr>
          <w:ilvl w:val="0"/>
          <w:numId w:val="15"/>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8,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May 8, 2014</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2014,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8, 2014</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2014,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2014</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2"/>
    </w:lvl>
  </w:abstractNum>
  <w:abstractNum w:abstractNumId="18">
    <w:nsid w:val="7C83E45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2019-12-06T23:51:24Z</dcterms:created>
  <dcterms:modified xsi:type="dcterms:W3CDTF">2019-12-06T23:51:24Z</dcterms:modified>
</cp:coreProperties>
</file>