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05" w:lineRule="exact"/>
        <w:rPr>
          <w:sz w:val="24"/>
          <w:szCs w:val="24"/>
          <w:color w:val="auto"/>
        </w:rPr>
      </w:pPr>
    </w:p>
    <w:p>
      <w:pPr>
        <w:ind w:left="3760" w:right="3520" w:hanging="3752"/>
        <w:spacing w:after="0" w:line="544" w:lineRule="auto"/>
        <w:tabs>
          <w:tab w:leader="none" w:pos="33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2022</w:t>
      </w:r>
    </w:p>
    <w:p>
      <w:pPr>
        <w:spacing w:after="0" w:line="3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000"/>
          </w:cols>
          <w:pgMar w:left="320" w:top="719" w:right="579" w:bottom="1440" w:gutter="0" w:footer="0" w:header="0"/>
        </w:sectPr>
      </w:pPr>
    </w:p>
    <w:p>
      <w:pPr>
        <w:spacing w:after="0" w:line="20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77-0534145</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719" w:right="57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919 E. Hillsdale Boulevard, 4th Floor, Foster City, California 94404</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801-6100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00"/>
          </w:cols>
          <w:pgMar w:left="320" w:top="719" w:right="579" w:bottom="1440" w:gutter="0" w:footer="0" w:header="0"/>
          <w:type w:val="continuous"/>
        </w:sectPr>
      </w:pPr>
    </w:p>
    <w:p>
      <w:pPr>
        <w:spacing w:after="0" w:line="20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340"/>
          </w:cols>
          <w:pgMar w:left="320" w:top="719" w:right="579" w:bottom="1440" w:gutter="0" w:footer="0" w:header="0"/>
          <w:type w:val="continuous"/>
        </w:sectPr>
      </w:pPr>
    </w:p>
    <w:p>
      <w:pPr>
        <w:spacing w:after="0" w:line="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3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right="14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April 28, 2022 was 38,834,053.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19" w:right="5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0" w:type="dxa"/>
            <w:vAlign w:val="bottom"/>
            <w:gridSpan w:val="4"/>
          </w:tcPr>
          <w:p>
            <w:pPr>
              <w:jc w:val="center"/>
              <w:ind w:right="2880"/>
              <w:spacing w:after="0"/>
              <w:rPr>
                <w:sz w:val="20"/>
                <w:szCs w:val="20"/>
                <w:color w:val="auto"/>
              </w:rPr>
            </w:pPr>
            <w:r>
              <w:rPr>
                <w:rFonts w:ascii="Arial" w:cs="Arial" w:eastAsia="Arial" w:hAnsi="Arial"/>
                <w:sz w:val="18"/>
                <w:szCs w:val="18"/>
                <w:b w:val="1"/>
                <w:bCs w:val="1"/>
                <w:color w:val="auto"/>
                <w:w w:val="90"/>
              </w:rPr>
              <w:t>Qualys, Inc.</w:t>
            </w: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gridSpan w:val="5"/>
          </w:tcPr>
          <w:p>
            <w:pPr>
              <w:ind w:left="1720"/>
              <w:spacing w:after="0"/>
              <w:rPr>
                <w:sz w:val="20"/>
                <w:szCs w:val="20"/>
                <w:color w:val="auto"/>
              </w:rPr>
            </w:pPr>
            <w:r>
              <w:rPr>
                <w:rFonts w:ascii="Arial" w:cs="Arial" w:eastAsia="Arial" w:hAnsi="Arial"/>
                <w:sz w:val="18"/>
                <w:szCs w:val="18"/>
                <w:color w:val="auto"/>
              </w:rPr>
              <w:t>Page</w:t>
            </w:r>
          </w:p>
        </w:tc>
      </w:tr>
      <w:tr>
        <w:trPr>
          <w:trHeight w:val="190"/>
        </w:trPr>
        <w:tc>
          <w:tcPr>
            <w:tcW w:w="8960" w:type="dxa"/>
            <w:vAlign w:val="bottom"/>
            <w:gridSpan w:val="18"/>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Risk Factor Summary</w:t>
              </w:r>
            </w:hyperlink>
          </w:p>
        </w:tc>
        <w:tc>
          <w:tcPr>
            <w:tcW w:w="1980" w:type="dxa"/>
            <w:vAlign w:val="bottom"/>
            <w:gridSpan w:val="4"/>
          </w:tcPr>
          <w:p>
            <w:pPr>
              <w:jc w:val="center"/>
              <w:ind w:left="1710"/>
              <w:spacing w:after="0" w:line="19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300" w:type="dxa"/>
            <w:vAlign w:val="bottom"/>
          </w:tcPr>
          <w:p>
            <w:pPr>
              <w:spacing w:after="0"/>
              <w:rPr>
                <w:sz w:val="16"/>
                <w:szCs w:val="16"/>
                <w:color w:val="auto"/>
              </w:rPr>
            </w:pPr>
          </w:p>
        </w:tc>
      </w:tr>
      <w:tr>
        <w:trPr>
          <w:trHeight w:val="222"/>
        </w:trPr>
        <w:tc>
          <w:tcPr>
            <w:tcW w:w="80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rPr>
              <w:t>PART I – FINANCIAL INFORMATION</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8160" w:type="dxa"/>
            <w:vAlign w:val="bottom"/>
            <w:gridSpan w:val="17"/>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1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3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w:t>
              </w:r>
            </w:hyperlink>
          </w:p>
        </w:tc>
        <w:tc>
          <w:tcPr>
            <w:tcW w:w="1980" w:type="dxa"/>
            <w:vAlign w:val="bottom"/>
            <w:gridSpan w:val="4"/>
          </w:tcPr>
          <w:p>
            <w:pPr>
              <w:jc w:val="center"/>
              <w:ind w:left="1710"/>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860" w:type="dxa"/>
            <w:vAlign w:val="bottom"/>
            <w:tcBorders>
              <w:top w:val="single" w:sz="8" w:color="0000EE"/>
            </w:tcBorders>
            <w:gridSpan w:val="4"/>
          </w:tcPr>
          <w:p>
            <w:pPr>
              <w:spacing w:after="0"/>
              <w:rPr>
                <w:sz w:val="17"/>
                <w:szCs w:val="17"/>
                <w:color w:val="auto"/>
              </w:rPr>
            </w:pPr>
          </w:p>
        </w:tc>
        <w:tc>
          <w:tcPr>
            <w:tcW w:w="358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Stockholders' Equity</w:t>
              </w:r>
            </w:hyperlink>
          </w:p>
        </w:tc>
        <w:tc>
          <w:tcPr>
            <w:tcW w:w="3760" w:type="dxa"/>
            <w:vAlign w:val="bottom"/>
            <w:gridSpan w:val="3"/>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4160" w:type="dxa"/>
            <w:vAlign w:val="bottom"/>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16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3"/>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210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tcBorders>
              <w:left w:val="single" w:sz="8" w:color="0000EE"/>
            </w:tcBorders>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60" w:type="dxa"/>
            <w:vAlign w:val="bottom"/>
            <w:gridSpan w:val="13"/>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37</w:t>
              </w:r>
            </w:hyperlink>
          </w:p>
        </w:tc>
      </w:tr>
      <w:tr>
        <w:trPr>
          <w:trHeight w:val="222"/>
        </w:trPr>
        <w:tc>
          <w:tcPr>
            <w:tcW w:w="800" w:type="dxa"/>
            <w:vAlign w:val="bottom"/>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180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line="190"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Legal Proceedings</w:t>
              </w:r>
            </w:hyperlink>
          </w:p>
        </w:tc>
        <w:tc>
          <w:tcPr>
            <w:tcW w:w="6840" w:type="dxa"/>
            <w:vAlign w:val="bottom"/>
            <w:gridSpan w:val="12"/>
          </w:tcPr>
          <w:p>
            <w:pPr>
              <w:spacing w:after="0"/>
              <w:rPr>
                <w:sz w:val="16"/>
                <w:szCs w:val="16"/>
                <w:color w:val="auto"/>
              </w:rPr>
            </w:pPr>
          </w:p>
        </w:tc>
        <w:tc>
          <w:tcPr>
            <w:tcW w:w="2280" w:type="dxa"/>
            <w:vAlign w:val="bottom"/>
            <w:gridSpan w:val="5"/>
          </w:tcPr>
          <w:p>
            <w:pPr>
              <w:jc w:val="center"/>
              <w:ind w:left="1410"/>
              <w:spacing w:after="0" w:line="190"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Defaults upon Senior Securities</w:t>
              </w:r>
            </w:hyperlink>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Mine Safety Disclosures</w:t>
              </w:r>
            </w:hyperlink>
          </w:p>
        </w:tc>
        <w:tc>
          <w:tcPr>
            <w:tcW w:w="500" w:type="dxa"/>
            <w:vAlign w:val="bottom"/>
          </w:tcPr>
          <w:p>
            <w:pPr>
              <w:spacing w:after="0"/>
              <w:rPr>
                <w:sz w:val="17"/>
                <w:szCs w:val="17"/>
                <w:color w:val="auto"/>
              </w:rPr>
            </w:pPr>
          </w:p>
        </w:tc>
        <w:tc>
          <w:tcPr>
            <w:tcW w:w="5880" w:type="dxa"/>
            <w:vAlign w:val="bottom"/>
            <w:gridSpan w:val="9"/>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6380" w:type="dxa"/>
            <w:vAlign w:val="bottom"/>
            <w:gridSpan w:val="10"/>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50</w:t>
              </w:r>
            </w:hyperlink>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2280" w:type="dxa"/>
            <w:vAlign w:val="bottom"/>
            <w:gridSpan w:val="5"/>
          </w:tcPr>
          <w:p>
            <w:pPr>
              <w:jc w:val="center"/>
              <w:ind w:left="1410"/>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51</w:t>
              </w:r>
            </w:hyperlink>
          </w:p>
        </w:tc>
      </w:tr>
      <w:tr>
        <w:trPr>
          <w:trHeight w:val="668"/>
        </w:trPr>
        <w:tc>
          <w:tcPr>
            <w:tcW w:w="80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700" w:type="dxa"/>
            <w:vAlign w:val="bottom"/>
            <w:gridSpan w:val="14"/>
          </w:tcPr>
          <w:p>
            <w:pPr>
              <w:jc w:val="center"/>
              <w:ind w:left="2330"/>
              <w:spacing w:after="0"/>
              <w:rPr>
                <w:sz w:val="20"/>
                <w:szCs w:val="20"/>
                <w:color w:val="auto"/>
              </w:rPr>
            </w:pPr>
            <w:r>
              <w:rPr>
                <w:rFonts w:ascii="Arial" w:cs="Arial" w:eastAsia="Arial" w:hAnsi="Arial"/>
                <w:sz w:val="18"/>
                <w:szCs w:val="18"/>
                <w:color w:val="auto"/>
                <w:w w:val="79"/>
              </w:rPr>
              <w:t>2</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 w:lineRule="exact"/>
        <w:rPr>
          <w:sz w:val="20"/>
          <w:szCs w:val="20"/>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The continued spread of Coronavirus Disease 2019 ("COVID-19"), or any similar widespread infectious disease outbreak, could harm our business, financial condition and results of operations.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quarterly operating results may vary from period to period, which could result in our failure to meet expectations with respect to operating results and cause the trading price of our stock to decline.</w:t>
      </w:r>
    </w:p>
    <w:p>
      <w:pPr>
        <w:jc w:val="both"/>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fail to continue to effectively scale and adapt our platform to meet the performance and other requirements of our customers, our operating results and our business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we are unable to renew existing subscriptions for our IT, security and compliance solutions, sell additional subscriptions for our solutions and attract new customers, our operating results would be harmed.</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the market for cloud solutions for IT, security and compliance does not evolve as we anticipate, our revenues may not grow and our operating results would be harmed.</w:t>
      </w:r>
    </w:p>
    <w:p>
      <w:pPr>
        <w:ind w:left="460" w:right="2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current research and development efforts may not produce successful products or enhancements to our platform that result in significant revenue, cost savings or other benefits in the near future.</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platform, website and internal systems may be subject to intentional disruption or other security incidents that could result in liability and adversely impact our reputation and future sales.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9" w:lineRule="exact"/>
        <w:rPr>
          <w:rFonts w:ascii="Arial" w:cs="Arial" w:eastAsia="Arial" w:hAnsi="Arial"/>
          <w:sz w:val="18"/>
          <w:szCs w:val="18"/>
          <w:color w:val="auto"/>
        </w:rPr>
      </w:pPr>
    </w:p>
    <w:p>
      <w:pPr>
        <w:ind w:left="460" w:hanging="223"/>
        <w:spacing w:after="0" w:line="26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in our markets, and we may lack sufficient financial or other resources to maintain or improve our competitive position.</w:t>
      </w:r>
    </w:p>
    <w:p>
      <w:pPr>
        <w:spacing w:after="0" w:line="20" w:lineRule="exact"/>
        <w:rPr>
          <w:rFonts w:ascii="Arial" w:cs="Arial" w:eastAsia="Arial" w:hAnsi="Arial"/>
          <w:sz w:val="17"/>
          <w:szCs w:val="17"/>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If our solutions fail to detect vulnerabilities or incorrectly detect vulnerabilities, our brand and reputation could be harmed, which could have an adverse effect on our business and results of operations.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the expansion of our sales force, sales of our solutions and the growth of our business would be harmed.</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rely on third-party channel partners to generate a substantial amount of our revenues, and if we fail to expand and manage our distribution channels, our revenues could decline and our growth prospects could suffer.</w:t>
      </w:r>
    </w:p>
    <w:p>
      <w:pPr>
        <w:jc w:val="both"/>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business and operations have experienced significant growth, and if we do not appropriately manage any future growth, or are unable to improve our systems and processes, our operating results may be negatively affected.</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Undetected software errors or flaws in our solutions could harm our reputation, decrease market acceptance of our solutions or result in liability.</w:t>
      </w:r>
    </w:p>
    <w:p>
      <w:pPr>
        <w:spacing w:after="0" w:line="32" w:lineRule="exact"/>
        <w:rPr>
          <w:rFonts w:ascii="Arial" w:cs="Arial" w:eastAsia="Arial" w:hAnsi="Arial"/>
          <w:sz w:val="16"/>
          <w:szCs w:val="16"/>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Our solutions contain third-party open source software components, and our failure to comply with the terms of the underlying open source software licenses could restrict our ability to sell our solutions.</w:t>
      </w: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We use third-party software and data that may be difficult to replace or cause errors or failures of our solutions that could lead to lost customers or harm to our reputation and our operating results.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proprietary technology and intellectual property rights could substantially harm our business and operating results.</w:t>
      </w:r>
    </w:p>
    <w:p>
      <w:pPr>
        <w:spacing w:after="0" w:line="9" w:lineRule="exact"/>
        <w:rPr>
          <w:rFonts w:ascii="Arial" w:cs="Arial" w:eastAsia="Arial" w:hAnsi="Arial"/>
          <w:sz w:val="18"/>
          <w:szCs w:val="18"/>
          <w:color w:val="auto"/>
        </w:rPr>
      </w:pPr>
    </w:p>
    <w:p>
      <w:pPr>
        <w:ind w:left="460" w:hanging="223"/>
        <w:spacing w:after="0" w:line="180" w:lineRule="auto"/>
        <w:tabs>
          <w:tab w:leader="none" w:pos="460" w:val="left"/>
        </w:tabs>
        <w:numPr>
          <w:ilvl w:val="0"/>
          <w:numId w:val="3"/>
        </w:numPr>
        <w:rPr>
          <w:rFonts w:ascii="Arial" w:cs="Arial" w:eastAsia="Arial" w:hAnsi="Arial"/>
          <w:sz w:val="33"/>
          <w:szCs w:val="33"/>
          <w:color w:val="auto"/>
          <w:vertAlign w:val="subscript"/>
        </w:rPr>
      </w:pPr>
      <w:r>
        <w:rPr>
          <w:rFonts w:ascii="Arial" w:cs="Arial" w:eastAsia="Arial" w:hAnsi="Arial"/>
          <w:sz w:val="17"/>
          <w:szCs w:val="17"/>
          <w:color w:val="auto"/>
        </w:rPr>
        <w:t>Assertions by third parties of infringement or other violations by us of their intellectual property rights could result in significant costs and harm our business and operating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 w:type="dxa"/>
            <w:vAlign w:val="bottom"/>
          </w:tcPr>
          <w:p>
            <w:pPr>
              <w:spacing w:after="0"/>
              <w:rPr>
                <w:sz w:val="24"/>
                <w:szCs w:val="24"/>
                <w:color w:val="auto"/>
              </w:rPr>
            </w:pPr>
          </w:p>
        </w:tc>
        <w:tc>
          <w:tcPr>
            <w:tcW w:w="7400" w:type="dxa"/>
            <w:vAlign w:val="bottom"/>
          </w:tcPr>
          <w:p>
            <w:pPr>
              <w:ind w:left="4540"/>
              <w:spacing w:after="0"/>
              <w:rPr>
                <w:sz w:val="20"/>
                <w:szCs w:val="20"/>
                <w:color w:val="auto"/>
              </w:rPr>
            </w:pPr>
            <w:r>
              <w:rPr>
                <w:rFonts w:ascii="Arial" w:cs="Arial" w:eastAsia="Arial" w:hAnsi="Arial"/>
                <w:sz w:val="18"/>
                <w:szCs w:val="18"/>
                <w:b w:val="1"/>
                <w:bCs w:val="1"/>
                <w:color w:val="auto"/>
              </w:rPr>
              <w:t>Qualys,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0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Assets</w:t>
            </w:r>
          </w:p>
        </w:tc>
        <w:tc>
          <w:tcPr>
            <w:tcW w:w="7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166,287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290,851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267,960</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Accounts receivable, net of allowance of $880 and $793 as of March 31, 2022 and December 31, 2021,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89,294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108,998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26,752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32,112</w:t>
            </w:r>
          </w:p>
        </w:tc>
      </w:tr>
      <w:tr>
        <w:trPr>
          <w:trHeight w:val="209"/>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573,184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82,360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111,198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34,569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37,016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6,545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17,814</w:t>
            </w:r>
          </w:p>
        </w:tc>
      </w:tr>
      <w:tr>
        <w:trPr>
          <w:trHeight w:val="210"/>
        </w:trPr>
        <w:tc>
          <w:tcPr>
            <w:tcW w:w="60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814,559</w:t>
            </w:r>
          </w:p>
        </w:tc>
        <w:tc>
          <w:tcPr>
            <w:tcW w:w="10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37,083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32,504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 current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266,934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257,872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 current</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12,044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12,608</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318,538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31,117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32,753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33,284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4,898</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387,915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1"/>
              </w:rPr>
              <w:t>Preferred stock, $0.001 par value; 20,000 shares authorized, no shares issued and outstanding at March</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31, 2022 and December 31, 2021</w:t>
            </w:r>
          </w:p>
        </w:tc>
        <w:tc>
          <w:tcPr>
            <w:tcW w:w="22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$0.001 par value; 1,000,000 shares authorized; 38,875 and 39,112 shares issued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at March 31, 2022 and December 31, 2021, respectively</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485,676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477,323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(58,410)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(41,655)</w:t>
            </w:r>
          </w:p>
        </w:tc>
      </w:tr>
      <w:tr>
        <w:trPr>
          <w:trHeight w:val="210"/>
        </w:trPr>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74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60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814,550</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814,559</w:t>
            </w: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Qualys, Inc.</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per share data)</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113,420</w:t>
            </w:r>
          </w:p>
        </w:tc>
        <w:tc>
          <w:tcPr>
            <w:tcW w:w="5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96,756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75,076</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20,142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17,989</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Total other income (expense), net</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(2,435)</w:t>
            </w: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8000" w:type="dxa"/>
            <w:vAlign w:val="bottom"/>
            <w:gridSpan w:val="2"/>
          </w:tcPr>
          <w:p>
            <w:pPr>
              <w:spacing w:after="0" w:line="196" w:lineRule="exact"/>
              <w:rPr>
                <w:sz w:val="20"/>
                <w:szCs w:val="20"/>
                <w:color w:val="auto"/>
              </w:rPr>
            </w:pPr>
            <w:r>
              <w:rPr>
                <w:rFonts w:ascii="Arial" w:cs="Arial" w:eastAsia="Arial" w:hAnsi="Arial"/>
                <w:sz w:val="18"/>
                <w:szCs w:val="18"/>
                <w:color w:val="auto"/>
              </w:rPr>
              <w:t>Net income per share:</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0.64</w:t>
            </w:r>
          </w:p>
        </w:tc>
        <w:tc>
          <w:tcPr>
            <w:tcW w:w="500" w:type="dxa"/>
            <w:vAlign w:val="bottom"/>
            <w:gridSpan w:val="2"/>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38,992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39,209</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40,430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Qualys, Inc.</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68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7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25,410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change in unrealized losses on available-for-sale debt securities, net of tax</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(2,128)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Net change in unrealized gains on cash flow hedges, net of tax</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 comprehensive income (loss), net of tax</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(1,677)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23,733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Borders>
              <w:top w:val="single" w:sz="8" w:color="CCEEFF"/>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25,410</w:t>
            </w:r>
          </w:p>
        </w:tc>
        <w:tc>
          <w:tcPr>
            <w:tcW w:w="10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9,078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38,202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Amortization of premiums on marketable securities</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(5,095)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14,819</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(6,083)</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8000" w:type="dxa"/>
            <w:vAlign w:val="bottom"/>
          </w:tcPr>
          <w:p>
            <w:pPr>
              <w:ind w:left="82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r>
      <w:tr>
        <w:trPr>
          <w:trHeight w:val="216"/>
        </w:trPr>
        <w:tc>
          <w:tcPr>
            <w:tcW w:w="80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3,874</w:t>
            </w:r>
          </w:p>
        </w:tc>
      </w:tr>
      <w:tr>
        <w:trPr>
          <w:trHeight w:val="209"/>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57,854</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(81,800)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(115,610)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145,044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(7,639)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(6,259)</w:t>
            </w:r>
          </w:p>
        </w:tc>
      </w:tr>
      <w:tr>
        <w:trPr>
          <w:trHeight w:val="209"/>
        </w:trPr>
        <w:tc>
          <w:tcPr>
            <w:tcW w:w="80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flow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(46,581)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(31,029)</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2,264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(17,643)</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(45,557)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28,959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34,621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138,528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167,487</w:t>
            </w:r>
          </w:p>
        </w:tc>
        <w:tc>
          <w:tcPr>
            <w:tcW w:w="10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109,953</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200" w:type="dxa"/>
            <w:vAlign w:val="bottom"/>
            <w:gridSpan w:val="6"/>
            <w:vMerge w:val="restart"/>
          </w:tcPr>
          <w:p>
            <w:pPr>
              <w:jc w:val="right"/>
              <w:ind w:right="6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82" w:lineRule="exact"/>
              <w:rPr>
                <w:sz w:val="20"/>
                <w:szCs w:val="20"/>
                <w:color w:val="auto"/>
              </w:rPr>
            </w:pPr>
            <w:r>
              <w:rPr>
                <w:rFonts w:ascii="Arial" w:cs="Arial" w:eastAsia="Arial" w:hAnsi="Arial"/>
                <w:sz w:val="16"/>
                <w:szCs w:val="16"/>
                <w:b w:val="1"/>
                <w:bCs w:val="1"/>
                <w:color w:val="auto"/>
                <w:w w:val="97"/>
              </w:rPr>
              <w:t>Paid-In</w:t>
            </w:r>
          </w:p>
        </w:tc>
        <w:tc>
          <w:tcPr>
            <w:tcW w:w="130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Comprehensive</w:t>
            </w:r>
          </w:p>
        </w:tc>
        <w:tc>
          <w:tcPr>
            <w:tcW w:w="118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2021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39,112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477,323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(41,655)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436,714</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25,410</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25,410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(1,677)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2,569</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(4,416)</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(42,165)</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(46,581)</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500"/>
              <w:spacing w:after="0"/>
              <w:rPr>
                <w:sz w:val="20"/>
                <w:szCs w:val="20"/>
                <w:color w:val="auto"/>
              </w:rPr>
            </w:pPr>
            <w:r>
              <w:rPr>
                <w:rFonts w:ascii="Arial" w:cs="Arial" w:eastAsia="Arial" w:hAnsi="Arial"/>
                <w:sz w:val="16"/>
                <w:szCs w:val="16"/>
                <w:color w:val="auto"/>
              </w:rPr>
              <w:t>units</w:t>
            </w: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(3,631)</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3"/>
              </w:rPr>
              <w:t>Issuance of common stock through employee stock purchase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500"/>
              <w:spacing w:after="0"/>
              <w:rPr>
                <w:sz w:val="20"/>
                <w:szCs w:val="20"/>
                <w:color w:val="auto"/>
              </w:rPr>
            </w:pPr>
            <w:r>
              <w:rPr>
                <w:rFonts w:ascii="Arial" w:cs="Arial" w:eastAsia="Arial" w:hAnsi="Arial"/>
                <w:sz w:val="16"/>
                <w:szCs w:val="16"/>
                <w:color w:val="auto"/>
              </w:rPr>
              <w:t>plan</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2,086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11,745</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11,745</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Balances at March 31, 2022</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38,875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485,676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(670)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(58,410)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426,635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400" w:type="dxa"/>
            <w:vAlign w:val="bottom"/>
          </w:tcPr>
          <w:p>
            <w:pPr>
              <w:spacing w:after="0"/>
              <w:rPr>
                <w:sz w:val="24"/>
                <w:szCs w:val="24"/>
                <w:color w:val="auto"/>
              </w:rPr>
            </w:pPr>
          </w:p>
        </w:tc>
        <w:tc>
          <w:tcPr>
            <w:tcW w:w="2200" w:type="dxa"/>
            <w:vAlign w:val="bottom"/>
            <w:gridSpan w:val="6"/>
            <w:vMerge w:val="restart"/>
          </w:tcPr>
          <w:p>
            <w:pPr>
              <w:jc w:val="right"/>
              <w:ind w:right="6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7"/>
              </w:rPr>
              <w:t>Retained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6"/>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82" w:lineRule="exact"/>
              <w:rPr>
                <w:sz w:val="20"/>
                <w:szCs w:val="20"/>
                <w:color w:val="auto"/>
              </w:rPr>
            </w:pPr>
            <w:r>
              <w:rPr>
                <w:rFonts w:ascii="Arial" w:cs="Arial" w:eastAsia="Arial" w:hAnsi="Arial"/>
                <w:sz w:val="16"/>
                <w:szCs w:val="16"/>
                <w:b w:val="1"/>
                <w:bCs w:val="1"/>
                <w:color w:val="auto"/>
                <w:w w:val="97"/>
              </w:rPr>
              <w:t>Paid-In</w:t>
            </w:r>
          </w:p>
        </w:tc>
        <w:tc>
          <w:tcPr>
            <w:tcW w:w="1300" w:type="dxa"/>
            <w:vAlign w:val="bottom"/>
            <w:gridSpan w:val="3"/>
          </w:tcPr>
          <w:p>
            <w:pPr>
              <w:jc w:val="center"/>
              <w:ind w:right="22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8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401,359</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(484)</w:t>
            </w: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3,568</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404,482</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2,264</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(3,232)</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(27,797)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(31,029)</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500"/>
              <w:spacing w:after="0"/>
              <w:rPr>
                <w:sz w:val="20"/>
                <w:szCs w:val="20"/>
                <w:color w:val="auto"/>
              </w:rPr>
            </w:pPr>
            <w:r>
              <w:rPr>
                <w:rFonts w:ascii="Arial" w:cs="Arial" w:eastAsia="Arial" w:hAnsi="Arial"/>
                <w:sz w:val="16"/>
                <w:szCs w:val="16"/>
                <w:color w:val="auto"/>
              </w:rPr>
              <w:t>units</w:t>
            </w:r>
          </w:p>
        </w:tc>
        <w:tc>
          <w:tcPr>
            <w:tcW w:w="880" w:type="dxa"/>
            <w:vAlign w:val="bottom"/>
          </w:tcPr>
          <w:p>
            <w:pPr>
              <w:jc w:val="right"/>
              <w:spacing w:after="0"/>
              <w:rPr>
                <w:sz w:val="20"/>
                <w:szCs w:val="20"/>
                <w:color w:val="auto"/>
              </w:rPr>
            </w:pPr>
            <w:r>
              <w:rPr>
                <w:rFonts w:ascii="Arial" w:cs="Arial" w:eastAsia="Arial" w:hAnsi="Arial"/>
                <w:sz w:val="16"/>
                <w:szCs w:val="16"/>
                <w:color w:val="auto"/>
              </w:rPr>
              <w:t>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(17,643)</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(17,643)</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38,202</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38,202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420,950</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120</w:t>
            </w:r>
          </w:p>
        </w:tc>
        <w:tc>
          <w:tcPr>
            <w:tcW w:w="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(24,001)</w:t>
            </w:r>
          </w:p>
        </w:tc>
        <w:tc>
          <w:tcPr>
            <w:tcW w:w="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397,108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 and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2021,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months ended March 31, 2022 are not necessarily indicative of the results of operations expected for the entire year ending December 31, 2022 or for any other future annual or interim periods. These condensed consolidated financial statements should be read in conjunction with the consolidated financial statements and related notes included in the Company’s Annual Report on Form 10-K for the year ended December 31, 2021 filed with the SEC on February 22, 2022.</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March 2020, the World Health Organization declared the outbreak of COVID-19 as a pandemic. As a result of COVID-19, the Company temporarily modified certain aspects of its business, including restricting employee travel, requiring employees to work from home, and canceling certain events and meetings, among other modifications. While the Company has resumed in-office work, employee travel, and in-person events and meetings, the Company will continue to actively monitor the situation and may take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COVID-19 pandemic to date and does not expect the pandemic will have a significant impact on the Company's business in 2022, the Company is unable to accurately predict the full impact that COVID-19 will have due to numerous uncertainties, including the duration of the outbreak, actions that may be taken by governmental authorities and the impact to the business of the Company's customers and partners. The Company will continue to evaluate the nature and extent of the impact to its business, financial position, results of operations and cash flows.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carrying amount may not be recoverable. No impairment has been incurred related to the investment. The investment is included in other noncurrent assets on the condensed consolidated balance sheets. The Company has not received any dividends from the investment.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does not believe any new accounting pronouncements issued by the FASB that have not become effective will have a material impact on its condensed consolidated financial statements.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set forth in "Note 1" of Notes to Consolidated Financial Statements included in the Company’s Annual Report on Form 10-K for the year ended December 31,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5" w:lineRule="exact"/>
        <w:rPr>
          <w:sz w:val="20"/>
          <w:szCs w:val="20"/>
          <w:color w:val="auto"/>
        </w:rPr>
      </w:pPr>
    </w:p>
    <w:p>
      <w:pPr>
        <w:ind w:right="180" w:firstLine="402"/>
        <w:spacing w:after="0" w:line="301"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March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Cash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89,526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89,526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67,811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67,811</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8,951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166,288</w:t>
            </w:r>
          </w:p>
        </w:tc>
        <w:tc>
          <w:tcPr>
            <w:tcW w:w="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166,287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Short-term marketable securities:</w:t>
            </w:r>
          </w:p>
        </w:tc>
        <w:tc>
          <w:tcPr>
            <w:tcW w:w="16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14,619</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43,756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43,596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229,076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227,955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government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9"/>
        </w:trPr>
        <w:tc>
          <w:tcPr>
            <w:tcW w:w="4380" w:type="dxa"/>
            <w:vAlign w:val="bottom"/>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292,161</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43,266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42,511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18,482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18,392</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21,613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21,457</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83,361</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line="250" w:lineRule="exact"/>
              <w:rPr>
                <w:sz w:val="20"/>
                <w:szCs w:val="20"/>
                <w:color w:val="auto"/>
              </w:rPr>
            </w:pPr>
            <w:r>
              <w:rPr>
                <w:rFonts w:ascii="Arial" w:cs="Arial" w:eastAsia="Arial" w:hAnsi="Arial"/>
                <w:sz w:val="15"/>
                <w:szCs w:val="15"/>
                <w:color w:val="auto"/>
              </w:rPr>
              <w:t>(1,013</w:t>
            </w:r>
            <w:r>
              <w:rPr>
                <w:rFonts w:ascii="Arial" w:cs="Arial" w:eastAsia="Arial" w:hAnsi="Arial"/>
                <w:sz w:val="28"/>
                <w:szCs w:val="28"/>
                <w:color w:val="auto"/>
                <w:vertAlign w:val="superscript"/>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82,360</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541,810</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0" w:type="dxa"/>
            <w:vAlign w:val="bottom"/>
            <w:vMerge w:val="restart"/>
          </w:tcPr>
          <w:p>
            <w:pPr>
              <w:jc w:val="right"/>
              <w:ind w:right="1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61,220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61,220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137,328</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marketable securities:(1)</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18,046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28,869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217,160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216,999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267,960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57,762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57,740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Foreign government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111,374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111,198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516,729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516,486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Revised for correction of classification of amounts and security types disclosed in Note 2 to the consolidated financial statements in our Annual Report on Form 10-K for the fiscal year ended December 31, 2021.</w:t>
      </w:r>
    </w:p>
    <w:p>
      <w:pPr>
        <w:spacing w:after="0" w:line="17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of March 31, 2022 the total unrealized loss from marketable securities that had been in a continuous unrealized loss position for 12 months or longer was not material.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 As of December 31, 2021, there were no marketable securities that had been in a continuous unrealized loss position for 12 months or longer.</w:t>
      </w:r>
    </w:p>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Commercial paper</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23,541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23,541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86,107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22,099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22,099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1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249,412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Foreign government</w:t>
            </w:r>
          </w:p>
        </w:tc>
        <w:tc>
          <w:tcPr>
            <w:tcW w:w="1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r>
      <w:tr>
        <w:trPr>
          <w:trHeight w:val="250"/>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449,972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December 31,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Commercial paper</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18,896</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18,863</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254,527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Foreign government</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0"/>
        </w:trPr>
        <w:tc>
          <w:tcPr>
            <w:tcW w:w="4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455,266</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0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780" w:type="dxa"/>
            <w:vAlign w:val="bottom"/>
            <w:gridSpan w:val="10"/>
          </w:tcPr>
          <w:p>
            <w:pPr>
              <w:ind w:left="420"/>
              <w:spacing w:after="0"/>
              <w:rPr>
                <w:sz w:val="20"/>
                <w:szCs w:val="20"/>
                <w:color w:val="auto"/>
              </w:rPr>
            </w:pPr>
            <w:r>
              <w:rPr>
                <w:rFonts w:ascii="Arial" w:cs="Arial" w:eastAsia="Arial" w:hAnsi="Arial"/>
                <w:sz w:val="18"/>
                <w:szCs w:val="18"/>
                <w:color w:val="auto"/>
              </w:rPr>
              <w:t>The following summarizes the fair value of marketable securities by contractual maturity:</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5"/>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One Year</w:t>
            </w:r>
          </w:p>
        </w:tc>
        <w:tc>
          <w:tcPr>
            <w:tcW w:w="220" w:type="dxa"/>
            <w:vAlign w:val="bottom"/>
            <w:gridSpan w:val="2"/>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ind w:left="100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23,541</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43,595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28,355</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14,157</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86,107</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6,584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11,807</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22,099</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U.S. Treasury and government agencies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227,955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15,980</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5,477</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249,412</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209"/>
        </w:trPr>
        <w:tc>
          <w:tcPr>
            <w:tcW w:w="4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299,801</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w w:val="83"/>
              </w:rPr>
              <w:t>50,919</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382,161</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foreign currency forward contracts to reduce the risk of variability in future cash flow due to foreign currency exchange rate fluctuations from certain forecasted subscription revenue orders billed in British Pound ("GBP") and Euro and operating expenses incurred in Indian Rupee ("INR"), which are designated as cash flow hedges.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spacing w:after="0" w:line="18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March 31, 2022, the Company had designated cash flow hedge forward contracts with notional amounts of €28.8 million, £9.4 million and Rs.3,116.4 million. As of December 31, 2021, the Company had designated cash flow hedge forward contracts with notional amounts of €29.8 million, £9.4 million and Rs.2,955.3 million. As of March 31, 2022, a net amount of unrealized gain of $1.7 million before tax on the foreign currency forward contracts for GBP and Euro reported in AOCI is expected to be reclassified into revenue within the next 12 months. As of March 31, 2022, the net amount of unrealized loss on the foreign currency forward contracts for INR reported in AOCI was not material.</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also uses foreign currency forward contracts to hedge certain foreign currency denominated assets or liabilities, which are not designated as cash flow hedges.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2022, the Company had non-designated forward contracts with notional amounts of €38.2 million, £18.4 million, Rs.147.6 million, Canadian Dollar ("C$") 3.6 million and Swiss Franc ("CHF") 1.0 million. As of December 31, 2021, the Company had non-designated forward contracts with notional amounts of €34.5 million, £11.6 million, Rs.74.9 million, C$2.5 million and CHF1.0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960" w:type="dxa"/>
            <w:vAlign w:val="bottom"/>
            <w:gridSpan w:val="3"/>
          </w:tcPr>
          <w:p>
            <w:pPr>
              <w:ind w:left="420"/>
              <w:spacing w:after="0"/>
              <w:rPr>
                <w:sz w:val="20"/>
                <w:szCs w:val="20"/>
                <w:color w:val="auto"/>
              </w:rPr>
            </w:pPr>
            <w:r>
              <w:rPr>
                <w:rFonts w:ascii="Arial" w:cs="Arial" w:eastAsia="Arial" w:hAnsi="Arial"/>
                <w:sz w:val="18"/>
                <w:szCs w:val="18"/>
                <w:color w:val="auto"/>
              </w:rPr>
              <w:t>The following summarizes derivative financial instruments as of March 31, 2022 and December 31, 2021: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580" w:type="dxa"/>
            <w:vAlign w:val="bottom"/>
            <w:gridSpan w:val="3"/>
          </w:tcPr>
          <w:p>
            <w:pPr>
              <w:ind w:left="3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49"/>
        </w:trPr>
        <w:tc>
          <w:tcPr>
            <w:tcW w:w="80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(201)</w:t>
            </w:r>
          </w:p>
        </w:tc>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(181)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620" w:type="dxa"/>
            <w:vAlign w:val="bottom"/>
          </w:tcPr>
          <w:p>
            <w:pPr>
              <w:spacing w:after="0"/>
              <w:rPr>
                <w:sz w:val="18"/>
                <w:szCs w:val="18"/>
                <w:color w:val="auto"/>
              </w:rPr>
            </w:pPr>
          </w:p>
        </w:tc>
        <w:tc>
          <w:tcPr>
            <w:tcW w:w="980" w:type="dxa"/>
            <w:vAlign w:val="bottom"/>
            <w:gridSpan w:val="2"/>
          </w:tcPr>
          <w:p>
            <w:pPr>
              <w:ind w:left="52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w w:val="99"/>
              </w:rPr>
              <w:t>(207)</w:t>
            </w:r>
          </w:p>
        </w:tc>
      </w:tr>
      <w:tr>
        <w:trPr>
          <w:trHeight w:val="250"/>
        </w:trPr>
        <w:tc>
          <w:tcPr>
            <w:tcW w:w="8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6"/>
              </w:rPr>
              <w:t>(495)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6"/>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foreign currency forward contracts were valued at fair value using Level 2 inputs.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on the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3"/>
          </w:tcPr>
          <w:p>
            <w:pPr>
              <w:jc w:val="right"/>
              <w:ind w:right="410"/>
              <w:spacing w:after="0"/>
              <w:rPr>
                <w:sz w:val="20"/>
                <w:szCs w:val="20"/>
                <w:color w:val="auto"/>
              </w:rPr>
            </w:pPr>
            <w:r>
              <w:rPr>
                <w:rFonts w:ascii="Arial" w:cs="Arial" w:eastAsia="Arial" w:hAnsi="Arial"/>
                <w:sz w:val="16"/>
                <w:szCs w:val="16"/>
                <w:b w:val="1"/>
                <w:bCs w:val="1"/>
                <w:color w:val="auto"/>
                <w:w w:val="71"/>
              </w:rPr>
              <w:t>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gains from non-designated forward contracts</w:t>
            </w:r>
          </w:p>
        </w:tc>
        <w:tc>
          <w:tcPr>
            <w:tcW w:w="442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1,155</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foreign currency transaction losses</w:t>
            </w:r>
          </w:p>
        </w:tc>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8"/>
              </w:rPr>
              <w:t>(1,818)</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(1,258)</w:t>
            </w:r>
          </w:p>
        </w:tc>
      </w:tr>
      <w:tr>
        <w:trPr>
          <w:trHeight w:val="20"/>
        </w:trPr>
        <w:tc>
          <w:tcPr>
            <w:tcW w:w="4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foreign exchange losses, net</w:t>
            </w:r>
          </w:p>
        </w:tc>
        <w:tc>
          <w:tcPr>
            <w:tcW w:w="3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45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Other income (expense)</w:t>
            </w:r>
          </w:p>
        </w:tc>
        <w:tc>
          <w:tcPr>
            <w:tcW w:w="3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0"/>
        </w:trPr>
        <w:tc>
          <w:tcPr>
            <w:tcW w:w="45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4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628"/>
        </w:trPr>
        <w:tc>
          <w:tcPr>
            <w:tcW w:w="45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14</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components and changes in accumulated other comprehensive income (loss) for the three months ended March 31, 2022 and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Available-for-sale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debt securities</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Cash flow 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09"/>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(185</w:t>
            </w: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(1,422)</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Balances at March 31, 2022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(2,313</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(670</w:t>
            </w: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Balances at December 31, 2020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(1,708</w:t>
            </w: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(484</w:t>
            </w: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(provision)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835</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(715</w:t>
            </w: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effects on income before income taxes of amounts reclassified from AOCI to the condensed consolidated statements of operations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70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220" w:type="dxa"/>
            <w:vAlign w:val="bottom"/>
            <w:gridSpan w:val="3"/>
          </w:tcPr>
          <w:p>
            <w:pPr>
              <w:jc w:val="right"/>
              <w:ind w:right="450"/>
              <w:spacing w:after="0"/>
              <w:rPr>
                <w:sz w:val="20"/>
                <w:szCs w:val="20"/>
                <w:color w:val="auto"/>
              </w:rPr>
            </w:pPr>
            <w:r>
              <w:rPr>
                <w:rFonts w:ascii="Arial" w:cs="Arial" w:eastAsia="Arial" w:hAnsi="Arial"/>
                <w:sz w:val="17"/>
                <w:szCs w:val="17"/>
                <w:b w:val="1"/>
                <w:bCs w:val="1"/>
                <w:color w:val="auto"/>
                <w:w w:val="71"/>
              </w:rPr>
              <w:t>thousands)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AOCI - Available-for-sale debt securities</w:t>
            </w:r>
          </w:p>
        </w:tc>
        <w:tc>
          <w:tcPr>
            <w:tcW w:w="3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40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Reclassification of AOCI - Cash flow hedges</w:t>
            </w:r>
          </w:p>
        </w:tc>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w:t>
            </w:r>
          </w:p>
        </w:tc>
        <w:tc>
          <w:tcPr>
            <w:tcW w:w="40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940" w:type="dxa"/>
            <w:vAlign w:val="bottom"/>
          </w:tcPr>
          <w:p>
            <w:pPr>
              <w:ind w:left="340"/>
              <w:spacing w:after="0"/>
              <w:rPr>
                <w:sz w:val="20"/>
                <w:szCs w:val="20"/>
                <w:color w:val="auto"/>
              </w:rPr>
            </w:pPr>
            <w:r>
              <w:rPr>
                <w:rFonts w:ascii="Arial" w:cs="Arial" w:eastAsia="Arial" w:hAnsi="Arial"/>
                <w:sz w:val="18"/>
                <w:szCs w:val="18"/>
                <w:color w:val="auto"/>
              </w:rPr>
              <w:t>Cost of revenues</w:t>
            </w:r>
          </w:p>
        </w:tc>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36"/>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3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940" w:type="dxa"/>
            <w:vAlign w:val="bottom"/>
          </w:tcPr>
          <w:p>
            <w:pPr>
              <w:ind w:left="340"/>
              <w:spacing w:after="0"/>
              <w:rPr>
                <w:sz w:val="20"/>
                <w:szCs w:val="20"/>
                <w:color w:val="auto"/>
              </w:rPr>
            </w:pPr>
            <w:r>
              <w:rPr>
                <w:rFonts w:ascii="Arial" w:cs="Arial" w:eastAsia="Arial" w:hAnsi="Arial"/>
                <w:sz w:val="18"/>
                <w:szCs w:val="18"/>
                <w:color w:val="auto"/>
              </w:rPr>
              <w:t>Sales and marketing expenses</w:t>
            </w:r>
          </w:p>
        </w:tc>
        <w:tc>
          <w:tcPr>
            <w:tcW w:w="3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36"/>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0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40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6"/>
              <w:spacing w:after="0"/>
              <w:rPr>
                <w:sz w:val="20"/>
                <w:szCs w:val="20"/>
                <w:color w:val="auto"/>
              </w:rPr>
            </w:pPr>
            <w:r>
              <w:rPr>
                <w:rFonts w:ascii="Arial" w:cs="Arial" w:eastAsia="Arial" w:hAnsi="Arial"/>
                <w:sz w:val="18"/>
                <w:szCs w:val="18"/>
                <w:color w:val="auto"/>
              </w:rPr>
              <w:t>60</w:t>
            </w:r>
          </w:p>
        </w:tc>
        <w:tc>
          <w:tcPr>
            <w:tcW w:w="110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60" w:type="dxa"/>
            <w:vAlign w:val="bottom"/>
            <w:vMerge w:val="restart"/>
          </w:tcPr>
          <w:p>
            <w:pPr>
              <w:jc w:val="right"/>
              <w:ind w:right="2190"/>
              <w:spacing w:after="0"/>
              <w:rPr>
                <w:sz w:val="20"/>
                <w:szCs w:val="20"/>
                <w:color w:val="auto"/>
              </w:rPr>
            </w:pPr>
            <w:r>
              <w:rPr>
                <w:rFonts w:ascii="Arial" w:cs="Arial" w:eastAsia="Arial" w:hAnsi="Arial"/>
                <w:sz w:val="18"/>
                <w:szCs w:val="18"/>
                <w:color w:val="auto"/>
              </w:rPr>
              <w:t>15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 consists of the following:</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5"/>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169,746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161,809</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25,805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25,807</w:t>
            </w: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21,092</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Scanner appliances</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16,939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16,510</w:t>
            </w: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r>
      <w:tr>
        <w:trPr>
          <w:trHeight w:val="210"/>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239,919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231,697</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(176,542)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(169,843)</w:t>
            </w:r>
          </w:p>
        </w:tc>
      </w:tr>
      <w:tr>
        <w:trPr>
          <w:trHeight w:val="209"/>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63,377</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61,854</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2022 and December 31, 2021, physical scanner appliances and other computer equipment that are or will be subject to leases by customers had a net carrying value of $7.0 million and $5.3 million, respectively, including assets that had not been placed in service of $3.5 million and $1.3 million, respectively. Depreciation and amortization expenses relating to property and equipment were $7.1 million and $7.3 million for the three months ended March 31, 2022 and 2021,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Revenue from Contracts with Customers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records deferred revenue when cash payments are received or due in advance of its performance obligations offset by revenue recognized in the period. Revenues of $100.0 million and $83.5 million were recognized during the three months ended March 31, 2022 and 2021, respectively, which amounts were included in the deferred revenue balances as of December 31, 2021 and 2020, respectively.</w:t>
      </w:r>
    </w:p>
    <w:p>
      <w:pPr>
        <w:spacing w:after="0" w:line="16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8900" w:type="dxa"/>
            <w:vAlign w:val="bottom"/>
          </w:tcPr>
          <w:p>
            <w:pPr>
              <w:ind w:left="20"/>
              <w:spacing w:after="0"/>
              <w:rPr>
                <w:sz w:val="20"/>
                <w:szCs w:val="20"/>
                <w:color w:val="auto"/>
              </w:rPr>
            </w:pPr>
            <w:r>
              <w:rPr>
                <w:rFonts w:ascii="Arial" w:cs="Arial" w:eastAsia="Arial" w:hAnsi="Arial"/>
                <w:sz w:val="18"/>
                <w:szCs w:val="18"/>
                <w:color w:val="auto"/>
                <w:w w:val="95"/>
              </w:rPr>
              <w:t>The following table sets forth the expected revenue from all remaining performance obligations as of March 31, 2022:</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2022</w:t>
            </w:r>
          </w:p>
        </w:tc>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nine months)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116,288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2023</w:t>
            </w:r>
          </w:p>
        </w:tc>
        <w:tc>
          <w:tcPr>
            <w:tcW w:w="8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114,911</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2024</w:t>
            </w:r>
          </w:p>
        </w:tc>
        <w:tc>
          <w:tcPr>
            <w:tcW w:w="8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45,138</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2025</w:t>
            </w:r>
          </w:p>
        </w:tc>
        <w:tc>
          <w:tcPr>
            <w:tcW w:w="8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3,980</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2026</w:t>
            </w:r>
          </w:p>
        </w:tc>
        <w:tc>
          <w:tcPr>
            <w:tcW w:w="8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9300" w:type="dxa"/>
            <w:vAlign w:val="bottom"/>
            <w:gridSpan w:val="2"/>
          </w:tcPr>
          <w:p>
            <w:pPr>
              <w:spacing w:after="0"/>
              <w:rPr>
                <w:sz w:val="20"/>
                <w:szCs w:val="20"/>
                <w:color w:val="auto"/>
              </w:rPr>
            </w:pPr>
            <w:r>
              <w:rPr>
                <w:rFonts w:ascii="Arial" w:cs="Arial" w:eastAsia="Arial" w:hAnsi="Arial"/>
                <w:sz w:val="18"/>
                <w:szCs w:val="18"/>
                <w:color w:val="auto"/>
              </w:rPr>
              <w:t>2027 and thereafter</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r>
      <w:tr>
        <w:trPr>
          <w:trHeight w:val="250"/>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89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ectPr>
          <w:pgSz w:w="11900" w:h="16838" w:orient="portrait"/>
          <w:cols w:equalWidth="0" w:num="1">
            <w:col w:w="11240"/>
          </w:cols>
          <w:pgMar w:left="320" w:top="125" w:right="339" w:bottom="1440" w:gutter="0" w:footer="0" w:header="0"/>
        </w:sectPr>
      </w:pPr>
    </w:p>
    <w:p>
      <w:pPr>
        <w:spacing w:after="0" w:line="146" w:lineRule="exact"/>
        <w:rPr>
          <w:sz w:val="20"/>
          <w:szCs w:val="20"/>
          <w:color w:val="auto"/>
        </w:rPr>
      </w:pPr>
    </w:p>
    <w:p>
      <w:pPr>
        <w:jc w:val="right"/>
        <w:ind w:right="3840"/>
        <w:spacing w:after="0"/>
        <w:rPr>
          <w:sz w:val="20"/>
          <w:szCs w:val="20"/>
          <w:color w:val="auto"/>
        </w:rPr>
      </w:pPr>
      <w:r>
        <w:rPr>
          <w:rFonts w:ascii="Arial" w:cs="Arial" w:eastAsia="Arial" w:hAnsi="Arial"/>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2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1160" w:type="dxa"/>
            <w:vAlign w:val="bottom"/>
          </w:tcPr>
          <w:p>
            <w:pPr>
              <w:jc w:val="right"/>
              <w:ind w:right="170"/>
              <w:spacing w:after="0" w:line="195" w:lineRule="exact"/>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66,452</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57,952</w:t>
            </w:r>
          </w:p>
        </w:tc>
      </w:tr>
      <w:tr>
        <w:trPr>
          <w:trHeight w:val="230"/>
        </w:trPr>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46,968</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38,804</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113,420</w:t>
            </w:r>
          </w:p>
        </w:tc>
        <w:tc>
          <w:tcPr>
            <w:tcW w:w="1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96,756</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00" w:type="dxa"/>
            <w:vAlign w:val="bottom"/>
            <w:gridSpan w:val="2"/>
          </w:tcPr>
          <w:p>
            <w:pPr>
              <w:ind w:left="420"/>
              <w:spacing w:after="0"/>
              <w:rPr>
                <w:sz w:val="20"/>
                <w:szCs w:val="20"/>
                <w:color w:val="auto"/>
              </w:rPr>
            </w:pPr>
            <w:r>
              <w:rPr>
                <w:rFonts w:ascii="Arial" w:cs="Arial" w:eastAsia="Arial" w:hAnsi="Arial"/>
                <w:sz w:val="18"/>
                <w:szCs w:val="18"/>
                <w:color w:val="auto"/>
              </w:rPr>
              <w:t>Deferred costs to obtain contracts are as follows: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March 31, 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1"/>
              <w:spacing w:after="0"/>
              <w:rPr>
                <w:sz w:val="20"/>
                <w:szCs w:val="20"/>
                <w:color w:val="auto"/>
              </w:rPr>
            </w:pPr>
            <w:r>
              <w:rPr>
                <w:rFonts w:ascii="Arial" w:cs="Arial" w:eastAsia="Arial" w:hAnsi="Arial"/>
                <w:sz w:val="18"/>
                <w:szCs w:val="18"/>
                <w:color w:val="auto"/>
              </w:rPr>
              <w:t>8,511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8,391</w:t>
            </w:r>
          </w:p>
        </w:tc>
      </w:tr>
    </w:tbl>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March 31, 2022 and 2021, the Company recognized $1.2 million and $0.9 million, respectively, of amortization expense relating to deferred costs to obtain contracts in sales and marketing expense in the condensed consolidated statements of operations. During the same periods, there was no impairment loss related to the deferred costs to obtain contracts.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Intangible Assets, Net</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ind w:left="420"/>
              <w:spacing w:after="0"/>
              <w:rPr>
                <w:sz w:val="20"/>
                <w:szCs w:val="20"/>
                <w:color w:val="auto"/>
              </w:rPr>
            </w:pPr>
            <w:r>
              <w:rPr>
                <w:rFonts w:ascii="Arial" w:cs="Arial" w:eastAsia="Arial" w:hAnsi="Arial"/>
                <w:sz w:val="18"/>
                <w:szCs w:val="18"/>
                <w:color w:val="auto"/>
                <w:w w:val="95"/>
              </w:rPr>
              <w:t>The carrying values of intangible assets are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3"/>
              </w:rPr>
              <w:t>March 31, 2022</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4.5</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0.7</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28,556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(24,081)</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4,475</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(1,146)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vMerge w:val="restart"/>
          </w:tcPr>
          <w:p>
            <w:pPr>
              <w:jc w:val="center"/>
              <w:ind w:right="20"/>
              <w:spacing w:after="0"/>
              <w:rPr>
                <w:sz w:val="20"/>
                <w:szCs w:val="20"/>
                <w:color w:val="auto"/>
              </w:rPr>
            </w:pPr>
            <w:r>
              <w:rPr>
                <w:rFonts w:ascii="Arial" w:cs="Arial" w:eastAsia="Arial" w:hAnsi="Arial"/>
                <w:sz w:val="18"/>
                <w:szCs w:val="18"/>
                <w:b w:val="1"/>
                <w:bCs w:val="1"/>
                <w:color w:val="auto"/>
                <w:w w:val="90"/>
              </w:rPr>
              <w:t>December 31,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4.5</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0.9</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28,556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(22,463)</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6,093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(1,121)</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 amortization expense was $1.7 million and $1.6 million for the three months ended March 31, 2022 and 2021,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expenses were primarily recorded in cost of revenues in the condensed consolidated statements of operations.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2022, the Company expects amortization expense in future periods to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2022 (remaining nine months)</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2023</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2025</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Total expected future amortization expense</w:t>
            </w:r>
          </w:p>
        </w:tc>
        <w:tc>
          <w:tcPr>
            <w:tcW w:w="5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360" w:type="dxa"/>
            <w:vAlign w:val="bottom"/>
            <w:vMerge w:val="restart"/>
          </w:tcPr>
          <w:p>
            <w:pPr>
              <w:jc w:val="right"/>
              <w:ind w:right="387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3"/>
          <w:szCs w:val="13"/>
          <w:b w:val="1"/>
          <w:bCs w:val="1"/>
          <w:color w:val="auto"/>
        </w:rPr>
        <w:t>Leases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leases certain offices, computer equipment and its data center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$3.6 million for each of the three months ended March 31, 2022 and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66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180" w:type="dxa"/>
            <w:vAlign w:val="bottom"/>
            <w:gridSpan w:val="3"/>
          </w:tcPr>
          <w:p>
            <w:pPr>
              <w:jc w:val="right"/>
              <w:ind w:right="450"/>
              <w:spacing w:after="0"/>
              <w:rPr>
                <w:sz w:val="20"/>
                <w:szCs w:val="20"/>
                <w:color w:val="auto"/>
              </w:rPr>
            </w:pPr>
            <w:r>
              <w:rPr>
                <w:rFonts w:ascii="Arial" w:cs="Arial" w:eastAsia="Arial" w:hAnsi="Arial"/>
                <w:sz w:val="16"/>
                <w:szCs w:val="16"/>
                <w:b w:val="1"/>
                <w:bCs w:val="1"/>
                <w:color w:val="auto"/>
                <w:w w:val="71"/>
              </w:rPr>
              <w:t>thousands)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4,035</w:t>
            </w:r>
          </w:p>
        </w:tc>
        <w:tc>
          <w:tcPr>
            <w:tcW w:w="108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638</w:t>
            </w:r>
          </w:p>
        </w:tc>
        <w:tc>
          <w:tcPr>
            <w:tcW w:w="108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March 31, 2022</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5180" w:type="dxa"/>
            <w:vAlign w:val="bottom"/>
            <w:gridSpan w:val="3"/>
            <w:shd w:val="clear" w:color="auto" w:fill="CCEEFF"/>
          </w:tcPr>
          <w:p>
            <w:pPr>
              <w:ind w:left="4680"/>
              <w:spacing w:after="0"/>
              <w:rPr>
                <w:sz w:val="20"/>
                <w:szCs w:val="20"/>
                <w:color w:val="auto"/>
              </w:rPr>
            </w:pPr>
            <w:r>
              <w:rPr>
                <w:rFonts w:ascii="Arial" w:cs="Arial" w:eastAsia="Arial" w:hAnsi="Arial"/>
                <w:sz w:val="18"/>
                <w:szCs w:val="18"/>
                <w:color w:val="auto"/>
              </w:rPr>
              <w:t>3.2</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3.3</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5180" w:type="dxa"/>
            <w:vAlign w:val="bottom"/>
            <w:gridSpan w:val="3"/>
          </w:tcPr>
          <w:p>
            <w:pPr>
              <w:ind w:left="4680"/>
              <w:spacing w:after="0"/>
              <w:rPr>
                <w:sz w:val="20"/>
                <w:szCs w:val="20"/>
                <w:color w:val="auto"/>
              </w:rPr>
            </w:pPr>
            <w:r>
              <w:rPr>
                <w:rFonts w:ascii="Arial" w:cs="Arial" w:eastAsia="Arial" w:hAnsi="Arial"/>
                <w:sz w:val="18"/>
                <w:szCs w:val="18"/>
                <w:color w:val="auto"/>
              </w:rPr>
              <w:t>4.8%</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4.8%</w:t>
            </w:r>
          </w:p>
        </w:tc>
      </w:tr>
      <w:tr>
        <w:trPr>
          <w:trHeight w:val="418"/>
        </w:trPr>
        <w:tc>
          <w:tcPr>
            <w:tcW w:w="4460" w:type="dxa"/>
            <w:vAlign w:val="bottom"/>
          </w:tcPr>
          <w:p>
            <w:pPr>
              <w:spacing w:after="0"/>
              <w:rPr>
                <w:sz w:val="24"/>
                <w:szCs w:val="24"/>
                <w:color w:val="auto"/>
              </w:rPr>
            </w:pPr>
          </w:p>
        </w:tc>
        <w:tc>
          <w:tcPr>
            <w:tcW w:w="3460" w:type="dxa"/>
            <w:vAlign w:val="bottom"/>
          </w:tcPr>
          <w:p>
            <w:pPr>
              <w:jc w:val="right"/>
              <w:ind w:right="2110"/>
              <w:spacing w:after="0"/>
              <w:rPr>
                <w:sz w:val="20"/>
                <w:szCs w:val="20"/>
                <w:color w:val="auto"/>
              </w:rPr>
            </w:pPr>
            <w:r>
              <w:rPr>
                <w:rFonts w:ascii="Arial" w:cs="Arial" w:eastAsia="Arial" w:hAnsi="Arial"/>
                <w:sz w:val="18"/>
                <w:szCs w:val="18"/>
                <w:color w:val="auto"/>
              </w:rPr>
              <w:t>20</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Purchase Obligation</w:t>
      </w:r>
    </w:p>
    <w:p>
      <w:pPr>
        <w:spacing w:after="0" w:line="225" w:lineRule="exact"/>
        <w:rPr>
          <w:sz w:val="20"/>
          <w:szCs w:val="20"/>
          <w:color w:val="auto"/>
        </w:rPr>
      </w:pPr>
    </w:p>
    <w:p>
      <w:pPr>
        <w:ind w:right="200" w:firstLine="414"/>
        <w:spacing w:after="0" w:line="277" w:lineRule="auto"/>
        <w:rPr>
          <w:sz w:val="20"/>
          <w:szCs w:val="20"/>
          <w:color w:val="auto"/>
        </w:rPr>
      </w:pPr>
      <w:r>
        <w:rPr>
          <w:rFonts w:ascii="Arial" w:cs="Arial" w:eastAsia="Arial" w:hAnsi="Arial"/>
          <w:sz w:val="18"/>
          <w:szCs w:val="18"/>
          <w:color w:val="auto"/>
        </w:rPr>
        <w:t>The Company has entered into agreements to purchase goods and services in the ordinary course of business. As of March 31, 2022, the remaining purchase commitments for future periods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2022 (remaining nine months)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2023</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14,455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2025</w:t>
            </w: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11,762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2027 and thereafter</w:t>
            </w:r>
          </w:p>
        </w:tc>
        <w:tc>
          <w:tcPr>
            <w:tcW w:w="3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r>
      <w:tr>
        <w:trPr>
          <w:trHeight w:val="249"/>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Stockholders' Equity and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2000 Equity Incentive Plan</w:t>
      </w:r>
    </w:p>
    <w:p>
      <w:pPr>
        <w:spacing w:after="0" w:line="22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Under the 2000 Equity Incentive Plan (the "2000 Plan"), the Company was authorized to grant to eligible participants either incentive stock options ("ISOs") or non-statutory stock options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Equity Incentive Plan</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2012 Equity Incentive Plan (the "2012 Plan"), the Company is authorized to grant to eligible participants ISOs, NSOs, stock appreciation rights ("SARs"), restricted stock awards ("RSAs"), restricted stock units ("RSUs"), performance units and performance shares. During the three months ended March 31, 2022, 1,956 thousand shares were added to the 2012 Plan pursuant to an automatic annual increase provision in the plan. As of March 31, 2022, 9,981 thousand shares were available for grant under the 2012 Plan.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June 9, 2021, the Company’s stockholders approved the 2021 Employee Stock Purchase Plan (the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spacing w:after="0" w:line="17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three months ended March 31, 2022, 22.5 thousand shares were issued in connection with the purchase of common stock by participating employees. As of March 31, 2022, 577.5 thousand shares were available for future purchases.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a summary of the stock-based compensation expense included in the condensed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8"/>
                <w:szCs w:val="18"/>
                <w:color w:val="auto"/>
              </w:rPr>
            </w:pPr>
          </w:p>
        </w:tc>
      </w:tr>
      <w:tr>
        <w:trPr>
          <w:trHeight w:val="195"/>
        </w:trPr>
        <w:tc>
          <w:tcPr>
            <w:tcW w:w="320" w:type="dxa"/>
            <w:vAlign w:val="bottom"/>
          </w:tcPr>
          <w:p>
            <w:pPr>
              <w:spacing w:after="0"/>
              <w:rPr>
                <w:sz w:val="16"/>
                <w:szCs w:val="16"/>
                <w:color w:val="auto"/>
              </w:rPr>
            </w:pPr>
          </w:p>
        </w:tc>
        <w:tc>
          <w:tcPr>
            <w:tcW w:w="116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spacing w:after="0"/>
              <w:rPr>
                <w:sz w:val="20"/>
                <w:szCs w:val="20"/>
                <w:color w:val="auto"/>
              </w:rPr>
            </w:pPr>
            <w:r>
              <w:rPr>
                <w:rFonts w:ascii="Arial" w:cs="Arial" w:eastAsia="Arial" w:hAnsi="Arial"/>
                <w:sz w:val="17"/>
                <w:szCs w:val="17"/>
                <w:b w:val="1"/>
                <w:bCs w:val="1"/>
                <w:color w:val="auto"/>
                <w:w w:val="71"/>
              </w:rPr>
              <w:t>thousands)</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7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3,287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2,215</w:t>
            </w: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2,031</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r>
      <w:tr>
        <w:trPr>
          <w:trHeight w:val="230"/>
        </w:trPr>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5,347</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33,484</w:t>
            </w:r>
          </w:p>
        </w:tc>
      </w:tr>
      <w:tr>
        <w:trPr>
          <w:trHeight w:val="210"/>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11,745</w:t>
            </w: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38,202</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-719455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-445135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-161925</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2022, the Company had unrecognized stock-based compensation expenses of $17.7 million, $67.2 million, $4.2 million, and $0.7 million related to options, RSUs, performance-based RSUs, and ESPP purchase rights, respectively, which are expected to be recognized over weighted-average periods of 2.8 years, 2.7 years, 1.9 years, and 0.4 years,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Performance-based Restricted Stock Units ("PSUs") and Performance-based Stock Options</w:t>
      </w:r>
    </w:p>
    <w:p>
      <w:pPr>
        <w:spacing w:after="0" w:line="225"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On October 28, 2021, the compensation committee of the Company's board of directors (Compensation Committee) granted to certain executive officers of the Company equity awards consisting of RSUs and an aggregate number of 73 thousand PSUs, which represents the target number of PSUs allocated to awards that are divided into three equal tranches, with each tranche covering one-year performance period for the calendar years 2022, 2023, and 2024, respectively. The actual number of PSUs eligible to vest each year range from 0% to 200% of the annual target number, depending on the level of achievement of performance metrics related to revenue growth and adjusted EBITDA margin corresponding to that year, which are established by the Compensation Committee before the commencement of each year. The vesting and release of the first and second tranche is capped at 100% of the target number at the end of the first and second year, respectively, with cumulative achievement over 100%, if any, to be vested and released at the end of the third year, together with the vesting of the third tranche. If any of the executive officers is terminated (a) by reason of death or disability or (b) by the Company for reasons other than cause or good reason within 12 months following a change in control, any unvested PSUs eligible to vest pursuant to cumulative achievements over 100% for past tranches along with any target number of unvested PSUs for any remaining tranches will vest immediately. Since the performance metrics for the second and third tranches of these PSUs have not been established as of March 31, 2022, the grant date has not been determined and no expenses have been recognized for the respective tranches.</w:t>
      </w:r>
    </w:p>
    <w:p>
      <w:pPr>
        <w:spacing w:after="0" w:line="16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27, 2021, the Compensation Committee granted to the Company’s President and Chief Executive Officer an equity award consisting of RSUs and a target number of 9,671 PSUs. The PSUs are scheduled to vest at the end of the three-year performance period from January 2021 through December 2023. The actual number of PSUs eligible to vest range from 0% to 200% of the target number, depending on the level of achievement of performance metrics related to revenue growth and free cash flow per share growth during the performance period. If the Company's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recognized $0.8 million of stock-based compensation expenses related to all PSUs during the three months ended March 31, 2022.</w:t>
      </w:r>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19, 2021, the Company’s former chief executive officer, Philippe Courtot ("Mr. Courtot"), resigned from the Company due to health issues. The Compensation Committee determined that Mr. Courtot’s termination of employment was on account of disability. In accordance with the equity award agreements of Mr. Courtot's then outstanding awards, all eligible outstanding RSUs, PSUs and performance-based stock options held by Mr. Courtot became immediately vested as of the date of his termination of employment. As a result, the Company recognized $27.3 million of stock-based compensation expense due to the accelerated vesting in the condensed consolidated statements of operations during the three months ended March 31, 2021.</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Option Activity</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20" w:type="dxa"/>
            <w:vAlign w:val="bottom"/>
          </w:tcPr>
          <w:p>
            <w:pPr>
              <w:ind w:left="420"/>
              <w:spacing w:after="0"/>
              <w:rPr>
                <w:sz w:val="20"/>
                <w:szCs w:val="20"/>
                <w:color w:val="auto"/>
              </w:rPr>
            </w:pPr>
            <w:r>
              <w:rPr>
                <w:rFonts w:ascii="Arial" w:cs="Arial" w:eastAsia="Arial" w:hAnsi="Arial"/>
                <w:sz w:val="18"/>
                <w:szCs w:val="18"/>
                <w:color w:val="auto"/>
                <w:w w:val="96"/>
              </w:rPr>
              <w:t>A summary of the Company’s stock option activity is as follows: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191"/>
        </w:trPr>
        <w:tc>
          <w:tcPr>
            <w:tcW w:w="5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(in</w:t>
            </w: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thousands)</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130,791</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129.01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Canceled</w:t>
            </w: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111.66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70.46</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133,922</w:t>
            </w:r>
          </w:p>
        </w:tc>
      </w:tr>
      <w:tr>
        <w:trPr>
          <w:trHeight w:val="197"/>
        </w:trPr>
        <w:tc>
          <w:tcPr>
            <w:tcW w:w="5320" w:type="dxa"/>
            <w:vAlign w:val="bottom"/>
          </w:tcPr>
          <w:p>
            <w:pPr>
              <w:spacing w:after="0" w:line="196" w:lineRule="exact"/>
              <w:rPr>
                <w:sz w:val="20"/>
                <w:szCs w:val="20"/>
                <w:color w:val="auto"/>
              </w:rPr>
            </w:pPr>
            <w:r>
              <w:rPr>
                <w:rFonts w:ascii="Arial" w:cs="Arial" w:eastAsia="Arial" w:hAnsi="Arial"/>
                <w:sz w:val="18"/>
                <w:szCs w:val="18"/>
                <w:color w:val="auto"/>
              </w:rPr>
              <w:t>Vested and expected to vest - March 31, 2022</w:t>
            </w:r>
          </w:p>
        </w:tc>
        <w:tc>
          <w:tcPr>
            <w:tcW w:w="2040" w:type="dxa"/>
            <w:vAlign w:val="bottom"/>
            <w:gridSpan w:val="3"/>
          </w:tcPr>
          <w:p>
            <w:pPr>
              <w:jc w:val="right"/>
              <w:ind w:right="260"/>
              <w:spacing w:after="0" w:line="196" w:lineRule="exact"/>
              <w:rPr>
                <w:sz w:val="20"/>
                <w:szCs w:val="20"/>
                <w:color w:val="auto"/>
              </w:rPr>
            </w:pPr>
            <w:r>
              <w:rPr>
                <w:rFonts w:ascii="Arial" w:cs="Arial" w:eastAsia="Arial" w:hAnsi="Arial"/>
                <w:sz w:val="18"/>
                <w:szCs w:val="18"/>
                <w:color w:val="auto"/>
              </w:rPr>
              <w:t>1,676</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65.63</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5.7</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128,682</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Exercisable - March 31, 2022</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112,258</w:t>
            </w:r>
          </w:p>
        </w:tc>
      </w:tr>
      <w:tr>
        <w:trPr>
          <w:trHeight w:val="432"/>
        </w:trPr>
        <w:tc>
          <w:tcPr>
            <w:tcW w:w="532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RSU activity is as follows:</w:t>
      </w:r>
    </w:p>
    <w:p>
      <w:pPr>
        <w:spacing w:after="0" w:line="221" w:lineRule="exact"/>
        <w:rPr>
          <w:sz w:val="20"/>
          <w:szCs w:val="20"/>
          <w:color w:val="auto"/>
        </w:rPr>
      </w:pPr>
    </w:p>
    <w:tbl>
      <w:tblPr>
        <w:tblLayout w:type="fixed"/>
        <w:tblInd w:w="806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1300" w:type="dxa"/>
            <w:vAlign w:val="bottom"/>
          </w:tcPr>
          <w:p>
            <w:pPr>
              <w:spacing w:after="0"/>
              <w:rPr>
                <w:sz w:val="18"/>
                <w:szCs w:val="18"/>
                <w:color w:val="auto"/>
              </w:rPr>
            </w:pP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Grant Date</w:t>
            </w:r>
          </w:p>
        </w:tc>
      </w:tr>
      <w:tr>
        <w:trPr>
          <w:trHeight w:val="216"/>
        </w:trPr>
        <w:tc>
          <w:tcPr>
            <w:tcW w:w="130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Outstanding</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5"/>
              </w:rPr>
              <w:t>Fair Value</w:t>
            </w:r>
          </w:p>
        </w:tc>
      </w:tr>
      <w:tr>
        <w:trPr>
          <w:trHeight w:val="234"/>
        </w:trPr>
        <w:tc>
          <w:tcPr>
            <w:tcW w:w="130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RSUs</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Per Share</w:t>
            </w:r>
          </w:p>
        </w:tc>
      </w:tr>
    </w:tbl>
    <w:p>
      <w:pPr>
        <w:spacing w:after="0" w:line="2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as of March 31,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expected to vest - March 31, 2022</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Includes 34 thousand PSUs granted to certain executive officers in 2021.</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share repurchase program was authorized by the board of directors as follows: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500" w:type="dxa"/>
            <w:vAlign w:val="bottom"/>
            <w:gridSpan w:val="6"/>
          </w:tcPr>
          <w:p>
            <w:pPr>
              <w:jc w:val="center"/>
              <w:ind w:left="710"/>
              <w:spacing w:after="0" w:line="176" w:lineRule="exact"/>
              <w:rPr>
                <w:sz w:val="20"/>
                <w:szCs w:val="20"/>
                <w:color w:val="auto"/>
              </w:rPr>
            </w:pPr>
            <w:r>
              <w:rPr>
                <w:rFonts w:ascii="Arial" w:cs="Arial" w:eastAsia="Arial" w:hAnsi="Arial"/>
                <w:sz w:val="18"/>
                <w:szCs w:val="18"/>
                <w:b w:val="1"/>
                <w:bCs w:val="1"/>
                <w:color w:val="auto"/>
                <w:w w:val="88"/>
              </w:rPr>
              <w:t>(in thousands)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c>
          <w:tcPr>
            <w:tcW w:w="6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6"/>
        </w:trPr>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129.01</w:t>
            </w:r>
          </w:p>
        </w:tc>
        <w:tc>
          <w:tcPr>
            <w:tcW w:w="0" w:type="dxa"/>
            <w:vAlign w:val="bottom"/>
          </w:tcPr>
          <w:p>
            <w:pPr>
              <w:spacing w:after="0"/>
              <w:rPr>
                <w:sz w:val="1"/>
                <w:szCs w:val="1"/>
                <w:color w:val="auto"/>
              </w:rPr>
            </w:pPr>
          </w:p>
        </w:tc>
      </w:tr>
      <w:tr>
        <w:trPr>
          <w:trHeight w:val="216"/>
        </w:trPr>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30"/>
        </w:trPr>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0"/>
                <w:szCs w:val="20"/>
                <w:color w:val="auto"/>
              </w:rPr>
            </w:pPr>
          </w:p>
        </w:tc>
        <w:tc>
          <w:tcPr>
            <w:tcW w:w="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108.92</w:t>
            </w:r>
          </w:p>
        </w:tc>
        <w:tc>
          <w:tcPr>
            <w:tcW w:w="0" w:type="dxa"/>
            <w:vAlign w:val="bottom"/>
          </w:tcPr>
          <w:p>
            <w:pPr>
              <w:spacing w:after="0"/>
              <w:rPr>
                <w:sz w:val="1"/>
                <w:szCs w:val="1"/>
                <w:color w:val="auto"/>
              </w:rPr>
            </w:pPr>
          </w:p>
        </w:tc>
      </w:tr>
      <w:tr>
        <w:trPr>
          <w:trHeight w:val="209"/>
        </w:trPr>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106.12</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line="20" w:lineRule="exact"/>
              <w:rPr>
                <w:sz w:val="1"/>
                <w:szCs w:val="1"/>
                <w:color w:val="auto"/>
              </w:rPr>
            </w:pPr>
          </w:p>
        </w:tc>
      </w:tr>
      <w:tr>
        <w:trPr>
          <w:trHeight w:val="211"/>
        </w:trPr>
        <w:tc>
          <w:tcPr>
            <w:tcW w:w="1440" w:type="dxa"/>
            <w:vAlign w:val="bottom"/>
          </w:tcPr>
          <w:p>
            <w:pPr>
              <w:jc w:val="right"/>
              <w:spacing w:after="0"/>
              <w:rPr>
                <w:sz w:val="20"/>
                <w:szCs w:val="20"/>
                <w:color w:val="auto"/>
              </w:rPr>
            </w:pPr>
            <w:r>
              <w:rPr>
                <w:rFonts w:ascii="Arial" w:cs="Arial" w:eastAsia="Arial" w:hAnsi="Arial"/>
                <w:sz w:val="18"/>
                <w:szCs w:val="18"/>
                <w:color w:val="auto"/>
              </w:rPr>
              <w:t>758</w:t>
            </w: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Authorized Dollar</w:t>
      </w:r>
    </w:p>
    <w:p>
      <w:pPr>
        <w:spacing w:after="0" w:line="39" w:lineRule="exact"/>
        <w:rPr>
          <w:sz w:val="20"/>
          <w:szCs w:val="20"/>
          <w:color w:val="auto"/>
        </w:rPr>
      </w:pPr>
    </w:p>
    <w:p>
      <w:pPr>
        <w:sectPr>
          <w:pgSz w:w="11900" w:h="16838" w:orient="portrait"/>
          <w:cols w:equalWidth="0" w:num="2">
            <w:col w:w="7500" w:space="320"/>
            <w:col w:w="34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560" w:type="dxa"/>
            <w:vAlign w:val="bottom"/>
          </w:tcPr>
          <w:p>
            <w:pPr>
              <w:ind w:left="4000"/>
              <w:spacing w:after="0"/>
              <w:rPr>
                <w:sz w:val="20"/>
                <w:szCs w:val="20"/>
                <w:color w:val="auto"/>
              </w:rPr>
            </w:pPr>
            <w:r>
              <w:rPr>
                <w:rFonts w:ascii="Arial" w:cs="Arial" w:eastAsia="Arial" w:hAnsi="Arial"/>
                <w:sz w:val="18"/>
                <w:szCs w:val="18"/>
                <w:b w:val="1"/>
                <w:bCs w:val="1"/>
                <w:color w:val="auto"/>
              </w:rPr>
              <w:t>Announcement Date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340"/>
              <w:spacing w:after="0"/>
              <w:rPr>
                <w:sz w:val="20"/>
                <w:szCs w:val="20"/>
                <w:color w:val="auto"/>
              </w:rPr>
            </w:pPr>
            <w:r>
              <w:rPr>
                <w:rFonts w:ascii="Arial" w:cs="Arial" w:eastAsia="Arial" w:hAnsi="Arial"/>
                <w:sz w:val="18"/>
                <w:szCs w:val="18"/>
                <w:b w:val="1"/>
                <w:bCs w:val="1"/>
                <w:color w:val="auto"/>
              </w:rPr>
              <w:t>Value</w:t>
            </w:r>
          </w:p>
        </w:tc>
      </w:tr>
      <w:tr>
        <w:trPr>
          <w:trHeight w:val="209"/>
        </w:trPr>
        <w:tc>
          <w:tcPr>
            <w:tcW w:w="9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(in millions)</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12, 2018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October 30, 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October 30, 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May 7, 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10, 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November 3, 2021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49"/>
        </w:trPr>
        <w:tc>
          <w:tcPr>
            <w:tcW w:w="9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 of March 31, 2022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140" w:firstLine="450"/>
        <w:spacing w:after="0" w:line="255" w:lineRule="auto"/>
        <w:rPr>
          <w:sz w:val="20"/>
          <w:szCs w:val="20"/>
          <w:color w:val="auto"/>
        </w:rPr>
      </w:pPr>
      <w:r>
        <w:rPr>
          <w:rFonts w:ascii="Arial" w:cs="Arial" w:eastAsia="Arial" w:hAnsi="Arial"/>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2022 and 2021, the Company repurchased 368 thousand shares and 269 thousand shares of its common stock for approximately $46.6 million and $31.0 million, respectively. As of March 31, 2022, approximately $225.2 million remained available for share repurchases pursuant to the Company's share repurchase program.</w:t>
      </w:r>
    </w:p>
    <w:p>
      <w:pPr>
        <w:spacing w:after="0" w:line="184"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8"/>
          <w:szCs w:val="18"/>
          <w:color w:val="auto"/>
        </w:rPr>
        <w:t>On May 4, 2022</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announced that its board of directors authorized an additional $200.0 million to the original share repurchase program authorization, increasing the total amount of authorized repurchase to $900.0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10.  Net Income Per Share</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ind w:left="420"/>
              <w:spacing w:after="0"/>
              <w:rPr>
                <w:sz w:val="20"/>
                <w:szCs w:val="20"/>
                <w:color w:val="auto"/>
              </w:rPr>
            </w:pPr>
            <w:r>
              <w:rPr>
                <w:rFonts w:ascii="Arial" w:cs="Arial" w:eastAsia="Arial" w:hAnsi="Arial"/>
                <w:sz w:val="18"/>
                <w:szCs w:val="18"/>
                <w:color w:val="auto"/>
              </w:rPr>
              <w:t>The computations for basic and diluted net income per share are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20" w:type="dxa"/>
            <w:vAlign w:val="bottom"/>
            <w:gridSpan w:val="5"/>
          </w:tcPr>
          <w:p>
            <w:pPr>
              <w:jc w:val="center"/>
              <w:ind w:left="41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93"/>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8"/>
              </w:rPr>
              <w:t>(in thousands, except per share data)</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25,410</w:t>
            </w:r>
          </w:p>
        </w:tc>
        <w:tc>
          <w:tcPr>
            <w:tcW w:w="11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Basic weighted average shares</w:t>
            </w: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38,992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39,209</w:t>
            </w:r>
          </w:p>
        </w:tc>
      </w:tr>
      <w:tr>
        <w:trPr>
          <w:trHeight w:val="216"/>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shares: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Stock options</w:t>
            </w:r>
          </w:p>
        </w:tc>
        <w:tc>
          <w:tcPr>
            <w:tcW w:w="9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r>
      <w:tr>
        <w:trPr>
          <w:trHeight w:val="23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Restricted stock units</w:t>
            </w:r>
          </w:p>
        </w:tc>
        <w:tc>
          <w:tcPr>
            <w:tcW w:w="9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 weighted average shares</w:t>
            </w:r>
          </w:p>
        </w:tc>
        <w:tc>
          <w:tcPr>
            <w:tcW w:w="9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40,001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40,430</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income per share:</w:t>
            </w: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7"/>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0.64</w:t>
            </w:r>
          </w:p>
        </w:tc>
        <w:tc>
          <w:tcPr>
            <w:tcW w:w="112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0.01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33"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2"/>
          </w:tcPr>
          <w:p>
            <w:pPr>
              <w:spacing w:after="0"/>
              <w:rPr>
                <w:sz w:val="20"/>
                <w:szCs w:val="20"/>
                <w:color w:val="auto"/>
              </w:rPr>
            </w:pPr>
            <w:r>
              <w:rPr>
                <w:rFonts w:ascii="Arial" w:cs="Arial" w:eastAsia="Arial" w:hAnsi="Arial"/>
                <w:sz w:val="18"/>
                <w:szCs w:val="18"/>
                <w:b w:val="1"/>
                <w:bCs w:val="1"/>
                <w:color w:val="auto"/>
                <w:w w:val="72"/>
              </w:rPr>
              <w:t>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601</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20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0" w:type="dxa"/>
            <w:vAlign w:val="bottom"/>
            <w:gridSpan w:val="2"/>
          </w:tcPr>
          <w:p>
            <w:pPr>
              <w:spacing w:after="0"/>
              <w:rPr>
                <w:sz w:val="20"/>
                <w:szCs w:val="20"/>
                <w:color w:val="auto"/>
              </w:rPr>
            </w:pPr>
            <w:r>
              <w:rPr>
                <w:rFonts w:ascii="Arial" w:cs="Arial" w:eastAsia="Arial" w:hAnsi="Arial"/>
                <w:sz w:val="18"/>
                <w:szCs w:val="18"/>
                <w:color w:val="auto"/>
              </w:rPr>
              <w:t>Total anti-dilutive shares</w:t>
            </w:r>
          </w:p>
        </w:tc>
        <w:tc>
          <w:tcPr>
            <w:tcW w:w="680" w:type="dxa"/>
            <w:vAlign w:val="bottom"/>
            <w:gridSpan w:val="2"/>
          </w:tcPr>
          <w:p>
            <w:pPr>
              <w:jc w:val="right"/>
              <w:ind w:right="110"/>
              <w:spacing w:after="0"/>
              <w:rPr>
                <w:sz w:val="20"/>
                <w:szCs w:val="20"/>
                <w:color w:val="auto"/>
              </w:rPr>
            </w:pPr>
            <w:r>
              <w:rPr>
                <w:rFonts w:ascii="Arial" w:cs="Arial" w:eastAsia="Arial" w:hAnsi="Arial"/>
                <w:sz w:val="18"/>
                <w:szCs w:val="18"/>
                <w:color w:val="auto"/>
              </w:rPr>
              <w:t>609</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540"/>
              <w:spacing w:after="0"/>
              <w:rPr>
                <w:sz w:val="20"/>
                <w:szCs w:val="20"/>
                <w:color w:val="auto"/>
              </w:rPr>
            </w:pPr>
            <w:r>
              <w:rPr>
                <w:rFonts w:ascii="Arial" w:cs="Arial" w:eastAsia="Arial" w:hAnsi="Arial"/>
                <w:sz w:val="18"/>
                <w:szCs w:val="18"/>
                <w:color w:val="auto"/>
              </w:rPr>
              <w:t>25</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tax law developments and possible outcomes of audits. The Company's estimated effective tax rate for the year differs from the U.S. statutory rate of 21% primarily due to non-deductible stock-based compensation expense, state taxes, the benefit of U.S. federal income tax credits and the foreign-derived intangible income deduction.</w:t>
      </w:r>
    </w:p>
    <w:p>
      <w:pPr>
        <w:spacing w:after="0" w:line="18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recorded an income tax provision of $7.9 million and an income tax benefit of $2.4 million for the three months ended March 31, 2022 and 2021, respectively, resulting in an effective tax rate of 23.8% and 110.3%, respectively. The increase in income tax provision for the three months ended March 31, 2022 compared to the three months ended March 31, 2021 was primarily due to the effects of a tax law change related to mandatory capitalization of research and development expenses starting January 1, 2022 and a decrease in stock-based compensation expense due to the accelerated vesting of Mr. Courtot's equity awards in the three months ended March 31, 2021.</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2022, the Company had unrecognized tax benefits of $9.9 million, of which $5.1 million, if recognized, would favorably impact the Company's effective tax rate. As of December 31, 2021, the Company had unrecognized tax benefits of $9.7 million, of which $4.9 million, if recognized, would favorably impact the Company's effective tax rate. The Company does not anticipate a material change in its unrecognized tax benefits in the next 12 months.</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June 29, 2020, the California governor signed into law the 2020 Budget Act, which temporarily suspends the utilization of net operating losses and limits the utilization of the research credit to $5 million annually for 2020, 2021 and 2022. The Company does not expect a material impact to the condensed consolidated financial statements as a result of the 2020 Budget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and Information about Geographic Area</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spacing w:after="0"/>
              <w:rPr>
                <w:sz w:val="20"/>
                <w:szCs w:val="20"/>
                <w:color w:val="auto"/>
              </w:rPr>
            </w:pPr>
            <w:r>
              <w:rPr>
                <w:rFonts w:ascii="Arial" w:cs="Arial" w:eastAsia="Arial" w:hAnsi="Arial"/>
                <w:sz w:val="17"/>
                <w:szCs w:val="17"/>
                <w:b w:val="1"/>
                <w:bCs w:val="1"/>
                <w:color w:val="auto"/>
                <w:w w:val="71"/>
              </w:rPr>
              <w:t>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67,476</w:t>
            </w:r>
          </w:p>
        </w:tc>
        <w:tc>
          <w:tcPr>
            <w:tcW w:w="6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which consist of Property and equipment, net and Operating leases - right of use asset, by geographic area,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67,394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66,440</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India</w:t>
            </w: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1"/>
              <w:spacing w:after="0"/>
              <w:rPr>
                <w:sz w:val="20"/>
                <w:szCs w:val="20"/>
                <w:color w:val="auto"/>
              </w:rPr>
            </w:pPr>
            <w:r>
              <w:rPr>
                <w:rFonts w:ascii="Arial" w:cs="Arial" w:eastAsia="Arial" w:hAnsi="Arial"/>
                <w:sz w:val="18"/>
                <w:szCs w:val="18"/>
                <w:color w:val="auto"/>
              </w:rPr>
              <w:t>19,375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Arial" w:cs="Arial" w:eastAsia="Arial" w:hAnsi="Arial"/>
                <w:sz w:val="18"/>
                <w:szCs w:val="18"/>
                <w:color w:val="auto"/>
              </w:rPr>
              <w:t>Total</w:t>
            </w:r>
          </w:p>
        </w:tc>
        <w:tc>
          <w:tcPr>
            <w:tcW w:w="47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4760" w:type="dxa"/>
            <w:vAlign w:val="bottom"/>
            <w:vMerge w:val="restart"/>
          </w:tcPr>
          <w:p>
            <w:pPr>
              <w:jc w:val="right"/>
              <w:ind w:right="2210"/>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26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60" w:type="dxa"/>
            <w:vAlign w:val="bottom"/>
            <w:tcBorders>
              <w:bottom w:val="single" w:sz="8" w:color="auto"/>
            </w:tcBorders>
          </w:tcPr>
          <w:p>
            <w:pPr>
              <w:spacing w:after="0"/>
              <w:rPr>
                <w:sz w:val="10"/>
                <w:szCs w:val="10"/>
                <w:color w:val="auto"/>
              </w:rPr>
            </w:pPr>
          </w:p>
        </w:tc>
        <w:tc>
          <w:tcPr>
            <w:tcW w:w="4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2021.</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 w:lineRule="exact"/>
        <w:rPr>
          <w:sz w:val="20"/>
          <w:szCs w:val="20"/>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ongoing COVID-19 pandemic and related public health measures on our business;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investments in sales and marketing, our infrastructure, new solutions, research and development, and acquisitions;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assumptions and conclusions related to our income tax provision, our deferred tax assets and our effective tax rate; and</w:t>
      </w:r>
    </w:p>
    <w:p>
      <w:pPr>
        <w:spacing w:after="0" w:line="20" w:lineRule="exact"/>
        <w:rPr>
          <w:rFonts w:ascii="Arial" w:cs="Arial" w:eastAsia="Arial" w:hAnsi="Arial"/>
          <w:sz w:val="17"/>
          <w:szCs w:val="17"/>
          <w:i w:val="1"/>
          <w:iCs w:val="1"/>
          <w:color w:val="auto"/>
        </w:rPr>
      </w:pPr>
    </w:p>
    <w:p>
      <w:pPr>
        <w:ind w:left="460" w:right="20" w:hanging="223"/>
        <w:spacing w:after="0" w:line="26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pioneer and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jc w:val="both"/>
        <w:ind w:left="460" w:hanging="223"/>
        <w:spacing w:after="0" w:line="255"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(VM), Vulnerability Management, Detection and Response (VMDR), Threat Protection (TP),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(CM), Patch Management (PM), Multi-Vector Endpoint Detection and Response (EDR), Certificate Assessment (CRA), SaaS Detection and Response (SaaSDR), Secure Enterprise Mobility (SEM);</w:t>
      </w:r>
    </w:p>
    <w:p>
      <w:pPr>
        <w:spacing w:after="0" w:line="2" w:lineRule="exact"/>
        <w:rPr>
          <w:rFonts w:ascii="Arial" w:cs="Arial" w:eastAsia="Arial" w:hAnsi="Arial"/>
          <w:sz w:val="18"/>
          <w:szCs w:val="18"/>
          <w:i w:val="1"/>
          <w:iCs w:val="1"/>
          <w:color w:val="auto"/>
        </w:rPr>
      </w:pPr>
    </w:p>
    <w:p>
      <w:pPr>
        <w:ind w:left="460" w:right="80" w:hanging="223"/>
        <w:spacing w:after="0" w:line="250"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Questionnaire (SAQ), Out-of-Band Configuration Assessment (OCA);</w:t>
      </w: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 View (GAV), Cybersecurity Asset Management (CSAM), Certificate Inventory (CRI); and</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For the three months ended March 31, 2022 and 2021, approximately 59% and 62%,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March 2020, the World Health Organization declared the outbreak of COVID-19 as a pandemic. As a result of COVID-19, we temporarily modified certain aspects of our business, including restricting employee travel, requiring employees to work from home, and canceling certain events and meetings, among other modifications. While we have resumed in-office work, employee travel, and in-person events and meetings, we will continue to actively monitor the situation and may take actions that alter our business operations as may be required by federal, state or local authorities or that we determine are in the best interests of our employees, customers, partners, suppliers and stockholders. While we have not incurred significant disruptions from the COVID-19 pandemic to date and do not expect the pandemic will have a significant impact on our business in 2022, we are unable to accurately predict the full impact that COVID-19 will have due to numerous uncertainties, including the duration of the outbreak, actions that may be taken by governmental authorities and the impact to the business of the Company's customers and partners. We will continue to evaluate the nature and extent of the impact to our business, financial position, results of operations and cash flows.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physical scanner appliances and computer hardware provided to certain customers as part of their subscriptions, expenses related to the use of third-party data centers and cloud infrastructures, amortization of software and license fees, amortization of intangibles related to acquisitions, maintenance support, fees paid to contractors who supplement or support our operations center personnel and overhead allocations. We expect to continue to make capital investments to expand and support our data center and cloud infrastructure operations, which will increase the cost of revenues in absolute dollars.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other income (expense), net consists primarily of interest and investment income from our short-term and long-term marketable securities and foreign exchange gains and losses, the majority of which result from fluctuations between the U.S. Dollar and the Euro, GBP and INR.</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selected condensed consolidated statements of operations data for each of the periods presented as a percentage of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jc w:val="center"/>
              <w:ind w:right="88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8"/>
                <w:szCs w:val="18"/>
                <w:b w:val="1"/>
                <w:bCs w:val="1"/>
                <w:color w:val="auto"/>
                <w:w w:val="96"/>
              </w:rPr>
              <w:t>March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09"/>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5"/>
          </w:tcPr>
          <w:p>
            <w:pPr>
              <w:jc w:val="right"/>
              <w:ind w:right="8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13"/>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Comparison of Three Months Ended March 31, 2022 and 2021</w:t>
            </w: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2"/>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7"/>
              </w:rPr>
              <w:t>Change</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5"/>
          </w:tcPr>
          <w:p>
            <w:pPr>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113,420</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96,756</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16,664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r>
    </w:tbl>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Revenues increased by $16.7 million for the three months ended March 31, 2022 compared to the same period in 2021, due to an increase in IT Security, Compliance, Web Application Security, Asset Management, Container Security, and Vulnerability Management subscriptions. The revenue growth was primarily from an increase in renewal and sales to new customers in the three months ended March 31, 2022 compared to the same period in 2021. Of the total increase of $16.7 million, $7.4 million was from customers in the United States and $9.3 million was from customers in foreign countries. Of the total increase of $16.7 million, $8.5 million was direct and $8.2 million was from partners. In the three months ended March 31, 2022, 59% of total revenue was direct and 41% of total revenue was through partners. In the three months ended March 31, 2021, 60% of total revenue was direct and 40% of total revenue was through partners. With our strong market position driving further demand for our solutions, we expect revenue growth from new and existing customers to continue.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Cost of Revenues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24,002</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21,680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Cost of revenues increased by $2.3 million for the three months ended March 31, 2022 compared to the same period in 2021, due to an increase in personnel costs, including stock-based compensation, of $1.4 million, an increase in allocated IT and facility costs of $0.4 million, driven by additional employees hired to support the growth of our business, and an increase in professional service expense of $0.4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98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23,107</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17,749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Research and development expenses increased by $5.4 million for the three months ended March 31, 2022 compared to the same period in 2021, due to an increase in personnel costs, including stock-based compensation, of $4.3 million driven by increased headcounts including hiring in senior management, and an increase in allocated IT and facility costs of $0.7 million, subscribed license and software costs of $0.2 million, and professional service expense of $0.2 million, driven by higher level of research and development efforts.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w w:val="96"/>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2021</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20,142</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17,989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increased by $2.2 million for the three months ended March 31, 2022 compared to the same period in 2021, primarily due to an increase in marketing related expense of $1.2 million as result of increased marketing activities, an increase in commission expense of $0.4 million driven by higher revenues, and an increase in professional service expense of $0.4 million and subscribed license and software costs of $0.2 million, driven by increased level of sales and marketing efforts.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w w:val="98"/>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12,634</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42,043</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and administrative expenses decreased by $29.4 million for the three months ended March 31, 2022 compared to the same period in 2021, primarily due to the decrease in stock-based compensation expense of $27.3 million as a result of accelerated vesting of Mr. Courtot's equity awards in the first quarter of 2021 and a decrease in legal fees of $1.9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Total other income (expense), net</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2120" w:type="dxa"/>
            <w:vAlign w:val="bottom"/>
            <w:gridSpan w:val="5"/>
          </w:tcPr>
          <w:p>
            <w:pPr>
              <w:ind w:left="400"/>
              <w:spacing w:after="0"/>
              <w:rPr>
                <w:sz w:val="20"/>
                <w:szCs w:val="20"/>
                <w:color w:val="auto"/>
              </w:rPr>
            </w:pPr>
            <w:r>
              <w:rPr>
                <w:rFonts w:ascii="Arial" w:cs="Arial" w:eastAsia="Arial" w:hAnsi="Arial"/>
                <w:sz w:val="18"/>
                <w:szCs w:val="18"/>
                <w:b w:val="1"/>
                <w:bCs w:val="1"/>
                <w:color w:val="auto"/>
                <w:w w:val="95"/>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2022</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(192)</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498</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w:t>
            </w: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other income (expense), net decreased by $0.7 million for the three months ended March 31, 2022, respectively, compared to the same periods in 2021, due to a decrease in interest income driven by lower yield and an increase in foreign exchange loss.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Income tax provision (benefit)</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6"/>
          </w:tcPr>
          <w:p>
            <w:pPr>
              <w:jc w:val="center"/>
              <w:ind w:right="43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2021</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78"/>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(2,435)</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(425.8)%</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110.3%</w:t>
            </w: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Income tax provision increased by $10.4 million for the three months ended March 31, 2022 compared to the same period in 2021, primarily due to the effects of tax law change related to mandatory capitalization of research and development expenses starting January 1, 2022 and a decrease in stock-based compensation expense due to the accelerated vesting of Mr. Courtot's equity awards in the three months ended March 31, 2021.</w:t>
      </w:r>
    </w:p>
    <w:p>
      <w:pPr>
        <w:sectPr>
          <w:pgSz w:w="11900" w:h="16838" w:orient="portrait"/>
          <w:cols w:equalWidth="0" w:num="1">
            <w:col w:w="11240"/>
          </w:cols>
          <w:pgMar w:left="320" w:top="108" w:right="3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660" w:right="8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months ended March 31,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40" w:type="dxa"/>
            <w:vAlign w:val="bottom"/>
            <w:gridSpan w:val="4"/>
          </w:tcPr>
          <w:p>
            <w:pPr>
              <w:jc w:val="right"/>
              <w:ind w:right="161"/>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0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rPr>
              <w:t>(in</w:t>
            </w:r>
          </w:p>
        </w:tc>
        <w:tc>
          <w:tcPr>
            <w:tcW w:w="1200" w:type="dxa"/>
            <w:vAlign w:val="bottom"/>
            <w:gridSpan w:val="2"/>
          </w:tcPr>
          <w:p>
            <w:pPr>
              <w:jc w:val="right"/>
              <w:ind w:right="441"/>
              <w:spacing w:after="0"/>
              <w:rPr>
                <w:sz w:val="20"/>
                <w:szCs w:val="20"/>
                <w:color w:val="auto"/>
              </w:rPr>
            </w:pPr>
            <w:r>
              <w:rPr>
                <w:rFonts w:ascii="Arial" w:cs="Arial" w:eastAsia="Arial" w:hAnsi="Arial"/>
                <w:sz w:val="17"/>
                <w:szCs w:val="17"/>
                <w:b w:val="1"/>
                <w:bCs w:val="1"/>
                <w:color w:val="auto"/>
                <w:w w:val="71"/>
              </w:rPr>
              <w:t>thousands)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w w:val="90"/>
              </w:rPr>
              <w:t>25,410</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w:t>
            </w:r>
          </w:p>
        </w:tc>
      </w:tr>
      <w:tr>
        <w:trPr>
          <w:trHeight w:val="216"/>
        </w:trPr>
        <w:tc>
          <w:tcPr>
            <w:tcW w:w="500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8"/>
                <w:szCs w:val="18"/>
                <w:color w:val="auto"/>
              </w:rPr>
              <w:t>7,276</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7,433</w:t>
            </w: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1,706</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1,645</w:t>
            </w:r>
          </w:p>
        </w:tc>
      </w:tr>
      <w:tr>
        <w:trPr>
          <w:trHeight w:val="216"/>
        </w:trPr>
        <w:tc>
          <w:tcPr>
            <w:tcW w:w="5000" w:type="dxa"/>
            <w:vAlign w:val="bottom"/>
          </w:tcPr>
          <w:p>
            <w:pPr>
              <w:ind w:left="340"/>
              <w:spacing w:after="0"/>
              <w:rPr>
                <w:sz w:val="20"/>
                <w:szCs w:val="20"/>
                <w:color w:val="auto"/>
              </w:rPr>
            </w:pPr>
            <w:r>
              <w:rPr>
                <w:rFonts w:ascii="Arial" w:cs="Arial" w:eastAsia="Arial" w:hAnsi="Arial"/>
                <w:sz w:val="18"/>
                <w:szCs w:val="18"/>
                <w:color w:val="auto"/>
              </w:rPr>
              <w:t>Income tax provision (benefit)</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8"/>
                <w:szCs w:val="18"/>
                <w:color w:val="auto"/>
              </w:rPr>
              <w:t>7,933</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(2,435)</w:t>
            </w:r>
          </w:p>
        </w:tc>
      </w:tr>
      <w:tr>
        <w:trPr>
          <w:trHeight w:val="216"/>
        </w:trPr>
        <w:tc>
          <w:tcPr>
            <w:tcW w:w="5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w w:val="90"/>
              </w:rPr>
              <w:t>11,745</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38,202</w:t>
            </w:r>
          </w:p>
        </w:tc>
      </w:tr>
      <w:tr>
        <w:trPr>
          <w:trHeight w:val="216"/>
        </w:trPr>
        <w:tc>
          <w:tcPr>
            <w:tcW w:w="500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196"/>
              <w:spacing w:after="0"/>
              <w:rPr>
                <w:sz w:val="20"/>
                <w:szCs w:val="20"/>
                <w:color w:val="auto"/>
              </w:rPr>
            </w:pPr>
            <w:r>
              <w:rPr>
                <w:rFonts w:ascii="Arial" w:cs="Arial" w:eastAsia="Arial" w:hAnsi="Arial"/>
                <w:sz w:val="18"/>
                <w:szCs w:val="18"/>
                <w:color w:val="auto"/>
              </w:rPr>
              <w:t>192</w:t>
            </w:r>
          </w:p>
        </w:tc>
        <w:tc>
          <w:tcPr>
            <w:tcW w:w="9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r>
      <w:tr>
        <w:trPr>
          <w:trHeight w:val="20"/>
        </w:trPr>
        <w:tc>
          <w:tcPr>
            <w:tcW w:w="5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8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w w:val="90"/>
              </w:rPr>
              <w:t>54,262</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44,575</w:t>
            </w:r>
          </w:p>
        </w:tc>
      </w:tr>
      <w:tr>
        <w:trPr>
          <w:trHeight w:val="20"/>
        </w:trPr>
        <w:tc>
          <w:tcPr>
            <w:tcW w:w="50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00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gridSpan w:val="2"/>
          </w:tcPr>
          <w:p>
            <w:pPr>
              <w:jc w:val="right"/>
              <w:ind w:right="36"/>
              <w:spacing w:after="0"/>
              <w:rPr>
                <w:sz w:val="20"/>
                <w:szCs w:val="20"/>
                <w:color w:val="auto"/>
              </w:rPr>
            </w:pPr>
            <w:r>
              <w:rPr>
                <w:rFonts w:ascii="Arial" w:cs="Arial" w:eastAsia="Arial" w:hAnsi="Arial"/>
                <w:sz w:val="18"/>
                <w:szCs w:val="18"/>
                <w:color w:val="auto"/>
              </w:rPr>
              <w:t>48%</w:t>
            </w:r>
          </w:p>
        </w:tc>
        <w:tc>
          <w:tcPr>
            <w:tcW w:w="9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634"/>
        </w:trPr>
        <w:tc>
          <w:tcPr>
            <w:tcW w:w="5000" w:type="dxa"/>
            <w:vAlign w:val="bottom"/>
          </w:tcPr>
          <w:p>
            <w:pPr>
              <w:spacing w:after="0"/>
              <w:rPr>
                <w:sz w:val="24"/>
                <w:szCs w:val="24"/>
                <w:color w:val="auto"/>
              </w:rPr>
            </w:pPr>
          </w:p>
        </w:tc>
        <w:tc>
          <w:tcPr>
            <w:tcW w:w="2920" w:type="dxa"/>
            <w:vAlign w:val="bottom"/>
          </w:tcPr>
          <w:p>
            <w:pPr>
              <w:jc w:val="right"/>
              <w:ind w:right="2110"/>
              <w:spacing w:after="0"/>
              <w:rPr>
                <w:sz w:val="20"/>
                <w:szCs w:val="20"/>
                <w:color w:val="auto"/>
              </w:rPr>
            </w:pPr>
            <w:r>
              <w:rPr>
                <w:rFonts w:ascii="Arial" w:cs="Arial" w:eastAsia="Arial" w:hAnsi="Arial"/>
                <w:sz w:val="18"/>
                <w:szCs w:val="18"/>
                <w:color w:val="auto"/>
              </w:rPr>
              <w:t>34</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5000" w:type="dxa"/>
            <w:vAlign w:val="bottom"/>
            <w:tcBorders>
              <w:bottom w:val="single" w:sz="8" w:color="auto"/>
            </w:tcBorders>
          </w:tcPr>
          <w:p>
            <w:pPr>
              <w:spacing w:after="0"/>
              <w:rPr>
                <w:sz w:val="10"/>
                <w:szCs w:val="10"/>
                <w:color w:val="auto"/>
              </w:rPr>
            </w:pPr>
          </w:p>
        </w:tc>
        <w:tc>
          <w:tcPr>
            <w:tcW w:w="29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2022, our principal source of liquidity was cash, cash equivalents and marketable securities of $539.5 million, including $86.2 million of cash held outside of the United States. The following summary of cash flows for the periods indicated has been derived from our condensed consolidated financial statements included elsewhere in this report: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40" w:type="dxa"/>
            <w:vAlign w:val="bottom"/>
            <w:gridSpan w:val="7"/>
          </w:tcPr>
          <w:p>
            <w:pPr>
              <w:jc w:val="right"/>
              <w:ind w:right="8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79,040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57,854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23,175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(45,557)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(46,408)</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28,959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34,621</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During the three months ended March 31, 2022, we generated $41.9 million of cash from our net income, as adjusted for non-cash items mainly related to stock-based compensation expense, depreciation and amortization expense and deferred taxes, as compared to $43.5 million during the three months ended March 31, 2021. In addition, we also generated $37.1 million of cash from working capital change during the three months ended March 31, 2022, of which $27.0 million was related to net increase in deferred revenue and net decrease in accounts receivable as a result of our continued growth in billing and collection and $9.6 million was related to income tax overpayments in the prior year that were applied to the current year income tax liabilities. During the three months ended March 31, 2021, we generated $14.4 million of cash from working capital change, which was also mainly related to deferred revenue and accounts receivable due to continued growth in billing and collection, partially offset by an increase of cash flow hedge receivable and higher prepaid expenses.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During the three months ended March 31, 2022, we generated $3.1 million of cash from maturity of marketable securities investment net of purchase, and used $7.6 million of cash in capital expenditures mainly related to computer equipment to support our growth and development, as compared to $29.4 million of cash provided by maturity of marketable securities investment net of purchase, and $6.2 million of cash used in capital expenditures during the three months ended March 31, 2021.</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315"/>
        <w:spacing w:after="0" w:line="257" w:lineRule="auto"/>
        <w:rPr>
          <w:sz w:val="20"/>
          <w:szCs w:val="20"/>
          <w:color w:val="auto"/>
        </w:rPr>
      </w:pPr>
      <w:r>
        <w:rPr>
          <w:rFonts w:ascii="Arial" w:cs="Arial" w:eastAsia="Arial" w:hAnsi="Arial"/>
          <w:sz w:val="18"/>
          <w:szCs w:val="18"/>
          <w:color w:val="auto"/>
        </w:rPr>
        <w:t>During the three months ended March 31, 2022, we used $46.6 million of cash for share repurchases and $3.6 million of cash in payment of employee withholding taxes upon vesting of restricted stock units, and received $2.6 million of proceeds from employee exercise of stock options and $2.1 million of proceeds from issuance of common stock through our ESPP, as compared to $31.0 million of cash used for share repurchases, $17.6 million of cash used in payment of employee withholding taxes upon vesting of restricted stock units, and $2.2 million of cash received from employee exercise of stock options during the three months ended March 31, 2021.</w:t>
      </w:r>
    </w:p>
    <w:p>
      <w:pPr>
        <w:spacing w:after="0" w:line="188" w:lineRule="exact"/>
        <w:rPr>
          <w:sz w:val="20"/>
          <w:szCs w:val="20"/>
          <w:color w:val="auto"/>
        </w:rPr>
      </w:pPr>
    </w:p>
    <w:p>
      <w:pPr>
        <w:jc w:val="both"/>
        <w:ind w:right="340" w:firstLine="270"/>
        <w:spacing w:after="0" w:line="286" w:lineRule="auto"/>
        <w:rPr>
          <w:sz w:val="20"/>
          <w:szCs w:val="20"/>
          <w:color w:val="auto"/>
        </w:rPr>
      </w:pPr>
      <w:r>
        <w:rPr>
          <w:rFonts w:ascii="Arial" w:cs="Arial" w:eastAsia="Arial" w:hAnsi="Arial"/>
          <w:sz w:val="17"/>
          <w:szCs w:val="17"/>
          <w:color w:val="auto"/>
        </w:rPr>
        <w:t>We believe our existing cash and cash equivalents, marketable securities and our expected cash flow generated from operations will be sufficient to fund our operations for the next twelve months and beyond. We do not anticipate that we will need funds generated from foreign operations to fund our domestic operations. However, if we repatriate these funds, we could be subject to foreign withholding taxes.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100" w:firstLine="270"/>
        <w:spacing w:after="0" w:line="275" w:lineRule="auto"/>
        <w:rPr>
          <w:sz w:val="20"/>
          <w:szCs w:val="20"/>
          <w:color w:val="auto"/>
        </w:rPr>
      </w:pPr>
      <w:r>
        <w:rPr>
          <w:rFonts w:ascii="Arial" w:cs="Arial" w:eastAsia="Arial" w:hAnsi="Arial"/>
          <w:sz w:val="17"/>
          <w:szCs w:val="17"/>
          <w:color w:val="auto"/>
        </w:rPr>
        <w:t>We expect to continue to use cash to repurchase shares under our share repurchase program authorized by our board of directors on February 5, 2018. On May 4, 2022, we announced that our board of directors authorized an additional $200.0 million to the share repurchase program authorization, increasing the total amount of authorized repurchase to $900.0 million. As of March 31, 2022, approximately $225.2 million remained available under our share repurchase program. Shares will be repurchased from time to time on the open market in accordance with Rule 10b-18 of the Exchange Act of 1934, including pursuant to a pre-set trading plan adopted in accordance with Rule 10b5-1 under the Exchange Act.</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Our cash requirements from purchase commitments were included in the purchase obligations disclosed in Note 8 to the unaudited condensed consolidated financial statements in Part I, Item 1 of this Quarterly Report on Form 10-Q.</w:t>
      </w:r>
    </w:p>
    <w:p>
      <w:pPr>
        <w:spacing w:after="0" w:line="170" w:lineRule="exact"/>
        <w:rPr>
          <w:sz w:val="20"/>
          <w:szCs w:val="20"/>
          <w:color w:val="auto"/>
        </w:rPr>
      </w:pPr>
    </w:p>
    <w:p>
      <w:pPr>
        <w:jc w:val="both"/>
        <w:ind w:right="260" w:firstLine="215"/>
        <w:spacing w:after="0" w:line="286" w:lineRule="auto"/>
        <w:rPr>
          <w:sz w:val="20"/>
          <w:szCs w:val="20"/>
          <w:color w:val="auto"/>
        </w:rPr>
      </w:pPr>
      <w:r>
        <w:rPr>
          <w:rFonts w:ascii="Arial" w:cs="Arial" w:eastAsia="Arial" w:hAnsi="Arial"/>
          <w:sz w:val="17"/>
          <w:szCs w:val="17"/>
          <w:color w:val="auto"/>
        </w:rPr>
        <w:t>As of March 31, 2022, other than the changes previously described in the “Liquidity and Capital Resources” in this Quarterly Report on Form 10-Q, there have been no other material changes to our cash requirements as described in “Part II, Item 7. Management’s Discussion and Analysis of Financial Condition and Results of Operations” of our Annual Report on Form 10-K for the fiscal year ended December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1 to the unaudited condensed consolidated financial statements in Part I, Item 1 of this Quarterly Report on Form 10-Q for a discussion of recent accounting pronouncements.</w:t>
      </w:r>
    </w:p>
    <w:p>
      <w:pPr>
        <w:sectPr>
          <w:pgSz w:w="11900" w:h="16838" w:orient="portrait"/>
          <w:cols w:equalWidth="0" w:num="1">
            <w:col w:w="11240"/>
          </w:cols>
          <w:pgMar w:left="320" w:top="125" w:right="339" w:bottom="979"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79"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402"/>
        <w:spacing w:after="0" w:line="277" w:lineRule="auto"/>
        <w:rPr>
          <w:sz w:val="20"/>
          <w:szCs w:val="20"/>
          <w:color w:val="auto"/>
        </w:rPr>
      </w:pPr>
      <w:r>
        <w:rPr>
          <w:rFonts w:ascii="Arial" w:cs="Arial" w:eastAsia="Arial" w:hAnsi="Arial"/>
          <w:sz w:val="18"/>
          <w:szCs w:val="18"/>
          <w:color w:val="auto"/>
        </w:rPr>
        <w:t>There have been no material changes to our critical accounting estimates as described in our Annual Report on Form 10-K for the fiscal year ended December 31, 2021.</w:t>
      </w: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INR, Canadian Dollar and CHF, the currencies of countries where we currently have our most significant international operations. We enter into foreign currency forward contracts to reduce our exposure to foreign currency exchange rate fluctuations related to forecasted subscription revenue, operation expenses and foreign currency denominated assets or liabilities. As of March 31, 2022, we had designated cash flow hedge forward contracts with notional amounts of €28.8 million, £9.4 million and Rs.3,116.4 million and non-designated forward contracts with notional amounts of €38.2 million, £18.4 million, Rs.147.6 million, C$3.6 million and CHF1.0 million. With our hedging strategy applied, the effect of an immediate 10% adverse change in foreign exchange rates would not be material to our financial condition, operating results or cash flows.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had $539.5 million in cash, cash equivalents and short-term and long-term marketable securities as of March 31, 2022. Cash and cash equivalents include cash held in banks, highly liquid money market funds and commercial paper. Marketable securities consist of fixed-income U.S. Treasury and government agency securities, commercial paper corporate bonds, asset-backed securities and foreign government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March 31, 2022, a hypothetical 100 basis point increase in interest rate would result in a decrease in the fair value of our marketable securities by $2.1 million.</w:t>
      </w:r>
    </w:p>
    <w:p>
      <w:pPr>
        <w:spacing w:after="0" w:line="200" w:lineRule="exact"/>
        <w:rPr>
          <w:sz w:val="20"/>
          <w:szCs w:val="20"/>
          <w:color w:val="auto"/>
        </w:rPr>
      </w:pPr>
    </w:p>
    <w:p>
      <w:pPr>
        <w:spacing w:after="0" w:line="20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Chief Financial Officer and our Principal Accounting Officer, evaluated the effectiveness of our disclosure controls and procedures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our business. As of March 31, 2022,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2019, an outbreak of COVID-19 originated in Wuhan, China and has since spread to countries around the world. On March 11, 2020, the World Health Organization characterized COVID-19 as a pandemic. The continued spread of COVID-19 and the resurgence of infection rates in certain regions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and disrupted the global supply chain. The pandemic has caused, and will like continue to contribute to,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ultimate extent of the impact of COVID-19 on our business, financial position, results of operations and cash flows will depend on future developments, which are highly uncertain and cannot be predicted at this time, including but not limited to, the duration and geographic spread of the pandemic, its severity, the actions to contain the virus or treat its impact, future spikes of COVID-19 infections resulting in additional preventative measures to contain or mitigate the spread of the virus, the effectiveness, distribution and acceptance of COVID-19 vaccines, including the vaccines’ efficacy against emerging COVID-19 variants, and how quickly and to what extent normal economic and operating conditions can resume. These impacts, individually or in the aggregate, could have a material and adverse effect on our business, financial position, results of operations and cash flows. Such effect may be exacerbated in the event the pandemic and the measures taken in response to it continue to persist for an extended period of time. Under any of these circumstances, the resumption of normal business operations may be delayed or hampered by lingering effects of COVID-19 on our operations, partners, and customers.</w:t>
      </w:r>
    </w:p>
    <w:p>
      <w:pPr>
        <w:spacing w:after="0" w:line="200" w:lineRule="exact"/>
        <w:rPr>
          <w:sz w:val="20"/>
          <w:szCs w:val="20"/>
          <w:color w:val="auto"/>
        </w:rPr>
      </w:pP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timing and success of new product or service introductions by us or our competitors or any other changes in the competitive landscape of our</w:t>
      </w:r>
    </w:p>
    <w:p>
      <w:pPr>
        <w:spacing w:after="0" w:line="46"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4"/>
          <w:szCs w:val="14"/>
          <w:color w:val="auto"/>
        </w:rPr>
        <w:t>industry, including consolidation among our competitors;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ectPr>
          <w:pgSz w:w="11900" w:h="16838" w:orient="portrait"/>
          <w:cols w:equalWidth="0" w:num="1">
            <w:col w:w="11240"/>
          </w:cols>
          <w:pgMar w:left="320" w:top="125" w:right="339" w:bottom="0" w:gutter="0" w:footer="0" w:header="0"/>
        </w:sectPr>
      </w:pPr>
    </w:p>
    <w:bookmarkStart w:id="38" w:name="page39"/>
    <w:bookmarkEnd w:id="38"/>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our ability to integrate any products or services that we may acquire in the future into our product suite or migrate existing customers of any</w:t>
      </w:r>
    </w:p>
    <w:p>
      <w:pPr>
        <w:spacing w:after="0" w:line="34"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4"/>
          <w:szCs w:val="14"/>
          <w:color w:val="auto"/>
        </w:rPr>
        <w:t>companies that we may acquire in the future to our products and services;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effective tax rate, changes in tax rules, tax effects of infrequent or unusual transactions, and tax audit settlements;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income tax that we recognize resulting from stock-based compensation;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3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w:t>
      </w:r>
    </w:p>
    <w:p>
      <w:pPr>
        <w:sectPr>
          <w:pgSz w:w="11900" w:h="16838" w:orient="portrait"/>
          <w:cols w:equalWidth="0" w:num="1">
            <w:col w:w="11240"/>
          </w:cols>
          <w:pgMar w:left="320" w:top="125" w:right="339" w:bottom="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 Additionally, due to political uncertainty and military actions associated with Russia’s invasion of Ukraine, we and our service providers are vulnerable to heightened risks of cybersecurity incidents and security and privacy breaches from or affiliated with nation-state actors, including attacks that could materially disrupt our systems, operations and services.</w:t>
      </w:r>
    </w:p>
    <w:p>
      <w:pPr>
        <w:spacing w:after="0" w:line="18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including the ongoing military conflict between Russia and Ukraine, have and may continue to put pressure on global economic conditions and overall spending on IT security. Further, current or future governmental policies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ectPr>
          <w:pgSz w:w="11900" w:h="16838" w:orient="portrait"/>
          <w:cols w:equalWidth="0" w:num="1">
            <w:col w:w="11240"/>
          </w:cols>
          <w:pgMar w:left="320" w:top="125" w:right="339" w:bottom="0" w:gutter="0" w:footer="0" w:header="0"/>
        </w:sectPr>
      </w:pPr>
    </w:p>
    <w:bookmarkStart w:id="42" w:name="page43"/>
    <w:bookmarkEnd w:id="42"/>
    <w:p>
      <w:pPr>
        <w:jc w:val="both"/>
        <w:ind w:firstLine="324"/>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host substantially all of our solutions from third-party shared cloud platforms located in the United States, Canada, Switzerland, the Netherlands, United Arab Emirates, Australia, United Kingdom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7"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line="70"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compete with large and small public companies, such as Belden (Tripwire), Broadcom (Symantec Enterprise Security), CrowdStrike, Palo Alto Networks, Rapid7, Tenable Holdings, as well as privately held security providers including Axonius, Checkmarx, Flexera, Invicti, Ivanti, Tanium,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8"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200" w:lineRule="exact"/>
        <w:rPr>
          <w:sz w:val="20"/>
          <w:szCs w:val="20"/>
          <w:color w:val="auto"/>
        </w:rPr>
      </w:pP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w:t>
      </w:r>
    </w:p>
    <w:p>
      <w:pPr>
        <w:sectPr>
          <w:pgSz w:w="11900" w:h="16909" w:orient="portrait"/>
          <w:cols w:equalWidth="0" w:num="1">
            <w:col w:w="11240"/>
          </w:cols>
          <w:pgMar w:left="320" w:top="125" w:right="339" w:bottom="0" w:gutter="0" w:footer="0" w:header="0"/>
        </w:sectPr>
      </w:pPr>
    </w:p>
    <w:bookmarkStart w:id="44" w:name="page45"/>
    <w:bookmarkEnd w:id="44"/>
    <w:p>
      <w:pPr>
        <w:spacing w:after="0" w:line="277" w:lineRule="auto"/>
        <w:rPr>
          <w:sz w:val="20"/>
          <w:szCs w:val="20"/>
          <w:color w:val="auto"/>
        </w:rPr>
      </w:pPr>
      <w:r>
        <w:rPr>
          <w:rFonts w:ascii="Arial" w:cs="Arial" w:eastAsia="Arial" w:hAnsi="Arial"/>
          <w:sz w:val="18"/>
          <w:szCs w:val="18"/>
          <w:color w:val="auto"/>
        </w:rPr>
        <w:t>compliance as less critical to their businesses, and our customers may be less willing to purchase our solutions. In any of these cases, our revenues and operating results could be harmed.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success significantly depends upon establishing and maintaining relationships with a variety of channel partners and we anticipate that we will continue to depend on these partners in order to grow our business. For the three months ended March 31, 2022, we derived approximately 41%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3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ectPr>
          <w:pgSz w:w="11900" w:h="16838" w:orient="portrait"/>
          <w:cols w:equalWidth="0" w:num="1">
            <w:col w:w="11240"/>
          </w:cols>
          <w:pgMar w:left="320" w:top="125" w:right="339" w:bottom="0" w:gutter="0" w:footer="0" w:header="0"/>
        </w:sectPr>
      </w:pPr>
    </w:p>
    <w:bookmarkStart w:id="46" w:name="page47"/>
    <w:bookmarkEnd w:id="46"/>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as of March 31, 2022, approximately 76% of our employees were located outside of the United States, with 67%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reporting currency is the U.S. dollar and we generate a majority of our revenues in U.S. dollars. However, for the three months ended March 31, 2022, we incurred approximately 28% of our expenses in foreign currencies, primarily Euros, British Pounds, and Indian Rupee, principally with respect to salaries and related personnel expenses associated with our European and Indian operations. Additionally, for the three months ended March 31, 2022, approximately 24%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3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significant growth over the last several years. Our revenues grew from $321.6 million in 2019 to $411.2 million in 2021, and our headcount increased from 1,194 employees at the beginning of 2019 to 1,876 employees as of March 31, 2022.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For example, our former chief executive officer resigned for health reasons in March 2021, and our current chief executive officer was appointed to the role in April 2021.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ectPr>
          <w:pgSz w:w="11900" w:h="16838" w:orient="portrait"/>
          <w:cols w:equalWidth="0" w:num="1">
            <w:col w:w="11240"/>
          </w:cols>
          <w:pgMar w:left="320" w:top="125" w:right="339" w:bottom="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remain competitive, we have in the past and may in the future seek to acquire additional businesses, products, services or technologies. For example, we acquired certain intellectual property of Spell Security on July 24, 2020, and certain intellectual property of TotalCloud on August 19, 2021.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 w:right="280"/>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left="40" w:firstLine="324"/>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Delays or interruptions in the manufacturing and delivery of our physical scanner appliances by our sole source manufacturer may harm our business.</w:t>
      </w:r>
    </w:p>
    <w:p>
      <w:pPr>
        <w:spacing w:after="0" w:line="260" w:lineRule="exact"/>
        <w:rPr>
          <w:sz w:val="20"/>
          <w:szCs w:val="20"/>
          <w:color w:val="auto"/>
        </w:rPr>
      </w:pPr>
    </w:p>
    <w:p>
      <w:pPr>
        <w:jc w:val="both"/>
        <w:ind w:left="40" w:firstLine="324"/>
        <w:spacing w:after="0" w:line="275" w:lineRule="auto"/>
        <w:rPr>
          <w:sz w:val="20"/>
          <w:szCs w:val="20"/>
          <w:color w:val="auto"/>
        </w:rPr>
      </w:pPr>
      <w:r>
        <w:rPr>
          <w:rFonts w:ascii="Arial" w:cs="Arial" w:eastAsia="Arial" w:hAnsi="Arial"/>
          <w:sz w:val="17"/>
          <w:szCs w:val="17"/>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6" w:lineRule="exact"/>
        <w:rPr>
          <w:sz w:val="20"/>
          <w:szCs w:val="20"/>
          <w:color w:val="auto"/>
        </w:rPr>
      </w:pPr>
    </w:p>
    <w:p>
      <w:pPr>
        <w:jc w:val="both"/>
        <w:ind w:left="40" w:firstLine="324"/>
        <w:spacing w:after="0" w:line="257" w:lineRule="auto"/>
        <w:rPr>
          <w:sz w:val="20"/>
          <w:szCs w:val="20"/>
          <w:color w:val="auto"/>
        </w:rPr>
      </w:pPr>
      <w:r>
        <w:rPr>
          <w:rFonts w:ascii="Arial" w:cs="Arial" w:eastAsia="Arial" w:hAnsi="Arial"/>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left="40" w:firstLine="324"/>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left="40" w:firstLine="324"/>
        <w:spacing w:after="0" w:line="293"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4"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left="40" w:firstLine="324"/>
        <w:spacing w:after="0" w:line="288" w:lineRule="auto"/>
        <w:rPr>
          <w:sz w:val="20"/>
          <w:szCs w:val="20"/>
          <w:color w:val="auto"/>
        </w:rPr>
      </w:pPr>
      <w:r>
        <w:rPr>
          <w:rFonts w:ascii="Arial" w:cs="Arial" w:eastAsia="Arial" w:hAnsi="Arial"/>
          <w:sz w:val="16"/>
          <w:szCs w:val="16"/>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operations in Russia and Belarus have been and may continue to be negatively affected by Russia</w:t>
      </w:r>
      <w:r>
        <w:rPr>
          <w:rFonts w:ascii="Arial" w:cs="Arial" w:eastAsia="Arial" w:hAnsi="Arial"/>
          <w:sz w:val="18"/>
          <w:szCs w:val="18"/>
          <w:color w:val="auto"/>
        </w:rPr>
        <w:t>’</w:t>
      </w:r>
      <w:r>
        <w:rPr>
          <w:rFonts w:ascii="Arial" w:cs="Arial" w:eastAsia="Arial" w:hAnsi="Arial"/>
          <w:sz w:val="18"/>
          <w:szCs w:val="18"/>
          <w:b w:val="1"/>
          <w:bCs w:val="1"/>
          <w:i w:val="1"/>
          <w:iCs w:val="1"/>
          <w:color w:val="auto"/>
        </w:rPr>
        <w:t>s invasion of Ukraine and related sanctions imposed in response.</w:t>
      </w:r>
    </w:p>
    <w:p>
      <w:pPr>
        <w:spacing w:after="0" w:line="170" w:lineRule="exact"/>
        <w:rPr>
          <w:sz w:val="20"/>
          <w:szCs w:val="20"/>
          <w:color w:val="auto"/>
        </w:rPr>
      </w:pPr>
    </w:p>
    <w:p>
      <w:pPr>
        <w:ind w:left="40" w:firstLine="324"/>
        <w:spacing w:after="0" w:line="253" w:lineRule="auto"/>
        <w:rPr>
          <w:sz w:val="20"/>
          <w:szCs w:val="20"/>
          <w:color w:val="auto"/>
        </w:rPr>
      </w:pPr>
      <w:r>
        <w:rPr>
          <w:rFonts w:ascii="Arial" w:cs="Arial" w:eastAsia="Arial" w:hAnsi="Arial"/>
          <w:sz w:val="18"/>
          <w:szCs w:val="18"/>
          <w:color w:val="auto"/>
        </w:rPr>
        <w:t>As a result of Russia's invasion of Ukraine in February 2022, we have suspended services to all customers in Russia and Belarus, effective March 2022, and we have made other adjustments to our operations in the region in light of U.S. and international sanctions. These sanctions continue in place and changes to them or additional measures implemented by the U.S. government or other applicable authorities could further affect our sales and operations in the region. Revenue from our operations in Russia and Belarus was not material during the three months ended March 31, 2022 and during the twelve months ended December 31, 2021.</w:t>
      </w:r>
    </w:p>
    <w:p>
      <w:pPr>
        <w:sectPr>
          <w:pgSz w:w="11900" w:h="16838" w:orient="portrait"/>
          <w:cols w:equalWidth="0" w:num="1">
            <w:col w:w="11280"/>
          </w:cols>
          <w:pgMar w:left="280" w:top="125" w:right="339" w:bottom="1440" w:gutter="0" w:footer="0" w:header="0"/>
        </w:sectPr>
      </w:pP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1"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Certain aspects of the CCPA and its interpretation remain uncertain and are likely to remain uncertain for an extended period. Additionally, a new privacy law, the California Privacy Rights Act (“CPRA”), was approved by voters in the November 3, 2020 election. The CPRA modifies the CCPA significantly, creating obligations relating to consumer data beginning on January 1, 2022, with implementing regulations expected on or before July 1, 2022, and enforcement beginning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9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make use of certain standard contractual clauses (the “SCCs”) approved by the European Commission, with regard to certain transfers of personal data from the European Economic Area (“EEA”) to the U.S. Both the EU-U.S. Privacy Shield Framework and SCCs have been subject to legal challenge. We continue to analyze the July 2020 “Schrems II” decision by the Court of Justice of the European Union (“CJEU”) and its impact on our data transfer mechanisms as well as subsequent guidance from data privacy regulators and new SCCs published by the European Commission in June 2021,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pacing w:after="0" w:line="3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w:t>
      </w:r>
    </w:p>
    <w:p>
      <w:pPr>
        <w:sectPr>
          <w:pgSz w:w="11900" w:h="16838" w:orient="portrait"/>
          <w:cols w:equalWidth="0" w:num="1">
            <w:col w:w="11240"/>
          </w:cols>
          <w:pgMar w:left="320" w:top="125" w:right="339" w:bottom="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7"/>
          <w:szCs w:val="17"/>
          <w:color w:val="auto"/>
        </w:rPr>
        <w:t>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adverse outcome of a dispute may require us to:</w:t>
      </w:r>
    </w:p>
    <w:p>
      <w:pPr>
        <w:spacing w:after="0" w:line="23" w:lineRule="exact"/>
        <w:rPr>
          <w:sz w:val="20"/>
          <w:szCs w:val="20"/>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ectPr>
          <w:pgSz w:w="11900" w:h="16838" w:orient="portrait"/>
          <w:cols w:equalWidth="0" w:num="1">
            <w:col w:w="11240"/>
          </w:cols>
          <w:pgMar w:left="320" w:top="125" w:right="339" w:bottom="159" w:gutter="0" w:footer="0" w:header="0"/>
        </w:sectPr>
      </w:pPr>
    </w:p>
    <w:bookmarkStart w:id="53" w:name="page54"/>
    <w:bookmarkEnd w:id="53"/>
    <w:p>
      <w:pPr>
        <w:jc w:val="both"/>
        <w:ind w:firstLine="324"/>
        <w:spacing w:after="0" w:line="286" w:lineRule="auto"/>
        <w:rPr>
          <w:sz w:val="20"/>
          <w:szCs w:val="20"/>
          <w:color w:val="auto"/>
        </w:rPr>
      </w:pPr>
      <w:r>
        <w:rPr>
          <w:rFonts w:ascii="Arial" w:cs="Arial" w:eastAsia="Arial" w:hAnsi="Arial"/>
          <w:sz w:val="17"/>
          <w:szCs w:val="17"/>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and excess tax benefits arising from stock-based compensation, other tax benefits and credits, and the valuation of deferred tax assets and liabilities. Increases in our effective tax rate could harm our operating results.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jc w:val="both"/>
        <w:ind w:right="20" w:firstLine="324"/>
        <w:spacing w:after="0" w:line="258"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 w:lineRule="exact"/>
        <w:rPr>
          <w:sz w:val="20"/>
          <w:szCs w:val="20"/>
          <w:color w:val="auto"/>
        </w:rPr>
      </w:pPr>
    </w:p>
    <w:p>
      <w:pPr>
        <w:ind w:left="460" w:hanging="223"/>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20" w:lineRule="exact"/>
        <w:rPr>
          <w:rFonts w:ascii="Arial" w:cs="Arial" w:eastAsia="Arial" w:hAnsi="Arial"/>
          <w:sz w:val="17"/>
          <w:szCs w:val="17"/>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ectPr>
          <w:pgSz w:w="11900" w:h="16838" w:orient="portrait"/>
          <w:cols w:equalWidth="0" w:num="1">
            <w:col w:w="11240"/>
          </w:cols>
          <w:pgMar w:left="320" w:top="125" w:right="339" w:bottom="0" w:gutter="0" w:footer="0" w:header="0"/>
        </w:sectPr>
      </w:pPr>
    </w:p>
    <w:bookmarkStart w:id="55" w:name="page56"/>
    <w:bookmarkEnd w:id="55"/>
    <w:p>
      <w:pPr>
        <w:jc w:val="both"/>
        <w:ind w:firstLine="324"/>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March 31, 2022, we had approximately 38.9 million shares of our common stock outstanding.</w:t>
      </w:r>
    </w:p>
    <w:p>
      <w:pPr>
        <w:spacing w:after="0" w:line="1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as of March 31, 2022, there were approximately 0.9 million restricted stock units and options to purchase approximately 1.9 million shares of our common stock outstanding. If such options are exercised and restricted stock units are released, these additional shares will become available for sale. As of March 31, 2022, we had an aggregate of 10.0 million shares of our common stock reserved for future issuance under our 2012 Equity Incentive Plan and 0.6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stock repurchase program will be fully consummated or that it will enhance stockholder value, and any stock repurchases we make could affect the price of our common stock.</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12, 2018, we announced a $100.0 million stock repurchase program. On each of October 30, 2018, October 30, 2019, May 7, 2020, February 10, 2021,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$900.0 million to date.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During the three months ended March 31, 2022, we repurchased 0.4 million shares of our common stock for approximately $46.6 million. As of March 31, 2022, approximately $225.2 million remained available for share repurchases pursuant to our share repurchase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 w:lineRule="exact"/>
        <w:rPr>
          <w:sz w:val="20"/>
          <w:szCs w:val="20"/>
          <w:color w:val="auto"/>
        </w:rPr>
      </w:pPr>
    </w:p>
    <w:p>
      <w:pPr>
        <w:jc w:val="both"/>
        <w:ind w:left="460" w:hanging="223"/>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11"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and stock-based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2021,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5" w:right="339" w:bottom="844"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repurchases of common stock during the three months ended March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Dollar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 of 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that</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Average Price Paid</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Plan or Program</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 or</w:t>
            </w: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Program (2)</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January 1 - January 31, 2022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118,000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126.31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256,919,903</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February 1 - February 28, 2022</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118,500</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122.92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118,500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242,354,471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2022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131,094</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130.52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225,243,808</w:t>
            </w: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367,594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32"/>
        <w:spacing w:after="0" w:line="272" w:lineRule="auto"/>
        <w:tabs>
          <w:tab w:leader="none" w:pos="57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February 5, 2018, our board of directors authorized a $100.0 million two-year share repurchase program, which was announced on February 12, 2018. On each of October 30, 2018, October 30, 2019, May 7, 2020 and February 10, 2021, we announced that our board of directors had authorized an increase of $100.0 million, and on November 3, 2021, we announced that our board of directors had authorized an increase of $200.0 million to the share repurchase program, resulting in an aggregate authorization of $700.0 million as of March 31, 2022.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pacing w:after="0" w:line="177" w:lineRule="exact"/>
        <w:rPr>
          <w:rFonts w:ascii="Arial" w:cs="Arial" w:eastAsia="Arial" w:hAnsi="Arial"/>
          <w:sz w:val="17"/>
          <w:szCs w:val="17"/>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Does not reflect the $200 million increase to our share repurchase program announced on May 4, 2022.</w:t>
      </w:r>
    </w:p>
    <w:p>
      <w:pPr>
        <w:sectPr>
          <w:pgSz w:w="11900" w:h="16838" w:orient="portrait"/>
          <w:cols w:equalWidth="0" w:num="1">
            <w:col w:w="11240"/>
          </w:cols>
          <w:pgMar w:left="320" w:top="125" w:right="339" w:bottom="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222"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25" w:right="33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222"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25" w:right="33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211"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Exhibit</w:t>
      </w:r>
    </w:p>
    <w:p>
      <w:pPr>
        <w:sectPr>
          <w:pgSz w:w="11900" w:h="16838" w:orient="portrait"/>
          <w:cols w:equalWidth="0" w:num="1">
            <w:col w:w="11240"/>
          </w:cols>
          <w:pgMar w:left="320" w:top="125" w:right="33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01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9"/>
              </w:rPr>
            </w:pPr>
            <w:hyperlink w:anchor="page62">
              <w:r>
                <w:rPr>
                  <w:rFonts w:ascii="Arial" w:cs="Arial" w:eastAsia="Arial" w:hAnsi="Arial"/>
                  <w:sz w:val="18"/>
                  <w:szCs w:val="18"/>
                  <w:color w:val="0000EE"/>
                  <w:w w:val="99"/>
                </w:rPr>
                <w:t>Certification of Chief Executive Officer pursuant to Rule 13a-14(a) or Rule 15d-14(a) of the Securities Exchange Act of 1934, as</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adopted pursuant to Section 302 of The Sarbanes-Oxley Act of 2002.</w:t>
              </w:r>
            </w:hyperlink>
          </w:p>
        </w:tc>
        <w:tc>
          <w:tcPr>
            <w:tcW w:w="800" w:type="dxa"/>
            <w:vAlign w:val="bottom"/>
            <w:gridSpan w:val="3"/>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Chief Financial Officer pursuant to Rule 13a-14(a) or Rule 15d-14(a) of the Securities Exchange Act of 1934, as</w:t>
              </w:r>
            </w:hyperlink>
          </w:p>
        </w:tc>
        <w:tc>
          <w:tcPr>
            <w:tcW w:w="840" w:type="dxa"/>
            <w:vAlign w:val="bottom"/>
            <w:gridSpan w:val="4"/>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adopted pursuant to Section 302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rFonts w:ascii="Arial" w:cs="Arial" w:eastAsia="Arial" w:hAnsi="Arial"/>
                <w:sz w:val="18"/>
                <w:szCs w:val="18"/>
                <w:color w:val="0000EE"/>
                <w:w w:val="98"/>
              </w:rPr>
            </w:pPr>
            <w:hyperlink w:anchor="page64">
              <w:r>
                <w:rPr>
                  <w:rFonts w:ascii="Arial" w:cs="Arial" w:eastAsia="Arial" w:hAnsi="Arial"/>
                  <w:sz w:val="18"/>
                  <w:szCs w:val="18"/>
                  <w:color w:val="0000EE"/>
                  <w:w w:val="98"/>
                </w:rPr>
                <w:t>Certification of Chief Executive Officer pursuant to Rule 13a-14(b) or Rule 15d-14(b) of the Securities Exchange Act of 1934 and</w:t>
              </w:r>
            </w:hyperlink>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18 U.S.C. Section 1350 as adopted pursuant to Section 906 of The Sarbanes-Oxley Act of 2002.</w:t>
              </w:r>
            </w:hyperlink>
          </w:p>
        </w:tc>
        <w:tc>
          <w:tcPr>
            <w:tcW w:w="2440" w:type="dxa"/>
            <w:vAlign w:val="bottom"/>
            <w:tcBorders>
              <w:top w:val="single" w:sz="8" w:color="0000EE"/>
            </w:tcBorders>
            <w:gridSpan w:val="4"/>
          </w:tcPr>
          <w:p>
            <w:pPr>
              <w:spacing w:after="0"/>
              <w:rPr>
                <w:sz w:val="17"/>
                <w:szCs w:val="17"/>
                <w:color w:val="auto"/>
              </w:rPr>
            </w:pPr>
          </w:p>
        </w:tc>
        <w:tc>
          <w:tcPr>
            <w:tcW w:w="720" w:type="dxa"/>
            <w:vAlign w:val="bottom"/>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Certification of Chief Financial Officer pursuant to Rule 13a-14(b) or Rule 15d-14(b) of the Securities Exchange Act of 1934 and</w:t>
              </w:r>
            </w:hyperlink>
          </w:p>
        </w:tc>
        <w:tc>
          <w:tcPr>
            <w:tcW w:w="760" w:type="dxa"/>
            <w:vAlign w:val="bottom"/>
            <w:gridSpan w:val="2"/>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18 U.S.C. Section 1350 as adopted pursuant to Section 906 of The Sarbanes-Oxley Act of 2002.</w:t>
              </w:r>
            </w:hyperlink>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20" w:type="dxa"/>
            <w:vAlign w:val="bottom"/>
            <w:gridSpan w:val="2"/>
            <w:shd w:val="clear" w:color="auto" w:fill="0000EE"/>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INS</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 are</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8"/>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CAL</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DEF</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LAB</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PRE</w:t>
            </w: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8"/>
          </w:tcPr>
          <w:p>
            <w:pPr>
              <w:spacing w:after="0"/>
              <w:rPr>
                <w:sz w:val="20"/>
                <w:szCs w:val="20"/>
                <w:color w:val="auto"/>
              </w:rPr>
            </w:pPr>
            <w:r>
              <w:rPr>
                <w:rFonts w:ascii="Arial" w:cs="Arial" w:eastAsia="Arial" w:hAnsi="Arial"/>
                <w:sz w:val="18"/>
                <w:szCs w:val="18"/>
                <w:color w:val="auto"/>
              </w:rPr>
              <w:t>Cover Page Interactive Data File - formatted in Inline XBRL and included as Exhibit 101</w:t>
            </w:r>
          </w:p>
        </w:tc>
      </w:tr>
    </w:tbl>
    <w:p>
      <w:pPr>
        <w:sectPr>
          <w:pgSz w:w="11900" w:h="16838" w:orient="portrait"/>
          <w:cols w:equalWidth="0" w:num="1">
            <w:col w:w="11240"/>
          </w:cols>
          <w:pgMar w:left="320" w:top="125" w:right="339" w:bottom="0" w:gutter="0" w:footer="0" w:header="0"/>
          <w:type w:val="continuous"/>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820" w:top="125" w:right="5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May 4, 2022.</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Joo Mi Kim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ARJET SKENDULI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Arjet Skenduli</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Accounting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60"/>
          </w:cols>
          <w:pgMar w:left="320" w:top="125" w:right="4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4,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4,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Qualys, Inc. (the “Company”) on Form 10-Q for the quarter ended March 31, 2022,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spacing w:after="0" w:line="143"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4,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4" w:name="page65"/>
    <w:bookmarkEnd w:id="64"/>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March 31, 2022,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61"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May 4,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2022-05-04T15:47:55Z</dcterms:created>
  <dcterms:modified xsi:type="dcterms:W3CDTF">2022-05-04T15:47:55Z</dcterms:modified>
</cp:coreProperties>
</file>