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As filed with the Securities and Exchange Commission on August 4, 2026</w: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Registration No. 333- </w:t>
      </w:r>
    </w:p>
    <w:p>
      <w:pPr>
        <w:pStyle w:val="TextBody"/>
        <w:bidi w:val="0"/>
        <w:spacing w:lineRule="auto" w:line="288" w:before="0" w:after="0"/>
        <w:jc w:val="left"/>
        <w:rPr>
          <w:color w:val="000000"/>
          <w:shd w:fill="FFFFFF" w:val="clear"/>
        </w:rPr>
      </w:pPr>
      <w:r>
        <w:rPr>
          <w:color w:val="000000"/>
          <w:shd w:fill="FFFFFF" w:val="clear"/>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S-8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REGISTRATION STATEMENT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Under </w:t>
      </w:r>
    </w:p>
    <w:p>
      <w:pPr>
        <w:pStyle w:val="TextBody"/>
        <w:bidi w:val="0"/>
        <w:spacing w:lineRule="auto" w:line="288" w:before="0" w:after="0"/>
        <w:jc w:val="center"/>
        <w:rPr>
          <w:rFonts w:ascii="Times New Roman;serif" w:hAnsi="Times New Roman;serif"/>
          <w:b/>
          <w:i/>
          <w:color w:val="000000"/>
          <w:sz w:val="24"/>
          <w:shd w:fill="FFFFFF" w:val="clear"/>
        </w:rPr>
      </w:pPr>
      <w:r>
        <w:rPr>
          <w:rFonts w:ascii="Times New Roman;serif" w:hAnsi="Times New Roman;serif"/>
          <w:b/>
          <w:i/>
          <w:color w:val="000000"/>
          <w:sz w:val="24"/>
          <w:shd w:fill="FFFFFF" w:val="clear"/>
        </w:rPr>
        <w:t xml:space="preserve">The Securities Act of 1933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QUALYS, INC.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4512"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530"/>
        <w:gridCol w:w="530"/>
        <w:gridCol w:w="755"/>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77-0534145</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shd w:fill="FFFFFF" w:val="clear"/>
        </w:rPr>
      </w:pPr>
      <w:r>
        <w:rPr>
          <w:rFonts w:ascii="Times New Roman;serif" w:hAnsi="Times New Roman;serif"/>
          <w:b/>
          <w:color w:val="000000"/>
          <w:sz w:val="20"/>
          <w:shd w:fill="FFFFFF" w:val="clear"/>
        </w:rPr>
        <w:t>919 East Hillsdale Boulevard, 4</w:t>
      </w:r>
      <w:r>
        <w:rPr>
          <w:rFonts w:ascii="Times New Roman;serif" w:hAnsi="Times New Roman;serif"/>
          <w:b/>
          <w:color w:val="000000"/>
          <w:sz w:val="17"/>
          <w:shd w:fill="FFFFFF" w:val="clear"/>
        </w:rPr>
        <w:t>th</w:t>
      </w:r>
      <w:r>
        <w:rPr>
          <w:color w:val="000000"/>
          <w:shd w:fill="FFFFFF" w:val="clear"/>
        </w:rPr>
        <w:t xml:space="preserve"> </w:t>
      </w:r>
      <w:r>
        <w:rPr>
          <w:rFonts w:ascii="Times New Roman;serif" w:hAnsi="Times New Roman;serif"/>
          <w:b/>
          <w:color w:val="000000"/>
          <w:sz w:val="20"/>
          <w:shd w:fill="FFFFFF" w:val="clear"/>
        </w:rPr>
        <w:t xml:space="preserve">Floor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Foster City, California 94404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(Address of principal executive offices, including zip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2012 Equity Incentive Plan, as amended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(Full title of the plan)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Joo Mi Kim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Chief Financial Officer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Qualys, Inc. </w:t>
      </w:r>
    </w:p>
    <w:p>
      <w:pPr>
        <w:pStyle w:val="TextBody"/>
        <w:bidi w:val="0"/>
        <w:spacing w:lineRule="auto" w:line="288" w:before="0" w:after="0"/>
        <w:jc w:val="center"/>
        <w:rPr>
          <w:shd w:fill="FFFFFF" w:val="clear"/>
        </w:rPr>
      </w:pPr>
      <w:r>
        <w:rPr>
          <w:rFonts w:ascii="Times New Roman;serif" w:hAnsi="Times New Roman;serif"/>
          <w:b/>
          <w:color w:val="000000"/>
          <w:sz w:val="20"/>
          <w:shd w:fill="FFFFFF" w:val="clear"/>
        </w:rPr>
        <w:t>919 East Hillsdale Boulevard, 4</w:t>
      </w:r>
      <w:r>
        <w:rPr>
          <w:rFonts w:ascii="Times New Roman;serif" w:hAnsi="Times New Roman;serif"/>
          <w:b/>
          <w:color w:val="000000"/>
          <w:sz w:val="17"/>
          <w:shd w:fill="FFFFFF" w:val="clear"/>
        </w:rPr>
        <w:t>th</w:t>
      </w:r>
      <w:r>
        <w:rPr>
          <w:color w:val="000000"/>
          <w:shd w:fill="FFFFFF" w:val="clear"/>
        </w:rPr>
        <w:t xml:space="preserve"> </w:t>
      </w:r>
      <w:r>
        <w:rPr>
          <w:rFonts w:ascii="Times New Roman;serif" w:hAnsi="Times New Roman;serif"/>
          <w:b/>
          <w:color w:val="000000"/>
          <w:sz w:val="20"/>
          <w:shd w:fill="FFFFFF" w:val="clear"/>
        </w:rPr>
        <w:t xml:space="preserve">Floor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Foster City, California 94404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(650) 801-6100 </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(Name, address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Copies to: </w:t>
      </w:r>
    </w:p>
    <w:p>
      <w:pPr>
        <w:pStyle w:val="TextBody"/>
        <w:bidi w:val="0"/>
        <w:spacing w:lineRule="auto" w:line="288" w:before="0" w:after="0"/>
        <w:jc w:val="left"/>
        <w:rPr>
          <w:color w:val="000000"/>
          <w:shd w:fill="FFFFFF" w:val="clear"/>
        </w:rPr>
      </w:pPr>
      <w:r>
        <w:rPr>
          <w:color w:val="000000"/>
          <w:shd w:fill="FFFFFF" w:val="clear"/>
        </w:rPr>
        <w:t> </w:t>
      </w:r>
    </w:p>
    <w:tbl>
      <w:tblPr>
        <w:tblW w:w="7315" w:type="dxa"/>
        <w:jc w:val="center"/>
        <w:tblInd w:w="0" w:type="dxa"/>
        <w:tblLayout w:type="fixed"/>
        <w:tblCellMar>
          <w:top w:w="28" w:type="dxa"/>
          <w:left w:w="28" w:type="dxa"/>
          <w:bottom w:w="28" w:type="dxa"/>
          <w:right w:w="28" w:type="dxa"/>
        </w:tblCellMar>
      </w:tblPr>
      <w:tblGrid>
        <w:gridCol w:w="1254"/>
        <w:gridCol w:w="1101"/>
        <w:gridCol w:w="1109"/>
        <w:gridCol w:w="109"/>
        <w:gridCol w:w="109"/>
        <w:gridCol w:w="109"/>
        <w:gridCol w:w="1032"/>
        <w:gridCol w:w="1032"/>
        <w:gridCol w:w="1460"/>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Rezwan D. Pavri</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Richard C. Blake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Wilson Sonsini Goodrich &amp; Rosati, P.C.</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650 Page Mill Road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Palo Alto, CA 94304</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(650) 493-9300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Bruce K. Posey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Legal Officer and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Corporate Secretary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Qualys, Inc.</w:t>
            </w:r>
          </w:p>
          <w:p>
            <w:pPr>
              <w:pStyle w:val="TableContents"/>
              <w:bidi w:val="0"/>
              <w:spacing w:lineRule="auto" w:line="288" w:before="0" w:after="0"/>
              <w:jc w:val="center"/>
              <w:rPr/>
            </w:pPr>
            <w:r>
              <w:rPr>
                <w:rFonts w:ascii="Times New Roman;serif" w:hAnsi="Times New Roman;serif"/>
                <w:b/>
                <w:color w:val="000000"/>
                <w:sz w:val="20"/>
              </w:rPr>
              <w:t>919 East Hillsdale Boulevard, 4</w:t>
            </w:r>
            <w:r>
              <w:rPr>
                <w:rFonts w:ascii="Times New Roman;serif" w:hAnsi="Times New Roman;serif"/>
                <w:b/>
                <w:color w:val="000000"/>
                <w:sz w:val="17"/>
              </w:rPr>
              <w:t>th</w:t>
            </w:r>
            <w:r>
              <w:rPr>
                <w:color w:val="000000"/>
              </w:rPr>
              <w:t xml:space="preserve"> </w:t>
            </w:r>
            <w:r>
              <w:rPr>
                <w:rFonts w:ascii="Times New Roman;serif" w:hAnsi="Times New Roman;serif"/>
                <w:b/>
                <w:color w:val="000000"/>
                <w:sz w:val="20"/>
              </w:rPr>
              <w:t>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Foster City, California 94404</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(650) 801-6100</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909"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left"/>
        <w:rPr>
          <w:shd w:fill="FFFFFF" w:val="clear"/>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shd w:fill="FFFFFF" w:val="clear"/>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EXPLANATORY NOTE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Registration Statement on Form S-8 registers 1,089,000 additional shares of common stock of Qualys, Inc. (the “Registrant” or the “Company”) under the Registrant’s 2012 Equity Incentive Plan, as amended and restated (the “2012 Plan”) as approved by the Company’s stockholders at its 2026 annual meeting of stockholders held on June 10, 2026.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THE SECTION 10(a) PROSPECTUS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documents containing the information specified by Part I, Items 1 and 2, of Form S-8 have been or will be delivered to participants in the plans covered by this Registration Statement, as specified in Rule 428(b)(1) promulgated by the Securities and Exchange Commission (the “Commission”) under the Securities Act of 1933, as amended (the “Securities Act”) and the instructions to Form S-8. In accordance with the rules and regulations of the Commission and the instructions to Form S-8, such documents are not being filed with the Commission either as part of the Registration Statement or as prospectuses or prospectus supplements pursuant to Rule 424 under the Securities Act. </w:t>
      </w:r>
    </w:p>
    <w:p>
      <w:pPr>
        <w:pStyle w:val="TextBody"/>
        <w:bidi w:val="0"/>
        <w:spacing w:lineRule="auto" w:line="288" w:before="48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INFORMATION REQUIRED IN REGISTRATION STATEMENT </w:t>
      </w:r>
    </w:p>
    <w:p>
      <w:pPr>
        <w:pStyle w:val="TextBody"/>
        <w:bidi w:val="0"/>
        <w:spacing w:lineRule="auto" w:line="288" w:before="0" w:after="0"/>
        <w:jc w:val="left"/>
        <w:rPr>
          <w:color w:val="000000"/>
          <w:shd w:fill="FFFFFF" w:val="clear"/>
        </w:rPr>
      </w:pPr>
      <w:r>
        <w:rPr>
          <w:color w:val="000000"/>
          <w:shd w:fill="FFFFFF" w:val="clear"/>
        </w:rPr>
        <w:t> </w:t>
      </w:r>
    </w:p>
    <w:tbl>
      <w:tblPr>
        <w:tblW w:w="4469" w:type="dxa"/>
        <w:jc w:val="left"/>
        <w:tblInd w:w="0" w:type="dxa"/>
        <w:tblLayout w:type="fixed"/>
        <w:tblCellMar>
          <w:top w:w="28" w:type="dxa"/>
          <w:left w:w="28" w:type="dxa"/>
          <w:bottom w:w="28" w:type="dxa"/>
          <w:right w:w="28" w:type="dxa"/>
        </w:tblCellMar>
      </w:tblPr>
      <w:tblGrid>
        <w:gridCol w:w="255"/>
        <w:gridCol w:w="223"/>
        <w:gridCol w:w="226"/>
        <w:gridCol w:w="1101"/>
        <w:gridCol w:w="1101"/>
        <w:gridCol w:w="1563"/>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Incorporation of Documents by Reference. </w:t>
            </w:r>
          </w:p>
        </w:tc>
      </w:tr>
    </w:tbl>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Registrant hereby incorporates by reference into this Registration Statement the following documents previously filed with the Commission: </w:t>
      </w:r>
    </w:p>
    <w:p>
      <w:pPr>
        <w:pStyle w:val="TextBody"/>
        <w:bidi w:val="0"/>
        <w:spacing w:lineRule="auto" w:line="288" w:before="120" w:after="283"/>
        <w:ind w:left="0" w:right="0" w:firstLine="490"/>
        <w:jc w:val="both"/>
        <w:rPr/>
      </w:pPr>
      <w:r>
        <w:rPr>
          <w:rFonts w:ascii="Times New Roman;serif" w:hAnsi="Times New Roman;serif"/>
          <w:b w:val="false"/>
          <w:color w:val="000000"/>
          <w:sz w:val="20"/>
          <w:shd w:fill="FFFFFF" w:val="clear"/>
        </w:rPr>
        <w:t xml:space="preserve">(1) The Registrant’s Annual Report on </w:t>
      </w:r>
      <w:hyperlink r:id="rId2">
        <w:r>
          <w:rPr>
            <w:rStyle w:val="InternetLink"/>
            <w:rFonts w:ascii="Times New Roman;serif" w:hAnsi="Times New Roman;serif"/>
            <w:b w:val="false"/>
            <w:color w:val="0000FF"/>
            <w:sz w:val="20"/>
            <w:u w:val="single"/>
            <w:shd w:fill="FFFFFF" w:val="clear"/>
          </w:rPr>
          <w:t>Form 10-K</w:t>
        </w:r>
      </w:hyperlink>
      <w:r>
        <w:rPr>
          <w:color w:val="000000"/>
          <w:shd w:fill="FFFFFF" w:val="clear"/>
        </w:rPr>
        <w:t xml:space="preserve"> </w:t>
      </w:r>
      <w:r>
        <w:rPr>
          <w:rFonts w:ascii="Times New Roman;serif" w:hAnsi="Times New Roman;serif"/>
          <w:b w:val="false"/>
          <w:color w:val="000000"/>
          <w:sz w:val="20"/>
          <w:shd w:fill="FFFFFF" w:val="clear"/>
        </w:rPr>
        <w:t xml:space="preserve">for the fiscal year ended December 31, 2025 (the “Annual Report”), filed with the Commission on February 20, 2026, pursuant to Section 13(a) of the Securities Exchange Act of 1934, as amended (the “Exchange Act”);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 All other reports filed pursuant to Section 13(a) or 15(d) of the Exchange Act since the end of the fiscal year covered by the Annual Report; and</w:t>
      </w:r>
    </w:p>
    <w:p>
      <w:pPr>
        <w:pStyle w:val="TextBody"/>
        <w:bidi w:val="0"/>
        <w:spacing w:lineRule="auto" w:line="288" w:before="120" w:after="283"/>
        <w:ind w:left="0" w:right="0" w:firstLine="490"/>
        <w:jc w:val="both"/>
        <w:rPr/>
      </w:pPr>
      <w:r>
        <w:rPr>
          <w:rFonts w:ascii="Times New Roman;serif" w:hAnsi="Times New Roman;serif"/>
          <w:b w:val="false"/>
          <w:color w:val="000000"/>
          <w:sz w:val="20"/>
          <w:shd w:fill="FFFFFF" w:val="clear"/>
        </w:rPr>
        <w:t xml:space="preserve">(3) The description of the Registrant’s common stock contained in the Company’s Registration Statement on </w:t>
      </w:r>
      <w:hyperlink r:id="rId3">
        <w:r>
          <w:rPr>
            <w:rStyle w:val="InternetLink"/>
            <w:rFonts w:ascii="Times New Roman;serif" w:hAnsi="Times New Roman;serif"/>
            <w:b w:val="false"/>
            <w:color w:val="0000EE"/>
            <w:sz w:val="20"/>
            <w:u w:val="single"/>
            <w:shd w:fill="FFFFFF" w:val="clear"/>
          </w:rPr>
          <w:t>Form 8-A</w:t>
        </w:r>
      </w:hyperlink>
      <w:r>
        <w:rPr>
          <w:color w:val="000000"/>
          <w:shd w:fill="FFFFFF" w:val="clear"/>
        </w:rPr>
        <w:t xml:space="preserve"> </w:t>
      </w:r>
      <w:r>
        <w:rPr>
          <w:rFonts w:ascii="Times New Roman;serif" w:hAnsi="Times New Roman;serif"/>
          <w:b w:val="false"/>
          <w:color w:val="000000"/>
          <w:sz w:val="20"/>
          <w:shd w:fill="FFFFFF" w:val="clear"/>
        </w:rPr>
        <w:t xml:space="preserve">(File No. 001-35662) filed with the Commission on September 24, 2012, pursuant to Section 12(b) of the Exchange Act, including any amendment or report filed for the purpose of updating such description. </w:t>
      </w:r>
    </w:p>
    <w:p>
      <w:pPr>
        <w:pStyle w:val="TextBody"/>
        <w:bidi w:val="0"/>
        <w:spacing w:before="240" w:after="283"/>
        <w:ind w:left="0" w:right="0" w:firstLine="49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490"/>
        <w:jc w:val="both"/>
        <w:rPr>
          <w:shd w:fill="FFFFFF" w:val="clear"/>
        </w:rPr>
      </w:pPr>
      <w:r>
        <w:rPr>
          <w:rFonts w:ascii="Times New Roman;serif" w:hAnsi="Times New Roman;serif"/>
          <w:b w:val="false"/>
          <w:color w:val="000000"/>
          <w:sz w:val="20"/>
          <w:shd w:fill="FFFFFF" w:val="clear"/>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serif" w:hAnsi="Times New Roman;serif"/>
          <w:b w:val="false"/>
          <w:i/>
          <w:color w:val="000000"/>
          <w:sz w:val="20"/>
          <w:shd w:fill="FFFFFF" w:val="clear"/>
        </w:rPr>
        <w:t>provided</w:t>
      </w:r>
      <w:r>
        <w:rPr>
          <w:rFonts w:ascii="Times New Roman;serif" w:hAnsi="Times New Roman;serif"/>
          <w:b w:val="false"/>
          <w:color w:val="000000"/>
          <w:sz w:val="20"/>
          <w:shd w:fill="FFFFFF" w:val="clear"/>
        </w:rPr>
        <w:t xml:space="preserve">, </w:t>
      </w:r>
      <w:r>
        <w:rPr>
          <w:rFonts w:ascii="Times New Roman;serif" w:hAnsi="Times New Roman;serif"/>
          <w:b w:val="false"/>
          <w:i/>
          <w:color w:val="000000"/>
          <w:sz w:val="20"/>
          <w:shd w:fill="FFFFFF" w:val="clear"/>
        </w:rPr>
        <w:t>however</w:t>
      </w:r>
      <w:r>
        <w:rPr>
          <w:rFonts w:ascii="Times New Roman;serif" w:hAnsi="Times New Roman;serif"/>
          <w:b w:val="false"/>
          <w:color w:val="000000"/>
          <w:sz w:val="20"/>
          <w:shd w:fill="FFFFFF" w:val="clear"/>
        </w:rPr>
        <w:t xml:space="preserve">,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lineRule="auto" w:line="288" w:before="0" w:after="0"/>
        <w:jc w:val="both"/>
        <w:rPr>
          <w:color w:val="000000"/>
          <w:shd w:fill="FFFFFF" w:val="clear"/>
        </w:rPr>
      </w:pPr>
      <w:r>
        <w:rPr>
          <w:color w:val="000000"/>
          <w:shd w:fill="FFFFFF" w:val="clear"/>
        </w:rPr>
        <w:t> </w:t>
      </w:r>
    </w:p>
    <w:tbl>
      <w:tblPr>
        <w:tblW w:w="2998" w:type="dxa"/>
        <w:jc w:val="left"/>
        <w:tblInd w:w="0" w:type="dxa"/>
        <w:tblLayout w:type="fixed"/>
        <w:tblCellMar>
          <w:top w:w="28" w:type="dxa"/>
          <w:left w:w="28" w:type="dxa"/>
          <w:bottom w:w="28" w:type="dxa"/>
          <w:right w:w="28" w:type="dxa"/>
        </w:tblCellMar>
      </w:tblPr>
      <w:tblGrid>
        <w:gridCol w:w="255"/>
        <w:gridCol w:w="223"/>
        <w:gridCol w:w="226"/>
        <w:gridCol w:w="670"/>
        <w:gridCol w:w="670"/>
        <w:gridCol w:w="95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Securities. </w:t>
            </w:r>
          </w:p>
        </w:tc>
      </w:tr>
    </w:tbl>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before="0" w:after="0"/>
        <w:jc w:val="left"/>
        <w:rPr/>
      </w:pPr>
      <w:r>
        <w:rPr/>
      </w:r>
    </w:p>
    <w:tbl>
      <w:tblPr>
        <w:tblW w:w="4304" w:type="dxa"/>
        <w:jc w:val="left"/>
        <w:tblInd w:w="0" w:type="dxa"/>
        <w:tblLayout w:type="fixed"/>
        <w:tblCellMar>
          <w:top w:w="28" w:type="dxa"/>
          <w:left w:w="28" w:type="dxa"/>
          <w:bottom w:w="28" w:type="dxa"/>
          <w:right w:w="28" w:type="dxa"/>
        </w:tblCellMar>
      </w:tblPr>
      <w:tblGrid>
        <w:gridCol w:w="255"/>
        <w:gridCol w:w="223"/>
        <w:gridCol w:w="226"/>
        <w:gridCol w:w="1054"/>
        <w:gridCol w:w="1054"/>
        <w:gridCol w:w="1492"/>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Interests of Named Experts and Counsel. </w:t>
            </w:r>
          </w:p>
        </w:tc>
      </w:tr>
    </w:tbl>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lineRule="auto" w:line="288" w:before="0" w:after="0"/>
        <w:jc w:val="left"/>
        <w:rPr>
          <w:color w:val="000000"/>
          <w:shd w:fill="FFFFFF" w:val="clear"/>
        </w:rPr>
      </w:pPr>
      <w:r>
        <w:rPr>
          <w:color w:val="000000"/>
          <w:shd w:fill="FFFFFF" w:val="clear"/>
        </w:rPr>
        <w:t> </w:t>
      </w:r>
    </w:p>
    <w:tbl>
      <w:tblPr>
        <w:tblW w:w="4424" w:type="dxa"/>
        <w:jc w:val="left"/>
        <w:tblInd w:w="0" w:type="dxa"/>
        <w:tblLayout w:type="fixed"/>
        <w:tblCellMar>
          <w:top w:w="28" w:type="dxa"/>
          <w:left w:w="28" w:type="dxa"/>
          <w:bottom w:w="28" w:type="dxa"/>
          <w:right w:w="28" w:type="dxa"/>
        </w:tblCellMar>
      </w:tblPr>
      <w:tblGrid>
        <w:gridCol w:w="255"/>
        <w:gridCol w:w="223"/>
        <w:gridCol w:w="226"/>
        <w:gridCol w:w="1088"/>
        <w:gridCol w:w="1088"/>
        <w:gridCol w:w="1544"/>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Indemnification of Directors and Officers. </w:t>
            </w:r>
          </w:p>
        </w:tc>
      </w:tr>
    </w:tbl>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Section 145 of the Delaware General Corporation Law authorizes a corporation’s board of directors to grant, and authorizes a court to award, indemnity to officers, directors and other corporate agents under certain circumstances.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permitted by Section 102(b)(7) of the Delaware General Corporation Law, the Registrant’s Amended and Restated Certificate of Incorporation, as currently in effect, provides that the Registrant will indemnify its directors and officers, and may indemnify its employees and other agents, to the fullest extent permitted by the Delaware General Corporation Law. If the Delaware General Corporation Law is amended to authorize corporate action further eliminating or limiting the personal liability of a director or officer, then the liability of the Registrant’s directors or officers will be eliminated or limited to the fullest extent permitted by Delaware General Corporation Law, as so amended.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as permitted by Section 145 of the Delaware General Corporation Law, the Amended and Restated Bylaws of the Registrant, as currently in effect, provide that: </w:t>
      </w:r>
    </w:p>
    <w:p>
      <w:pPr>
        <w:pStyle w:val="TextBody"/>
        <w:bidi w:val="0"/>
        <w:spacing w:before="0" w:after="0"/>
        <w:jc w:val="both"/>
        <w:rPr/>
      </w:pPr>
      <w:r>
        <w:rPr/>
      </w:r>
    </w:p>
    <w:p>
      <w:pPr>
        <w:pStyle w:val="TextBody"/>
        <w:bidi w:val="0"/>
        <w:spacing w:lineRule="auto" w:line="240"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Registrant is required to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 </w:t>
      </w:r>
    </w:p>
    <w:p>
      <w:pPr>
        <w:pStyle w:val="TextBody"/>
        <w:bidi w:val="0"/>
        <w:spacing w:lineRule="auto" w:line="240"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Registrant may, in its discretion, indemnify employees and agents in those circumstances where indemnification is permitted by applicable law. </w:t>
      </w:r>
    </w:p>
    <w:p>
      <w:pPr>
        <w:pStyle w:val="TextBody"/>
        <w:bidi w:val="0"/>
        <w:spacing w:lineRule="auto" w:line="240"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w:t>
      </w:r>
    </w:p>
    <w:p>
      <w:pPr>
        <w:pStyle w:val="TextBody"/>
        <w:bidi w:val="0"/>
        <w:spacing w:lineRule="auto" w:line="240"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Registrant will not be obligated pursuant to the Amended and Restated Bylaws to indemnify a person with respect to proceedings initiated by that person, except with respect to proceedings authorized by the Registrant’s board of directors or brought to enforce a right to indemnification. </w:t>
      </w:r>
    </w:p>
    <w:p>
      <w:pPr>
        <w:pStyle w:val="TextBody"/>
        <w:bidi w:val="0"/>
        <w:spacing w:lineRule="auto" w:line="240" w:before="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rights conferred in the Amended and Restated Certificate of Incorporation and Bylaws are not exclusive, and the Registrant is authorized to enter into indemnification agreements with its directors, officers, employees and agents and to obtain insurance to indemnify such persons. </w:t>
      </w:r>
    </w:p>
    <w:p>
      <w:pPr>
        <w:pStyle w:val="TextBody"/>
        <w:bidi w:val="0"/>
        <w:spacing w:lineRule="auto" w:line="240"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Registrant may not retroactively amend the bylaw provisions to reduce its indemnification obligations to directors, officers, employees and agents.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before="0" w:after="0"/>
        <w:jc w:val="both"/>
        <w:rPr/>
      </w:pPr>
      <w:r>
        <w:rPr/>
      </w:r>
    </w:p>
    <w:p>
      <w:pPr>
        <w:pStyle w:val="TextBody"/>
        <w:bidi w:val="0"/>
        <w:spacing w:lineRule="auto" w:line="240" w:before="0" w:after="0"/>
        <w:ind w:left="0" w:right="0" w:firstLine="45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the Registrant’s policy is to enter into separate indemnification agreements with each of its directors and officers that require the Registrant to indemnify its directors and officers, to the maximum extent permitted by applicable law, and also provide for certain procedural protections.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indemnification obligations described above may be sufficiently broad to permit the indemnification of the Registrant’s directors and officers for liabilities (including reimbursement for expenses incurred) arising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tbl>
      <w:tblPr>
        <w:tblW w:w="4198" w:type="dxa"/>
        <w:jc w:val="left"/>
        <w:tblInd w:w="0" w:type="dxa"/>
        <w:tblLayout w:type="fixed"/>
        <w:tblCellMar>
          <w:top w:w="28" w:type="dxa"/>
          <w:left w:w="28" w:type="dxa"/>
          <w:bottom w:w="28" w:type="dxa"/>
          <w:right w:w="28" w:type="dxa"/>
        </w:tblCellMar>
      </w:tblPr>
      <w:tblGrid>
        <w:gridCol w:w="255"/>
        <w:gridCol w:w="223"/>
        <w:gridCol w:w="226"/>
        <w:gridCol w:w="1021"/>
        <w:gridCol w:w="1021"/>
        <w:gridCol w:w="1452"/>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Exemption from Registration Claimed. </w:t>
            </w:r>
          </w:p>
        </w:tc>
      </w:tr>
    </w:tbl>
    <w:p>
      <w:pPr>
        <w:pStyle w:val="TextBody"/>
        <w:bidi w:val="0"/>
        <w:spacing w:lineRule="auto" w:line="288" w:before="12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Not applicable. </w:t>
      </w:r>
    </w:p>
    <w:p>
      <w:pPr>
        <w:pStyle w:val="TextBody"/>
        <w:bidi w:val="0"/>
        <w:spacing w:before="0" w:after="0"/>
        <w:jc w:val="left"/>
        <w:rPr/>
      </w:pPr>
      <w:r>
        <w:rPr/>
      </w:r>
    </w:p>
    <w:tbl>
      <w:tblPr>
        <w:tblW w:w="1649" w:type="dxa"/>
        <w:jc w:val="left"/>
        <w:tblInd w:w="0" w:type="dxa"/>
        <w:tblLayout w:type="fixed"/>
        <w:tblCellMar>
          <w:top w:w="28" w:type="dxa"/>
          <w:left w:w="28" w:type="dxa"/>
          <w:bottom w:w="28" w:type="dxa"/>
          <w:right w:w="28" w:type="dxa"/>
        </w:tblCellMar>
      </w:tblPr>
      <w:tblGrid>
        <w:gridCol w:w="255"/>
        <w:gridCol w:w="223"/>
        <w:gridCol w:w="226"/>
        <w:gridCol w:w="277"/>
        <w:gridCol w:w="277"/>
        <w:gridCol w:w="391"/>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w:t>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Exhibits. </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74"/>
        <w:gridCol w:w="1422"/>
        <w:gridCol w:w="1427"/>
        <w:gridCol w:w="109"/>
        <w:gridCol w:w="109"/>
        <w:gridCol w:w="109"/>
        <w:gridCol w:w="178"/>
        <w:gridCol w:w="178"/>
        <w:gridCol w:w="180"/>
        <w:gridCol w:w="109"/>
        <w:gridCol w:w="109"/>
        <w:gridCol w:w="109"/>
        <w:gridCol w:w="301"/>
        <w:gridCol w:w="301"/>
        <w:gridCol w:w="306"/>
        <w:gridCol w:w="109"/>
        <w:gridCol w:w="109"/>
        <w:gridCol w:w="109"/>
        <w:gridCol w:w="210"/>
        <w:gridCol w:w="210"/>
        <w:gridCol w:w="211"/>
        <w:gridCol w:w="109"/>
        <w:gridCol w:w="109"/>
        <w:gridCol w:w="109"/>
        <w:gridCol w:w="397"/>
        <w:gridCol w:w="397"/>
        <w:gridCol w:w="57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42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EE"/>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333-182027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2012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EE"/>
                  <w:sz w:val="20"/>
                  <w:u w:val="single"/>
                </w:rPr>
                <w:t>Amended and Restated Certificate of Incorporation of Qualys, Inc.</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333-182027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12, 2012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Incorporation of Qualys,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001-35662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16, 2025</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Amended and Restated Bylaws of Qualys, Inc.</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001-35662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 2022</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xex51opinion.htm">
              <w:r>
                <w:rPr>
                  <w:rStyle w:val="InternetLink"/>
                  <w:rFonts w:ascii="Times New Roman;serif" w:hAnsi="Times New Roman;serif"/>
                  <w:b w:val="false"/>
                  <w:color w:val="0000FF"/>
                  <w:sz w:val="20"/>
                  <w:u w:val="single"/>
                </w:rPr>
                <w:t>Opinion of Wilson Sonsini Goodrich &amp; Rosati, Professional Corporation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xex231consent.htm">
              <w:r>
                <w:rPr>
                  <w:rStyle w:val="InternetLink"/>
                  <w:rFonts w:ascii="Times New Roman;serif" w:hAnsi="Times New Roman;serif"/>
                  <w:b w:val="false"/>
                  <w:color w:val="0000FF"/>
                  <w:sz w:val="20"/>
                  <w:u w:val="single"/>
                </w:rPr>
                <w:t>Consent of Grant Thornton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lys-2026xex51opinion.htm">
              <w:r>
                <w:rPr>
                  <w:rStyle w:val="InternetLink"/>
                  <w:rFonts w:ascii="Times New Roman;serif" w:hAnsi="Times New Roman;serif"/>
                  <w:b w:val="false"/>
                  <w:color w:val="0000FF"/>
                  <w:sz w:val="20"/>
                  <w:u w:val="single"/>
                </w:rPr>
                <w:t>Consent of Wilson Sonsini Goodrich &amp; Rosati, Professional Corporation (included in Exhibit 5.1)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de78bc76bf42259ed5cf9ac986b51f_4">
              <w:r>
                <w:rPr>
                  <w:rStyle w:val="InternetLink"/>
                  <w:rFonts w:ascii="Times New Roman;serif" w:hAnsi="Times New Roman;serif"/>
                  <w:b w:val="false"/>
                  <w:color w:val="0000EE"/>
                  <w:sz w:val="20"/>
                  <w:u w:val="single"/>
                </w:rPr>
                <w:t>Power of Attorney (contained on signature page hereto)</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80"/>
                  <w:sz w:val="20"/>
                  <w:u w:val="single"/>
                </w:rPr>
                <w:t>2</w:t>
              </w:r>
            </w:hyperlink>
            <w:hyperlink r:id="rId9">
              <w:r>
                <w:rPr>
                  <w:rStyle w:val="InternetLink"/>
                  <w:rFonts w:ascii="Times New Roman;serif" w:hAnsi="Times New Roman;serif"/>
                  <w:b w:val="false"/>
                  <w:color w:val="000080"/>
                  <w:sz w:val="20"/>
                  <w:u w:val="single"/>
                </w:rPr>
                <w:t>012 Equity Incentive Plan, as amended and restated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001-35662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11, 2026</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filingfees.htm">
              <w:r>
                <w:rPr>
                  <w:rStyle w:val="InternetLink"/>
                  <w:rFonts w:ascii="Times New Roman;serif" w:hAnsi="Times New Roman;serif"/>
                  <w:b w:val="false"/>
                  <w:color w:val="0000EE"/>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tbl>
      <w:tblPr>
        <w:tblW w:w="2084" w:type="dxa"/>
        <w:jc w:val="left"/>
        <w:tblInd w:w="0" w:type="dxa"/>
        <w:tblLayout w:type="fixed"/>
        <w:tblCellMar>
          <w:top w:w="28" w:type="dxa"/>
          <w:left w:w="28" w:type="dxa"/>
          <w:bottom w:w="28" w:type="dxa"/>
          <w:right w:w="28" w:type="dxa"/>
        </w:tblCellMar>
      </w:tblPr>
      <w:tblGrid>
        <w:gridCol w:w="255"/>
        <w:gridCol w:w="223"/>
        <w:gridCol w:w="226"/>
        <w:gridCol w:w="404"/>
        <w:gridCol w:w="404"/>
        <w:gridCol w:w="572"/>
      </w:tblGrid>
      <w:tr>
        <w:trPr/>
        <w:tc>
          <w:tcPr>
            <w:tcW w:w="25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Undertakings. </w:t>
            </w:r>
          </w:p>
        </w:tc>
      </w:tr>
    </w:tbl>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The undersigned Registrant hereby undertakes: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(1) To file, during any period in which offers or sales are being made, a post-effective amendment to this Registration Statement: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 To include any prospectus required by Section 10(a)(3) of the Securities Act;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Filing Fee Tables” in the effective Registration Statement; and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uto" w:line="288" w:before="240" w:after="283"/>
        <w:ind w:left="0" w:right="0" w:firstLine="490"/>
        <w:jc w:val="both"/>
        <w:rPr>
          <w:shd w:fill="FFFFFF" w:val="clear"/>
        </w:rPr>
      </w:pPr>
      <w:r>
        <w:rPr>
          <w:rFonts w:ascii="Times New Roman;serif" w:hAnsi="Times New Roman;serif"/>
          <w:b w:val="false"/>
          <w:i/>
          <w:color w:val="000000"/>
          <w:sz w:val="20"/>
          <w:shd w:fill="FFFFFF" w:val="clear"/>
        </w:rPr>
        <w:t>Provided, however</w:t>
      </w:r>
      <w:r>
        <w:rPr>
          <w:rFonts w:ascii="Times New Roman;serif" w:hAnsi="Times New Roman;serif"/>
          <w:b w:val="false"/>
          <w:color w:val="000000"/>
          <w:sz w:val="20"/>
          <w:shd w:fill="FFFFFF" w:val="clear"/>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12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uto" w:line="288"/>
        <w:jc w:val="both"/>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Foster City, State of California, on the 4th day of August, 2026. </w:t>
      </w:r>
    </w:p>
    <w:p>
      <w:pPr>
        <w:pStyle w:val="TextBody"/>
        <w:bidi w:val="0"/>
        <w:spacing w:lineRule="auto" w:line="288" w:before="0" w:after="0"/>
        <w:jc w:val="left"/>
        <w:rPr>
          <w:color w:val="000000"/>
          <w:shd w:fill="FFFFFF" w:val="clear"/>
        </w:rPr>
      </w:pPr>
      <w:r>
        <w:rPr>
          <w:color w:val="000000"/>
          <w:shd w:fill="FFFFFF" w:val="clear"/>
        </w:rPr>
        <w:t> </w:t>
      </w:r>
    </w:p>
    <w:tbl>
      <w:tblPr>
        <w:tblW w:w="3425" w:type="dxa"/>
        <w:jc w:val="right"/>
        <w:tblInd w:w="0" w:type="dxa"/>
        <w:tblLayout w:type="fixed"/>
        <w:tblCellMar>
          <w:top w:w="28" w:type="dxa"/>
          <w:left w:w="28" w:type="dxa"/>
          <w:bottom w:w="28" w:type="dxa"/>
          <w:right w:w="28" w:type="dxa"/>
        </w:tblCellMar>
      </w:tblPr>
      <w:tblGrid>
        <w:gridCol w:w="171"/>
        <w:gridCol w:w="150"/>
        <w:gridCol w:w="150"/>
        <w:gridCol w:w="150"/>
        <w:gridCol w:w="150"/>
        <w:gridCol w:w="150"/>
        <w:gridCol w:w="732"/>
        <w:gridCol w:w="732"/>
        <w:gridCol w:w="1040"/>
      </w:tblGrid>
      <w:tr>
        <w:trPr/>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34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QUALYS, INC.</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JOO MI KIM</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Joo Mi Kim</w:t>
            </w:r>
          </w:p>
        </w:tc>
      </w:tr>
      <w:tr>
        <w:trPr/>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KNOW ALL PERSONS BY THESE PRESENTS, that each person whose signature appears below constitutes and appoints Sumedh S. Thakar and Joo Mi Kim, jointly and severally, as his or her true and lawful attorneys-in-fact and agents, with full power of substitution and resubstitution, for him or her and in his or her name, place and stead, in any and all capacities, to sign the Registration Statement on Form S-8 of Qualys, Inc., and any or all amendments (including post-effective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 </w:t>
      </w:r>
    </w:p>
    <w:p>
      <w:pPr>
        <w:pStyle w:val="TextBody"/>
        <w:bidi w:val="0"/>
        <w:spacing w:lineRule="auto" w:line="288" w:before="240" w:after="283"/>
        <w:ind w:left="0" w:right="0" w:firstLine="49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Pursuant to the requirements of the Securities Act of 1933, this Registration Statement on Form S-8 has been signed by the following persons in the capacities and on the dates indicated. </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828"/>
        <w:gridCol w:w="708"/>
        <w:gridCol w:w="712"/>
        <w:gridCol w:w="109"/>
        <w:gridCol w:w="109"/>
        <w:gridCol w:w="109"/>
        <w:gridCol w:w="2001"/>
        <w:gridCol w:w="1987"/>
        <w:gridCol w:w="2014"/>
        <w:gridCol w:w="109"/>
        <w:gridCol w:w="109"/>
        <w:gridCol w:w="109"/>
        <w:gridCol w:w="377"/>
        <w:gridCol w:w="377"/>
        <w:gridCol w:w="547"/>
      </w:tblGrid>
      <w:tr>
        <w:trPr/>
        <w:tc>
          <w:tcPr>
            <w:tcW w:w="82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r>
      <w:tr>
        <w:trPr/>
        <w:tc>
          <w:tcPr>
            <w:tcW w:w="2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SUMEDH S. THAKAR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Sumedh S. Thakar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JOO MI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Joo Mi Kim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P. HANK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P. Hank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THOMAS P.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Thomas P. Berquist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 Brooks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WENDY M. PFEIFFER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Wendy M. Pfeiffer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 M.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 M.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A. ZANGARDI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r>
      <w:tr>
        <w:trPr/>
        <w:tc>
          <w:tcPr>
            <w:tcW w:w="2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A. Zangardi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5.1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6305550" cy="98107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10"/>
                    <a:stretch>
                      <a:fillRect/>
                    </a:stretch>
                  </pic:blipFill>
                  <pic:spPr bwMode="auto">
                    <a:xfrm>
                      <a:off x="0" y="0"/>
                      <a:ext cx="6305550" cy="981075"/>
                    </a:xfrm>
                    <a:prstGeom prst="rect">
                      <a:avLst/>
                    </a:prstGeom>
                  </pic:spPr>
                </pic:pic>
              </a:graphicData>
            </a:graphic>
          </wp:inline>
        </w:drawing>
      </w:r>
    </w:p>
    <w:p>
      <w:pPr>
        <w:pStyle w:val="TextBody"/>
        <w:bidi w:val="0"/>
        <w:spacing w:lineRule="auto" w:line="288" w:before="24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August 4, 2026</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Qualys, Inc. </w:t>
      </w:r>
    </w:p>
    <w:p>
      <w:pPr>
        <w:pStyle w:val="TextBody"/>
        <w:bidi w:val="0"/>
        <w:spacing w:lineRule="auto" w:line="288" w:before="0" w:after="0"/>
        <w:jc w:val="both"/>
        <w:rPr>
          <w:shd w:fill="FFFFFF" w:val="clear"/>
        </w:rPr>
      </w:pPr>
      <w:r>
        <w:rPr>
          <w:rFonts w:ascii="Times New Roman;serif" w:hAnsi="Times New Roman;serif"/>
          <w:b w:val="false"/>
          <w:color w:val="000000"/>
          <w:sz w:val="20"/>
          <w:shd w:fill="FFFFFF" w:val="clear"/>
        </w:rPr>
        <w:t>919 East Hillsdale Boulevard, 4</w:t>
      </w:r>
      <w:r>
        <w:rPr>
          <w:rFonts w:ascii="Times New Roman;serif" w:hAnsi="Times New Roman;serif"/>
          <w:b w:val="false"/>
          <w:color w:val="000000"/>
          <w:sz w:val="17"/>
          <w:shd w:fill="FFFFFF" w:val="clear"/>
        </w:rPr>
        <w:t>th</w:t>
      </w:r>
      <w:r>
        <w:rPr>
          <w:color w:val="000000"/>
          <w:shd w:fill="FFFFFF" w:val="clear"/>
        </w:rPr>
        <w:t xml:space="preserve"> </w:t>
      </w:r>
      <w:r>
        <w:rPr>
          <w:rFonts w:ascii="Times New Roman;serif" w:hAnsi="Times New Roman;serif"/>
          <w:b w:val="false"/>
          <w:color w:val="000000"/>
          <w:sz w:val="20"/>
          <w:shd w:fill="FFFFFF" w:val="clear"/>
        </w:rPr>
        <w:t xml:space="preserve">Floor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Foster City, California 94404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Re: Registration Statement on Form S-8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Ladies and Gentlemen: </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have examined the Registration Statement on Form S-8 (the “Registration Statement”) to be filed by Qualys, Inc., a Delaware corporation (the “Company”), with the Securities and Exchange Commission on or about the date hereof, in connection with the registration under the Securities Act of 1933, as amended, of 1,089,000 additional shares of common stock, par value $0.001 per share (the “Shares”) reserved for issuance pursuant to the Company’s 2012 Equity Incentive Plan, as amended and restated (the “Plan”). As your legal counsel, we have reviewed the actions proposed to be taken by you in connection with the issuance and sale of the Shares to be issued under the Plan.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It is our opinion that the Shares, when issued and sold in the manner referred to in the Plan and pursuant to the agreements that accompany the Plan, will be legally and validly issued, fully paid and nonassessable. </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consent to the use of this opinion as an exhibit to the Registration Statement, and further consent to the use of our name wherever appearing in the Registration Statement and any amendments thereto. </w:t>
      </w:r>
    </w:p>
    <w:tbl>
      <w:tblPr>
        <w:tblW w:w="3659" w:type="dxa"/>
        <w:jc w:val="left"/>
        <w:tblInd w:w="0" w:type="dxa"/>
        <w:tblLayout w:type="fixed"/>
        <w:tblCellMar>
          <w:top w:w="28" w:type="dxa"/>
          <w:left w:w="28" w:type="dxa"/>
          <w:bottom w:w="28" w:type="dxa"/>
          <w:right w:w="28" w:type="dxa"/>
        </w:tblCellMar>
      </w:tblPr>
      <w:tblGrid>
        <w:gridCol w:w="1170"/>
        <w:gridCol w:w="1027"/>
        <w:gridCol w:w="1462"/>
      </w:tblGrid>
      <w:tr>
        <w:trPr/>
        <w:tc>
          <w:tcPr>
            <w:tcW w:w="117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Very truly yours,</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WILSON SONSINI GOODRICH &amp; ROSATI</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Corporation</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Wilson Sonsini Goodrich &amp; Rosati, P.C.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92150"/>
                <wp:effectExtent l="0" t="0" r="0" b="0"/>
                <wp:wrapNone/>
                <wp:docPr id="8" name="Frame7"/>
                <a:graphic xmlns:a="http://schemas.openxmlformats.org/drawingml/2006/main">
                  <a:graphicData uri="http://schemas.microsoft.com/office/word/2010/wordprocessingShape">
                    <wps:wsp>
                      <wps:cNvSpPr txBox="1"/>
                      <wps:spPr>
                        <a:xfrm>
                          <a:off x="0" y="0"/>
                          <a:ext cx="6480175" cy="692150"/>
                        </a:xfrm>
                        <a:prstGeom prst="rect"/>
                        <a:solidFill>
                          <a:srgbClr val="FFFFFF"/>
                        </a:solidFill>
                      </wps:spPr>
                      <wps:txbx>
                        <w:txbxContent>
                          <w:p>
                            <w:pPr>
                              <w:pStyle w:val="TextBody"/>
                              <w:bidi w:val="0"/>
                              <w:spacing w:before="0" w:after="0"/>
                              <w:jc w:val="center"/>
                              <w:rPr/>
                            </w:pPr>
                            <w:r>
                              <w:rPr/>
                              <w:drawing>
                                <wp:inline distT="0" distB="0" distL="0" distR="0">
                                  <wp:extent cx="6305550" cy="6286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11"/>
                                          <a:stretch>
                                            <a:fillRect/>
                                          </a:stretch>
                                        </pic:blipFill>
                                        <pic:spPr bwMode="auto">
                                          <a:xfrm>
                                            <a:off x="0" y="0"/>
                                            <a:ext cx="6305550" cy="62865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6305550" cy="6286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12"/>
                                    <a:stretch>
                                      <a:fillRect/>
                                    </a:stretch>
                                  </pic:blipFill>
                                  <pic:spPr bwMode="auto">
                                    <a:xfrm>
                                      <a:off x="0" y="0"/>
                                      <a:ext cx="6305550" cy="62865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issued our reports dated February 20, 2026, with respect to the consolidated financial statements and internal control over financial reporting of Qualys, Inc. included in the Annual Report on Form 10-K for the year ended December 31, 2025, which are incorporated by reference in this Registration Statement. We consent to the incorporation by reference of the aforementioned reports in this Registration Statement.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Francisco,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4,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Exhibit 107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CALCULATION OF FILING FEE TABLE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Form S-8</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(Form Type)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Qualys, Inc.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(Exact Name of Registrant as Specified in its Charter) </w:t>
      </w:r>
    </w:p>
    <w:p>
      <w:pPr>
        <w:pStyle w:val="TextBody"/>
        <w:bidi w:val="0"/>
        <w:spacing w:lineRule="auto" w:line="288" w:before="240" w:after="283"/>
        <w:jc w:val="center"/>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Table 1: Newly Registered Securities</w:t>
      </w:r>
    </w:p>
    <w:tbl>
      <w:tblPr>
        <w:tblW w:w="11384" w:type="dxa"/>
        <w:jc w:val="left"/>
        <w:tblInd w:w="0" w:type="dxa"/>
        <w:tblLayout w:type="fixed"/>
        <w:tblCellMar>
          <w:top w:w="28" w:type="dxa"/>
          <w:left w:w="28" w:type="dxa"/>
          <w:bottom w:w="28" w:type="dxa"/>
          <w:right w:w="28" w:type="dxa"/>
        </w:tblCellMar>
      </w:tblPr>
      <w:tblGrid>
        <w:gridCol w:w="124"/>
        <w:gridCol w:w="109"/>
        <w:gridCol w:w="109"/>
        <w:gridCol w:w="270"/>
        <w:gridCol w:w="270"/>
        <w:gridCol w:w="271"/>
        <w:gridCol w:w="109"/>
        <w:gridCol w:w="109"/>
        <w:gridCol w:w="109"/>
        <w:gridCol w:w="349"/>
        <w:gridCol w:w="349"/>
        <w:gridCol w:w="353"/>
        <w:gridCol w:w="109"/>
        <w:gridCol w:w="109"/>
        <w:gridCol w:w="109"/>
        <w:gridCol w:w="365"/>
        <w:gridCol w:w="365"/>
        <w:gridCol w:w="366"/>
        <w:gridCol w:w="109"/>
        <w:gridCol w:w="109"/>
        <w:gridCol w:w="109"/>
        <w:gridCol w:w="335"/>
        <w:gridCol w:w="335"/>
        <w:gridCol w:w="336"/>
        <w:gridCol w:w="109"/>
        <w:gridCol w:w="109"/>
        <w:gridCol w:w="109"/>
        <w:gridCol w:w="330"/>
        <w:gridCol w:w="330"/>
        <w:gridCol w:w="331"/>
        <w:gridCol w:w="109"/>
        <w:gridCol w:w="109"/>
        <w:gridCol w:w="109"/>
        <w:gridCol w:w="499"/>
        <w:gridCol w:w="499"/>
        <w:gridCol w:w="503"/>
        <w:gridCol w:w="109"/>
        <w:gridCol w:w="109"/>
        <w:gridCol w:w="109"/>
        <w:gridCol w:w="364"/>
        <w:gridCol w:w="364"/>
        <w:gridCol w:w="368"/>
        <w:gridCol w:w="109"/>
        <w:gridCol w:w="109"/>
        <w:gridCol w:w="109"/>
        <w:gridCol w:w="351"/>
        <w:gridCol w:w="351"/>
        <w:gridCol w:w="4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6"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Class</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Calculation </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Rule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Amount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Registered</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Proposed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Maximum</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Price Per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Maximum</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Aggregate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Offering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Fee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Rate</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right w:val="single" w:sz="8" w:space="0" w:color="000000"/>
            </w:tcBorders>
            <w:tcMar>
              <w:top w:w="30" w:type="dxa"/>
              <w:left w:w="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Amount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Registration </w:t>
            </w:r>
          </w:p>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Fee</w:t>
            </w:r>
          </w:p>
        </w:tc>
      </w:tr>
      <w:tr>
        <w:trPr/>
        <w:tc>
          <w:tcPr>
            <w:tcW w:w="3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11" w:type="dxa"/>
            <w:gridSpan w:val="3"/>
            <w:tcBorders>
              <w:top w:val="single" w:sz="6" w:space="0" w:color="000000"/>
              <w:left w:val="single" w:sz="8"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 - reserved for issuance pursuant to the Registrant's 2012 Equity Incentive Plan, as amended and restated</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1,089,000</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$135.66</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$147,733,740.00</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$20,402.03</w:t>
            </w:r>
          </w:p>
        </w:tc>
      </w:tr>
      <w:tr>
        <w:trPr/>
        <w:tc>
          <w:tcPr>
            <w:tcW w:w="3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945" w:type="dxa"/>
            <w:gridSpan w:val="21"/>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Offering Amounts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$147,733,740.00</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$20,402.03</w:t>
            </w:r>
          </w:p>
        </w:tc>
      </w:tr>
      <w:tr>
        <w:trPr/>
        <w:tc>
          <w:tcPr>
            <w:tcW w:w="3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4945" w:type="dxa"/>
            <w:gridSpan w:val="21"/>
            <w:tcBorders>
              <w:top w:val="single" w:sz="6" w:space="0" w:color="000000"/>
              <w:bottom w:val="single" w:sz="6"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Fee Offsets</w:t>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right w:val="single" w:sz="8" w:space="0" w:color="000000"/>
            </w:tcBorders>
            <w:tcMar>
              <w:top w:w="30" w:type="dxa"/>
              <w:left w:w="0" w:type="dxa"/>
              <w:bottom w:w="0" w:type="dxa"/>
            </w:tcMar>
            <w:vAlign w:val="center"/>
          </w:tcPr>
          <w:p>
            <w:pPr>
              <w:pStyle w:val="TableContents"/>
              <w:bidi w:val="0"/>
              <w:spacing w:lineRule="auto" w:line="240" w:before="0" w:after="0"/>
              <w:jc w:val="center"/>
              <w:rPr>
                <w:color w:val="000000"/>
              </w:rPr>
            </w:pPr>
            <w:r>
              <w:rPr>
                <w:color w:val="000000"/>
              </w:rPr>
              <w:t>–</w:t>
            </w:r>
          </w:p>
        </w:tc>
      </w:tr>
      <w:tr>
        <w:trPr/>
        <w:tc>
          <w:tcPr>
            <w:tcW w:w="34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op w:val="single" w:sz="6" w:space="0" w:color="000000"/>
              <w:left w:val="single" w:sz="8" w:space="0" w:color="000000"/>
              <w:bottom w:val="single" w:sz="6" w:space="0" w:color="000000"/>
            </w:tcBorders>
            <w:tcMar>
              <w:top w:w="30" w:type="dxa"/>
              <w:left w:w="13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Fee Due</w:t>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6" w:space="0" w:color="000000"/>
              <w:bottom w:val="single" w:sz="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left w:val="single" w:sz="6" w:space="0" w:color="000000"/>
              <w:bottom w:val="single" w:sz="6"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6" w:space="0" w:color="000000"/>
              <w:bottom w:val="single" w:sz="6" w:space="0" w:color="000000"/>
              <w:right w:val="single" w:sz="8" w:space="0" w:color="000000"/>
            </w:tcBorders>
            <w:tcMar>
              <w:top w:w="30" w:type="dxa"/>
              <w:left w:w="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$20,402.03</w:t>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Offering Note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Rule 416(a) under the Securities Act of 1933, as amended, this Registration Statement shall also cover any additional shares of the Registrant’s common stock that become issuable under the plan set forth herein by reason of any stock dividend, stock split, recapitalization or other similar transaction effected without the receipt of consideration that increases the number of the Registrant’s outstanding shares of common stock.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amount registered represents 1,089,000 additional shares of the Registrant’s common stock reserved for future issuance under the Registrant’s 2012 Equity Incentive Plan, as amended and restated.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proposed maximum offering price per unit was estimated in accordance with Rules 457(c) and 457(h) solely for the purpose of calculating the registration fee on the basis of $135.66 per share, which represents the average of the high and low prices of the Registrant’s common stock as reported on the NASDAQ Global Select Market on July 28,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843/000110784326000008/qlys-20251231.htm" TargetMode="External"/><Relationship Id="rId3" Type="http://schemas.openxmlformats.org/officeDocument/2006/relationships/hyperlink" Target="https://www.sec.gov/Archives/edgar/data/1107843/000119312512401176/d415278d8a12b.htm" TargetMode="External"/><Relationship Id="rId4" Type="http://schemas.openxmlformats.org/officeDocument/2006/relationships/hyperlink" Target="https://www.sec.gov/Archives/edgar/data/1107843/000119312512388433/d355355dex41.htm" TargetMode="External"/><Relationship Id="rId5" Type="http://schemas.openxmlformats.org/officeDocument/2006/relationships/hyperlink" Target="https://www.sec.gov/Archives/edgar/data/1107843/000119312512388433/d355355dex33.htm" TargetMode="External"/><Relationship Id="rId6" Type="http://schemas.openxmlformats.org/officeDocument/2006/relationships/hyperlink" Target="https://www.sec.gov/Archives/edgar/data/1107843/000110784325000024/qlys-20250611xex31.htm" TargetMode="External"/><Relationship Id="rId7" Type="http://schemas.openxmlformats.org/officeDocument/2006/relationships/hyperlink" Target="https://www.sec.gov/Archives/edgar/data/1107843/000119312522275854/d374785dex31.htm" TargetMode="External"/><Relationship Id="rId8" Type="http://schemas.openxmlformats.org/officeDocument/2006/relationships/hyperlink" Target="https://www.sec.gov/Archives/edgar/data/1107843/000110784326000024/qlys-20260610xex101.htm" TargetMode="External"/><Relationship Id="rId9" Type="http://schemas.openxmlformats.org/officeDocument/2006/relationships/hyperlink" Target="https://www.sec.gov/Archives/edgar/data/1107843/000110784326000024/qlys-20260610xex101.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3044</Words>
  <Characters>16667</Characters>
  <CharactersWithSpaces>19618</CharactersWithSpaces>
  <Paragraphs>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