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04"/>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404"/>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30"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 OF THE</w:t>
      </w:r>
    </w:p>
    <w:p>
      <w:pPr>
        <w:jc w:val="center"/>
        <w:ind w:right="-1004"/>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225"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54"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52"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48"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256"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52" w:lineRule="exact"/>
        <w:rPr>
          <w:sz w:val="24"/>
          <w:szCs w:val="24"/>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52" w:lineRule="exact"/>
        <w:rPr>
          <w:sz w:val="24"/>
          <w:szCs w:val="24"/>
          <w:color w:val="auto"/>
        </w:rPr>
      </w:pPr>
    </w:p>
    <w:p>
      <w:pPr>
        <w:ind w:left="424" w:hanging="424"/>
        <w:spacing w:after="0"/>
        <w:tabs>
          <w:tab w:leader="none" w:pos="424"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§240.14a-2</w:t>
      </w:r>
    </w:p>
    <w:p>
      <w:pPr>
        <w:spacing w:after="0" w:line="196"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32"/>
          <w:szCs w:val="32"/>
          <w:b w:val="1"/>
          <w:bCs w:val="1"/>
          <w:color w:val="auto"/>
        </w:rPr>
        <w:t>QUALYS, INC.</w:t>
      </w:r>
    </w:p>
    <w:p>
      <w:pPr>
        <w:spacing w:after="0" w:line="45"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201" w:lineRule="exact"/>
        <w:rPr>
          <w:sz w:val="24"/>
          <w:szCs w:val="24"/>
          <w:color w:val="auto"/>
        </w:rPr>
      </w:pPr>
    </w:p>
    <w:p>
      <w:pPr>
        <w:ind w:left="2884"/>
        <w:spacing w:after="0"/>
        <w:rPr>
          <w:sz w:val="20"/>
          <w:szCs w:val="20"/>
          <w:color w:val="auto"/>
        </w:rPr>
      </w:pPr>
      <w:r>
        <w:rPr>
          <w:rFonts w:ascii="Times New Roman" w:cs="Times New Roman" w:eastAsia="Times New Roman" w:hAnsi="Times New Roman"/>
          <w:sz w:val="18"/>
          <w:szCs w:val="18"/>
          <w:b w:val="1"/>
          <w:bCs w:val="1"/>
          <w:color w:val="auto"/>
        </w:rPr>
        <w:t>(Name of Person(s) Filing Proxy Statement, if other than Registrant)</w:t>
      </w:r>
    </w:p>
    <w:p>
      <w:pPr>
        <w:spacing w:after="0" w:line="22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252" w:lineRule="exact"/>
        <w:rPr>
          <w:sz w:val="24"/>
          <w:szCs w:val="24"/>
          <w:color w:val="auto"/>
        </w:rPr>
      </w:pPr>
    </w:p>
    <w:p>
      <w:pPr>
        <w:ind w:left="424" w:hanging="424"/>
        <w:spacing w:after="0"/>
        <w:tabs>
          <w:tab w:leader="none" w:pos="424"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52" w:lineRule="exact"/>
        <w:rPr>
          <w:sz w:val="24"/>
          <w:szCs w:val="24"/>
          <w:color w:val="auto"/>
        </w:rPr>
      </w:pPr>
    </w:p>
    <w:p>
      <w:pPr>
        <w:ind w:left="424" w:hanging="424"/>
        <w:spacing w:after="0"/>
        <w:tabs>
          <w:tab w:leader="none" w:pos="424"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52" w:lineRule="exact"/>
        <w:rPr>
          <w:rFonts w:ascii="MS PGothic" w:cs="MS PGothic" w:eastAsia="MS PGothic" w:hAnsi="MS PGothic"/>
          <w:sz w:val="18"/>
          <w:szCs w:val="18"/>
          <w:color w:val="auto"/>
        </w:rPr>
      </w:pPr>
    </w:p>
    <w:p>
      <w:pPr>
        <w:ind w:left="424" w:hanging="424"/>
        <w:spacing w:after="0"/>
        <w:tabs>
          <w:tab w:leader="none" w:pos="424"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180340</wp:posOffset>
            </wp:positionV>
            <wp:extent cx="6995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222885</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23"/>
          </w:cols>
          <w:pgMar w:left="436" w:top="511" w:right="1440"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QUALYS, INC.</w:t>
      </w:r>
    </w:p>
    <w:p>
      <w:pPr>
        <w:spacing w:after="0" w:line="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919 East Hillsdale Boulevard, 4</w:t>
      </w:r>
      <w:r>
        <w:rPr>
          <w:rFonts w:ascii="Times New Roman" w:cs="Times New Roman" w:eastAsia="Times New Roman" w:hAnsi="Times New Roman"/>
          <w:sz w:val="15"/>
          <w:szCs w:val="15"/>
          <w:b w:val="1"/>
          <w:bCs w:val="1"/>
          <w:color w:val="auto"/>
        </w:rPr>
        <w:t>th</w:t>
      </w:r>
      <w:r>
        <w:rPr>
          <w:rFonts w:ascii="Times New Roman" w:cs="Times New Roman" w:eastAsia="Times New Roman" w:hAnsi="Times New Roman"/>
          <w:sz w:val="18"/>
          <w:szCs w:val="18"/>
          <w:b w:val="1"/>
          <w:bCs w:val="1"/>
          <w:color w:val="auto"/>
        </w:rPr>
        <w:t xml:space="preserve"> Floor</w:t>
      </w:r>
    </w:p>
    <w:p>
      <w:pPr>
        <w:spacing w:after="0" w:line="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Foster City, California 94404</w:t>
      </w:r>
    </w:p>
    <w:p>
      <w:pPr>
        <w:spacing w:after="0" w:line="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AMENDED NOTICE OF ANNUAL MEETING OF STOCKHOLDERS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To Be Held at 11:00 a.m. Pacific Daylight Time on Wednesday, June 8, 2022</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HOLDERS OF COMMON STOCK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QUALYS, INC.:</w:t>
      </w:r>
    </w:p>
    <w:p>
      <w:pPr>
        <w:spacing w:after="0" w:line="95" w:lineRule="exact"/>
        <w:rPr>
          <w:sz w:val="20"/>
          <w:szCs w:val="20"/>
          <w:color w:val="auto"/>
        </w:rPr>
      </w:pPr>
    </w:p>
    <w:p>
      <w:pPr>
        <w:ind w:right="280" w:firstLine="440"/>
        <w:spacing w:after="0" w:line="286" w:lineRule="auto"/>
        <w:rPr>
          <w:sz w:val="20"/>
          <w:szCs w:val="20"/>
          <w:color w:val="auto"/>
        </w:rPr>
      </w:pPr>
      <w:r>
        <w:rPr>
          <w:rFonts w:ascii="Times New Roman" w:cs="Times New Roman" w:eastAsia="Times New Roman" w:hAnsi="Times New Roman"/>
          <w:sz w:val="18"/>
          <w:szCs w:val="18"/>
          <w:color w:val="auto"/>
        </w:rPr>
        <w:t xml:space="preserve">The 2022 Annual Meeting of Stockholders of Qualys, Inc., a Delaware corporation, will be held online on </w:t>
      </w:r>
      <w:r>
        <w:rPr>
          <w:rFonts w:ascii="Times New Roman" w:cs="Times New Roman" w:eastAsia="Times New Roman" w:hAnsi="Times New Roman"/>
          <w:sz w:val="18"/>
          <w:szCs w:val="18"/>
          <w:b w:val="1"/>
          <w:bCs w:val="1"/>
          <w:color w:val="auto"/>
        </w:rPr>
        <w:t>Wednesday, June 8, 2022, at 11:00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a.m. Pacific Daylight Time</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52705</wp:posOffset>
            </wp:positionV>
            <wp:extent cx="7012305" cy="7454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12305" cy="745490"/>
                    </a:xfrm>
                    <a:prstGeom prst="rect">
                      <a:avLst/>
                    </a:prstGeom>
                    <a:noFill/>
                  </pic:spPr>
                </pic:pic>
              </a:graphicData>
            </a:graphic>
          </wp:anchor>
        </w:drawing>
      </w:r>
    </w:p>
    <w:p>
      <w:pPr>
        <w:spacing w:after="0" w:line="7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Stockholders may participate in the meeting only by logging in at:</w:t>
      </w:r>
    </w:p>
    <w:p>
      <w:pPr>
        <w:spacing w:after="0" w:line="127"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8"/>
          <w:szCs w:val="18"/>
          <w:b w:val="1"/>
          <w:bCs w:val="1"/>
          <w:u w:val="single" w:color="auto"/>
          <w:color w:val="auto"/>
        </w:rPr>
        <w:t>www.virtualshareholdermeeting.com/QLYS2022</w:t>
      </w:r>
    </w:p>
    <w:p>
      <w:pPr>
        <w:spacing w:after="0" w:line="13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Stockholders will be able to listen to the meeting live, vote and submit questions. There will be no physical location for stockholders to attend the</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meeting.</w:t>
      </w:r>
    </w:p>
    <w:p>
      <w:pPr>
        <w:spacing w:after="0" w:line="13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annual meeting will be held for the following purposes:</w:t>
      </w:r>
    </w:p>
    <w:p>
      <w:pPr>
        <w:spacing w:after="0" w:line="131" w:lineRule="exact"/>
        <w:rPr>
          <w:sz w:val="20"/>
          <w:szCs w:val="20"/>
          <w:color w:val="auto"/>
        </w:rPr>
      </w:pPr>
    </w:p>
    <w:p>
      <w:pPr>
        <w:ind w:left="960" w:hanging="532"/>
        <w:spacing w:after="0"/>
        <w:tabs>
          <w:tab w:leader="none" w:pos="96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elect two Class I directors to serve until the 2025 annual meeting of stockholders or until their successors are duly elected and qualified;</w:t>
      </w:r>
    </w:p>
    <w:p>
      <w:pPr>
        <w:spacing w:after="0" w:line="142" w:lineRule="exact"/>
        <w:rPr>
          <w:rFonts w:ascii="Times New Roman" w:cs="Times New Roman" w:eastAsia="Times New Roman" w:hAnsi="Times New Roman"/>
          <w:sz w:val="17"/>
          <w:szCs w:val="17"/>
          <w:color w:val="auto"/>
        </w:rPr>
      </w:pPr>
    </w:p>
    <w:p>
      <w:pPr>
        <w:ind w:left="960" w:right="760" w:hanging="532"/>
        <w:spacing w:after="0" w:line="282" w:lineRule="auto"/>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appointment of Grant Thornton LLP as our independent registered public accounting firm for our fiscal year ending December 31, 2022;</w:t>
      </w:r>
    </w:p>
    <w:p>
      <w:pPr>
        <w:spacing w:after="0" w:line="67"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on an advisory and non-binding basis, the compensation of our named executive officers as described in the proxy statement;</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the Qualys, Inc. 2012 Equity Incentive Plan, as amended, restated and extended;</w:t>
      </w:r>
    </w:p>
    <w:p>
      <w:pPr>
        <w:spacing w:after="0" w:line="130" w:lineRule="exact"/>
        <w:rPr>
          <w:rFonts w:ascii="Times New Roman" w:cs="Times New Roman" w:eastAsia="Times New Roman" w:hAnsi="Times New Roman"/>
          <w:sz w:val="18"/>
          <w:szCs w:val="18"/>
          <w:color w:val="auto"/>
        </w:rPr>
      </w:pPr>
    </w:p>
    <w:p>
      <w:pPr>
        <w:ind w:left="960" w:right="760" w:hanging="532"/>
        <w:spacing w:after="0" w:line="282" w:lineRule="auto"/>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indicate, on an advisory and non-binding basis, the preferred frequency of future stockholder advisory votes on approving the compensation of our named executive officers; and</w:t>
      </w:r>
    </w:p>
    <w:p>
      <w:pPr>
        <w:spacing w:after="0" w:line="67"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transact such other business as may properly come before the meeting or any adjournments or postponements thereof.</w:t>
      </w:r>
    </w:p>
    <w:p>
      <w:pPr>
        <w:spacing w:after="0" w:line="117" w:lineRule="exact"/>
        <w:rPr>
          <w:sz w:val="20"/>
          <w:szCs w:val="20"/>
          <w:color w:val="auto"/>
        </w:rPr>
      </w:pPr>
    </w:p>
    <w:p>
      <w:pPr>
        <w:ind w:right="240" w:firstLine="440"/>
        <w:spacing w:after="0" w:line="261" w:lineRule="auto"/>
        <w:rPr>
          <w:sz w:val="20"/>
          <w:szCs w:val="20"/>
          <w:color w:val="auto"/>
        </w:rPr>
      </w:pPr>
      <w:r>
        <w:rPr>
          <w:rFonts w:ascii="Times New Roman" w:cs="Times New Roman" w:eastAsia="Times New Roman" w:hAnsi="Times New Roman"/>
          <w:sz w:val="18"/>
          <w:szCs w:val="18"/>
          <w:color w:val="auto"/>
        </w:rPr>
        <w:t>The accompanying proxy statement supplement contains additional information related to the new Proposal No. 5 to be considered by stockholders at the annual meeting. However, the proxy statement supplement does not include all of the information provided in connection with the annual meeting. Accordingly, we urge you to read the proxy statement supplement in its entirety together with the proxy statement and other proxy materials.</w:t>
      </w:r>
    </w:p>
    <w:p>
      <w:pPr>
        <w:spacing w:after="0" w:line="72" w:lineRule="exact"/>
        <w:rPr>
          <w:sz w:val="20"/>
          <w:szCs w:val="20"/>
          <w:color w:val="auto"/>
        </w:rPr>
      </w:pPr>
    </w:p>
    <w:p>
      <w:pPr>
        <w:jc w:val="both"/>
        <w:ind w:right="240" w:firstLine="440"/>
        <w:spacing w:after="0" w:line="266" w:lineRule="auto"/>
        <w:rPr>
          <w:sz w:val="20"/>
          <w:szCs w:val="20"/>
          <w:color w:val="auto"/>
        </w:rPr>
      </w:pPr>
      <w:r>
        <w:rPr>
          <w:rFonts w:ascii="Times New Roman" w:cs="Times New Roman" w:eastAsia="Times New Roman" w:hAnsi="Times New Roman"/>
          <w:sz w:val="18"/>
          <w:szCs w:val="18"/>
          <w:color w:val="auto"/>
        </w:rPr>
        <w:t>The board of directors of Qualys, Inc. has fixed the close of business on April 11, 2022 as the record date for the meeting. Only stockholders of record of our common stock on April 11, 2022 are entitled to notice of and to vote at the meeting. Further information regarding voting rights and the matters to be voted upon is presented in the proxy statement and accompanying proxy statement supplement.</w:t>
      </w:r>
    </w:p>
    <w:p>
      <w:pPr>
        <w:spacing w:after="0" w:line="64" w:lineRule="exact"/>
        <w:rPr>
          <w:sz w:val="20"/>
          <w:szCs w:val="20"/>
          <w:color w:val="auto"/>
        </w:rPr>
      </w:pPr>
    </w:p>
    <w:p>
      <w:pPr>
        <w:ind w:right="180" w:firstLine="440"/>
        <w:spacing w:after="0" w:line="259" w:lineRule="auto"/>
        <w:rPr>
          <w:sz w:val="20"/>
          <w:szCs w:val="20"/>
          <w:color w:val="auto"/>
        </w:rPr>
      </w:pPr>
      <w:r>
        <w:rPr>
          <w:rFonts w:ascii="Times New Roman" w:cs="Times New Roman" w:eastAsia="Times New Roman" w:hAnsi="Times New Roman"/>
          <w:sz w:val="18"/>
          <w:szCs w:val="18"/>
          <w:color w:val="auto"/>
        </w:rPr>
        <w:t>On or about April 21, 2022, we began mailing to our stockholders a Notice of Internet Availability of Proxy Materials (the “</w:t>
      </w:r>
      <w:r>
        <w:rPr>
          <w:rFonts w:ascii="Times New Roman" w:cs="Times New Roman" w:eastAsia="Times New Roman" w:hAnsi="Times New Roman"/>
          <w:sz w:val="18"/>
          <w:szCs w:val="18"/>
          <w:b w:val="1"/>
          <w:bCs w:val="1"/>
          <w:color w:val="auto"/>
        </w:rPr>
        <w:t>Notice</w:t>
      </w:r>
      <w:r>
        <w:rPr>
          <w:rFonts w:ascii="Times New Roman" w:cs="Times New Roman" w:eastAsia="Times New Roman" w:hAnsi="Times New Roman"/>
          <w:sz w:val="18"/>
          <w:szCs w:val="18"/>
          <w:color w:val="auto"/>
        </w:rPr>
        <w:t xml:space="preserve">”) containing instructions on how to access the proxy statement for the 2022 annual meeting and our 2021 annual report to stockholders. The Notice provides instructions on how to vote online or by telephone and includes instructions on how to receive a paper copy of proxy materials by mail. The proxy statement, the proxy statement supplement and our annual report can also be accessed directly at </w:t>
      </w:r>
      <w:r>
        <w:rPr>
          <w:rFonts w:ascii="Times New Roman" w:cs="Times New Roman" w:eastAsia="Times New Roman" w:hAnsi="Times New Roman"/>
          <w:sz w:val="18"/>
          <w:szCs w:val="18"/>
          <w:b w:val="1"/>
          <w:bCs w:val="1"/>
          <w:u w:val="single" w:color="auto"/>
          <w:color w:val="auto"/>
        </w:rPr>
        <w:t>www.proxyvote.com</w:t>
      </w:r>
      <w:r>
        <w:rPr>
          <w:rFonts w:ascii="Times New Roman" w:cs="Times New Roman" w:eastAsia="Times New Roman" w:hAnsi="Times New Roman"/>
          <w:sz w:val="18"/>
          <w:szCs w:val="18"/>
          <w:color w:val="auto"/>
        </w:rPr>
        <w:t>. All you have to do is enter the control number located on the Notice or your proxy card.</w:t>
      </w:r>
    </w:p>
    <w:p>
      <w:pPr>
        <w:spacing w:after="0" w:line="71" w:lineRule="exact"/>
        <w:rPr>
          <w:sz w:val="20"/>
          <w:szCs w:val="20"/>
          <w:color w:val="auto"/>
        </w:rPr>
      </w:pPr>
    </w:p>
    <w:p>
      <w:pPr>
        <w:ind w:right="24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YOUR VOTE IS IMPORTANT. Whether or not you plan to participate in the annual meeting, we urge you to submit your vote via the Internet, telephone or mail in advance of the meeting.</w:t>
      </w:r>
    </w:p>
    <w:p>
      <w:pPr>
        <w:spacing w:after="0" w:line="5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 appreciate your continued support of Qualys, Inc.</w:t>
      </w:r>
    </w:p>
    <w:p>
      <w:pPr>
        <w:spacing w:after="0" w:line="13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Sumedh Thakar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Sumedh Thakar</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i w:val="1"/>
          <w:iCs w:val="1"/>
          <w:color w:val="auto"/>
        </w:rPr>
        <w:t>Director, President and Chief Executive Officer</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Foster City, California</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May 3, 2022</w:t>
      </w:r>
    </w:p>
    <w:p>
      <w:pPr>
        <w:sectPr>
          <w:pgSz w:w="11900" w:h="16838" w:orient="portrait"/>
          <w:cols w:equalWidth="0" w:num="1">
            <w:col w:w="11000"/>
          </w:cols>
          <w:pgMar w:left="440" w:top="266" w:right="459" w:bottom="1440" w:gutter="0" w:footer="0" w:header="0"/>
        </w:sectPr>
      </w:pPr>
    </w:p>
    <w:bookmarkStart w:id="2" w:name="page3"/>
    <w:bookmarkEnd w:id="2"/>
    <w:p>
      <w:pPr>
        <w:spacing w:after="0" w:line="2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886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78867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117" w:lineRule="exact"/>
        <w:rPr>
          <w:sz w:val="20"/>
          <w:szCs w:val="20"/>
          <w:color w:val="auto"/>
        </w:rPr>
      </w:pPr>
    </w:p>
    <w:p>
      <w:pPr>
        <w:ind w:right="100" w:firstLine="440"/>
        <w:spacing w:after="0" w:line="254" w:lineRule="auto"/>
        <w:rPr>
          <w:sz w:val="20"/>
          <w:szCs w:val="20"/>
          <w:color w:val="auto"/>
        </w:rPr>
      </w:pPr>
      <w:r>
        <w:rPr>
          <w:rFonts w:ascii="Times New Roman" w:cs="Times New Roman" w:eastAsia="Times New Roman" w:hAnsi="Times New Roman"/>
          <w:sz w:val="18"/>
          <w:szCs w:val="18"/>
          <w:color w:val="auto"/>
        </w:rPr>
        <w:t>On April 21, 2022, Qualys, Inc. (“</w:t>
      </w:r>
      <w:r>
        <w:rPr>
          <w:rFonts w:ascii="Times New Roman" w:cs="Times New Roman" w:eastAsia="Times New Roman" w:hAnsi="Times New Roman"/>
          <w:sz w:val="18"/>
          <w:szCs w:val="18"/>
          <w:b w:val="1"/>
          <w:bCs w:val="1"/>
          <w:color w:val="auto"/>
        </w:rPr>
        <w:t>we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Qualys</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filed with the Securities and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a Definitive Proxy Statement on Schedule 14A (the “</w:t>
      </w:r>
      <w:r>
        <w:rPr>
          <w:rFonts w:ascii="Times New Roman" w:cs="Times New Roman" w:eastAsia="Times New Roman" w:hAnsi="Times New Roman"/>
          <w:sz w:val="18"/>
          <w:szCs w:val="18"/>
          <w:b w:val="1"/>
          <w:bCs w:val="1"/>
          <w:color w:val="auto"/>
        </w:rPr>
        <w:t>Proxy Statement</w:t>
      </w:r>
      <w:r>
        <w:rPr>
          <w:rFonts w:ascii="Times New Roman" w:cs="Times New Roman" w:eastAsia="Times New Roman" w:hAnsi="Times New Roman"/>
          <w:sz w:val="18"/>
          <w:szCs w:val="18"/>
          <w:color w:val="auto"/>
        </w:rPr>
        <w:t>”) and the related proxy card (the “</w:t>
      </w:r>
      <w:r>
        <w:rPr>
          <w:rFonts w:ascii="Times New Roman" w:cs="Times New Roman" w:eastAsia="Times New Roman" w:hAnsi="Times New Roman"/>
          <w:sz w:val="18"/>
          <w:szCs w:val="18"/>
          <w:b w:val="1"/>
          <w:bCs w:val="1"/>
          <w:color w:val="auto"/>
        </w:rPr>
        <w:t>Proxy Card</w:t>
      </w:r>
      <w:r>
        <w:rPr>
          <w:rFonts w:ascii="Times New Roman" w:cs="Times New Roman" w:eastAsia="Times New Roman" w:hAnsi="Times New Roman"/>
          <w:sz w:val="18"/>
          <w:szCs w:val="18"/>
          <w:color w:val="auto"/>
        </w:rPr>
        <w:t>”) for the Company’s 2022 Annual Meeting of Stockholders, to be held online on June 8, 2022 (together with any adjournment or postponement thereof, the “</w:t>
      </w:r>
      <w:r>
        <w:rPr>
          <w:rFonts w:ascii="Times New Roman" w:cs="Times New Roman" w:eastAsia="Times New Roman" w:hAnsi="Times New Roman"/>
          <w:sz w:val="18"/>
          <w:szCs w:val="18"/>
          <w:b w:val="1"/>
          <w:bCs w:val="1"/>
          <w:color w:val="auto"/>
        </w:rPr>
        <w:t>Annual Meeting</w:t>
      </w:r>
      <w:r>
        <w:rPr>
          <w:rFonts w:ascii="Times New Roman" w:cs="Times New Roman" w:eastAsia="Times New Roman" w:hAnsi="Times New Roman"/>
          <w:sz w:val="18"/>
          <w:szCs w:val="18"/>
          <w:color w:val="auto"/>
        </w:rPr>
        <w:t>”). This supplement to the Proxy Statement and Proxy Card is being filed to add a new proposal (the “</w:t>
      </w:r>
      <w:r>
        <w:rPr>
          <w:rFonts w:ascii="Times New Roman" w:cs="Times New Roman" w:eastAsia="Times New Roman" w:hAnsi="Times New Roman"/>
          <w:sz w:val="18"/>
          <w:szCs w:val="18"/>
          <w:b w:val="1"/>
          <w:bCs w:val="1"/>
          <w:color w:val="auto"/>
        </w:rPr>
        <w:t>Say When On Pay Proposal</w:t>
      </w:r>
      <w:r>
        <w:rPr>
          <w:rFonts w:ascii="Times New Roman" w:cs="Times New Roman" w:eastAsia="Times New Roman" w:hAnsi="Times New Roman"/>
          <w:sz w:val="18"/>
          <w:szCs w:val="18"/>
          <w:color w:val="auto"/>
        </w:rPr>
        <w:t>”) that is soliciting a non-binding, advisory vote from the Company’s stockholders on the frequency with which the Company’s stockholders shall have an advisory say-on-pay vote on the compensation of the Company’s named executive officers. The Say When On Pay Proposal was inadvertently omitted from the Proxy Statement and Proxy Card when originally filed with the SEC, and this filing corrects that omission. Other than the addition of the Say When On Pay Proposal to the Proxy Statement, Proxy Card and Notice of Annual Meeting of Stockholders, no other changes have been made to the Proxy Statement or the Proxy Card, and they continue to be in full force and effect as originally filed and continue to seek the vote of the Company’s stockholders for all proposals to be voted on at the Annual Meeting.</w:t>
      </w:r>
    </w:p>
    <w:p>
      <w:pPr>
        <w:spacing w:after="0" w:line="189" w:lineRule="exact"/>
        <w:rPr>
          <w:sz w:val="20"/>
          <w:szCs w:val="20"/>
          <w:color w:val="auto"/>
        </w:rPr>
      </w:pPr>
    </w:p>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t>The supplement should be read together with the Proxy Statement, which should be read in its entirety. Capitalized terms used but not otherwise defined in this supplement have the meanings ascribed to them in the Proxy Statement.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2022 PROXY STATEMENT SUPPLEMENT</w:t>
      </w:r>
    </w:p>
    <w:p>
      <w:pPr>
        <w:spacing w:after="0" w:line="117"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This Proxy Statement supplement (this “</w:t>
      </w:r>
      <w:r>
        <w:rPr>
          <w:rFonts w:ascii="Times New Roman" w:cs="Times New Roman" w:eastAsia="Times New Roman" w:hAnsi="Times New Roman"/>
          <w:sz w:val="18"/>
          <w:szCs w:val="18"/>
          <w:b w:val="1"/>
          <w:bCs w:val="1"/>
          <w:color w:val="auto"/>
        </w:rPr>
        <w:t>Supplement</w:t>
      </w:r>
      <w:r>
        <w:rPr>
          <w:rFonts w:ascii="Times New Roman" w:cs="Times New Roman" w:eastAsia="Times New Roman" w:hAnsi="Times New Roman"/>
          <w:sz w:val="18"/>
          <w:szCs w:val="18"/>
          <w:color w:val="auto"/>
        </w:rPr>
        <w:t>”) relates to the solicitation of proxies by our board of directors for use at the Annual Meeting. This Supplement supplements and amends the Proxy Statement for the Annual Meeting to (i) add a new Proposal No. 5 to the Proxy Statement that provides for a non-binding, advisory vote of the Company’s stockholders on the frequency with which the Company’s stockholders shall have an advisory vote to approve the compensation of our named executive officers (“</w:t>
      </w:r>
      <w:r>
        <w:rPr>
          <w:rFonts w:ascii="Times New Roman" w:cs="Times New Roman" w:eastAsia="Times New Roman" w:hAnsi="Times New Roman"/>
          <w:sz w:val="18"/>
          <w:szCs w:val="18"/>
          <w:b w:val="1"/>
          <w:bCs w:val="1"/>
          <w:color w:val="auto"/>
        </w:rPr>
        <w:t>Proposal No. 5</w:t>
      </w:r>
      <w:r>
        <w:rPr>
          <w:rFonts w:ascii="Times New Roman" w:cs="Times New Roman" w:eastAsia="Times New Roman" w:hAnsi="Times New Roman"/>
          <w:sz w:val="18"/>
          <w:szCs w:val="18"/>
          <w:color w:val="auto"/>
        </w:rPr>
        <w:t>”), and (ii) update the Notice of the Annual Meeting to add the new Proposal No. 5. This Supplement and a revised proxy card are being distributed or made available to stockholders beginning on or about May 3, 2022. This Supplement does not provide all of the information that you should read and consider before voting on all of the proposals that are being presented to stockholders for their vote at the Annual Meeting. Additional information is contained in the Proxy Statement. To the extent that the information in this Supplement differs from, updates or conflicts with the information contained in the Proxy Statement, the information in this Supplement shall amend and supersede the information in the Proxy Statement. Except as so amended or superseded, all information set forth in the Proxy Statement remains unchanged and important for your consideration before voting. Accordingly, we encourage you to read this Supplement carefully and in its entirety, together with the Proxy Statement.</w:t>
      </w:r>
    </w:p>
    <w:p>
      <w:pPr>
        <w:spacing w:after="0" w:line="186"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Proposal No. 5 is a “non-routine” matter. Accordingly, if you hold shares beneficially in street name and do not provide your broker with voting instructions as to Proposal No. 5, your shares may constitute “broker non-votes” as to Proposal No. 5. Broker non-votes occur on a matter when a broker is not permitted to vote on that matter without instructions from the beneficial owner and instructions are not given.</w:t>
      </w:r>
    </w:p>
    <w:p>
      <w:pPr>
        <w:spacing w:after="0" w:line="176"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With respect to Proposal No. 5, your vote may be cast for “1 YEAR,” “2 YEARS” or “3 YEARS” or “ABSTAIN.” A vote to “ABSTAIN” and broker non-votes will have no effect on the vote. The choice receiving the most votes cast by stockholders present virtually or represented by proxy and entitled to vote on the matter will be deemed to be the frequency preferred by the stockholders.</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00"/>
          </w:cols>
          <w:pgMar w:left="440" w:top="1440" w:right="459" w:bottom="1440" w:gutter="0" w:footer="0" w:header="0"/>
        </w:sectPr>
      </w:pPr>
    </w:p>
    <w:bookmarkStart w:id="3" w:name="page4"/>
    <w:bookmarkEnd w:id="3"/>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PROPOSAL NO. 5</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ADVISORY VOTE ON FREQUENCY OF FUTURE ADVISORY VOTES</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ON NAMED EXECUTIVE OFFICER COMPENSATION</w:t>
      </w:r>
    </w:p>
    <w:p>
      <w:pPr>
        <w:spacing w:after="0" w:line="207"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The Dodd-Frank Act and Section 14A of the Exchange Act enable our stockholders to indicate their preference at least once every six years regarding how frequently we should solicit a non-binding advisory vote on the compensation of our named executive officers as disclosed in our proxy statement. Accordingly, we are asking our stockholders to indicate whether they would prefer an advisory vote every one, two or three years. Alternatively, stockholders may abstain from casting a vote.</w:t>
      </w:r>
    </w:p>
    <w:p>
      <w:pPr>
        <w:spacing w:after="0" w:line="180" w:lineRule="exact"/>
        <w:rPr>
          <w:sz w:val="20"/>
          <w:szCs w:val="20"/>
          <w:color w:val="auto"/>
        </w:rPr>
      </w:pPr>
    </w:p>
    <w:p>
      <w:pPr>
        <w:ind w:right="180" w:firstLine="440"/>
        <w:spacing w:after="0" w:line="261" w:lineRule="auto"/>
        <w:rPr>
          <w:sz w:val="20"/>
          <w:szCs w:val="20"/>
          <w:color w:val="auto"/>
        </w:rPr>
      </w:pPr>
      <w:r>
        <w:rPr>
          <w:rFonts w:ascii="Times New Roman" w:cs="Times New Roman" w:eastAsia="Times New Roman" w:hAnsi="Times New Roman"/>
          <w:sz w:val="18"/>
          <w:szCs w:val="18"/>
          <w:color w:val="auto"/>
        </w:rPr>
        <w:t>After considering the benefits and consequences of each alternative, our board of directors recommends that the advisory vote on the compensation of our named executive officers be submitted to the stockholders every year. In formulating its recommendation, our board of directors considered that compensation decisions are made annually and that an annual advisory vote on executive compensation will allow stockholders to provide more frequent and direct input on our compensation philosophy, policies and practices.</w:t>
      </w:r>
    </w:p>
    <w:p>
      <w:pPr>
        <w:spacing w:after="0" w:line="180"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While our board of directors believes that its recommendation is appropriate at this time, the stockholders are not voting to approve or disapprove that recommendation, but are instead asked to indicate their preference, on an advisory basis, as to whether the non-binding advisory vote on the approval of our named executive officer compensation should be held every year, every two years or every three years.</w:t>
      </w:r>
    </w:p>
    <w:p>
      <w:pPr>
        <w:spacing w:after="0" w:line="176"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Our board of directors and our compensation committee value the opinions of our stockholders in this matter and, to the extent there is any significant vote in favor of one time period over another, will take into account the outcome of this vote when making future decisions regarding the frequency of holding future advisory votes on the compensation of our named executive officers. However, because this is an advisory vote and, therefore, not binding on our board of directors or the Company, our board of directors may decide that it is in the best interests of our stockholders that we hold an advisory vote on the compensation of our named executive officers more or less frequently than the option preferred by our stockholders. The results of the vote will not be construed to create or imply any change or addition to the fiduciary duties of our board of directors.</w:t>
      </w:r>
    </w:p>
    <w:p>
      <w:pPr>
        <w:spacing w:after="0" w:line="39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THE BOARD OF DIRECTORS RECOMMENDS A VOTE TO HOLD FUTURE ADVISORY VOTES</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ON NAMED EXECUTIVE OFFICER COMPENSATION EVERY “1 YEAR”.</w:t>
      </w:r>
    </w:p>
    <w:p>
      <w:pPr>
        <w:spacing w:after="0" w:line="13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20"/>
          </w:cols>
          <w:pgMar w:left="440" w:top="266" w:right="539" w:bottom="1440" w:gutter="0" w:footer="0" w:header="0"/>
        </w:sectPr>
      </w:pPr>
    </w:p>
    <w:bookmarkStart w:id="4" w:name="page5"/>
    <w:bookmarkEnd w:id="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87439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8743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87439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8743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83235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83235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83235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832358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2022-05-03T05:32:21Z</dcterms:created>
  <dcterms:modified xsi:type="dcterms:W3CDTF">2022-05-03T05:32:21Z</dcterms:modified>
</cp:coreProperties>
</file>