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271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Thakar Sumedh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QUALYS,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919 E. HILLSDALE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QUALYS,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QLYS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25"/>
        <w:spacing w:after="0"/>
        <w:rPr>
          <w:sz w:val="20"/>
          <w:szCs w:val="20"/>
          <w:color w:val="auto"/>
        </w:rPr>
      </w:pPr>
      <w:r>
        <w:rPr>
          <w:rFonts w:ascii="Times New Roman" w:cs="Times New Roman" w:eastAsia="Times New Roman" w:hAnsi="Times New Roman"/>
          <w:sz w:val="17"/>
          <w:szCs w:val="17"/>
          <w:color w:val="0000FF"/>
        </w:rPr>
        <w:t>CEO &amp; PRESIDENT</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60" w:type="dxa"/>
            <w:vAlign w:val="bottom"/>
            <w:gridSpan w:val="3"/>
          </w:tcPr>
          <w:p>
            <w:pPr>
              <w:jc w:val="center"/>
              <w:ind w:right="1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02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4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2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16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102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112.075</w:t>
            </w:r>
            <w:r>
              <w:rPr>
                <w:rFonts w:ascii="Times New Roman" w:cs="Times New Roman" w:eastAsia="Times New Roman" w:hAnsi="Times New Roman"/>
                <w:sz w:val="22"/>
                <w:szCs w:val="22"/>
                <w:color w:val="008000"/>
                <w:w w:val="95"/>
                <w:vertAlign w:val="superscript"/>
              </w:rPr>
              <w:t>(2)</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249,686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114.3107</w:t>
            </w:r>
            <w:r>
              <w:rPr>
                <w:rFonts w:ascii="Times New Roman" w:cs="Times New Roman" w:eastAsia="Times New Roman" w:hAnsi="Times New Roman"/>
                <w:sz w:val="22"/>
                <w:szCs w:val="22"/>
                <w:color w:val="008000"/>
                <w:w w:val="95"/>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248,186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115.6587</w:t>
            </w:r>
            <w:r>
              <w:rPr>
                <w:rFonts w:ascii="Times New Roman" w:cs="Times New Roman" w:eastAsia="Times New Roman" w:hAnsi="Times New Roman"/>
                <w:sz w:val="22"/>
                <w:szCs w:val="22"/>
                <w:color w:val="008000"/>
                <w:w w:val="95"/>
                <w:vertAlign w:val="superscript"/>
              </w:rPr>
              <w:t>(4)</w:t>
            </w:r>
          </w:p>
        </w:tc>
        <w:tc>
          <w:tcPr>
            <w:tcW w:w="10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246,686</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transaction reported in this Form 4 was effected pursuant to a Rule 10b5-1 trading plan adopted by the Reporting Person on February 27, 2026.</w:t>
      </w:r>
    </w:p>
    <w:p>
      <w:pPr>
        <w:spacing w:after="0" w:line="50"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$112.05 to $112.10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$114.03 to $114.58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7" w:lineRule="exact"/>
        <w:rPr>
          <w:rFonts w:ascii="Times New Roman" w:cs="Times New Roman" w:eastAsia="Times New Roman" w:hAnsi="Times New Roman"/>
          <w:sz w:val="13"/>
          <w:szCs w:val="13"/>
          <w:color w:val="008000"/>
        </w:rPr>
      </w:pPr>
    </w:p>
    <w:p>
      <w:pPr>
        <w:ind w:left="40" w:right="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price represents the weighted average price of the shares sold ranging from $115.28 to $116.05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2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06/16/2026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for Sumedh S. Thakar</w:t>
            </w:r>
          </w:p>
        </w:tc>
        <w:tc>
          <w:tcPr>
            <w:tcW w:w="2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40" w:type="dxa"/>
            <w:vAlign w:val="bottom"/>
          </w:tcPr>
          <w:p>
            <w:pPr>
              <w:spacing w:after="0"/>
              <w:rPr>
                <w:sz w:val="20"/>
                <w:szCs w:val="20"/>
                <w:color w:val="auto"/>
              </w:rPr>
            </w:pPr>
          </w:p>
        </w:tc>
        <w:tc>
          <w:tcPr>
            <w:tcW w:w="840" w:type="dxa"/>
            <w:vAlign w:val="bottom"/>
            <w:gridSpan w:val="3"/>
          </w:tcPr>
          <w:p>
            <w:pPr>
              <w:ind w:left="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8242"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2026-06-16T15:23:41Z</dcterms:created>
  <dcterms:modified xsi:type="dcterms:W3CDTF">2026-06-16T15:23:41Z</dcterms:modified>
</cp:coreProperties>
</file>