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UNITED STATES</w:t>
      </w:r>
    </w:p>
    <w:p>
      <w:pPr>
        <w:jc w:val="center"/>
        <w:ind w:right="-23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FORM 10-Q</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205" w:lineRule="exact"/>
        <w:rPr>
          <w:sz w:val="24"/>
          <w:szCs w:val="24"/>
          <w:color w:val="auto"/>
        </w:rPr>
      </w:pPr>
    </w:p>
    <w:p>
      <w:pPr>
        <w:ind w:left="3840" w:right="3600" w:hanging="3832"/>
        <w:spacing w:after="0" w:line="544" w:lineRule="auto"/>
        <w:tabs>
          <w:tab w:leader="none" w:pos="34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spacing w:after="0" w:line="3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239"/>
        <w:spacing w:after="0"/>
        <w:tabs>
          <w:tab w:leader="none" w:pos="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001-35662</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__________________</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QUALYS, INC.</w:t>
      </w:r>
    </w:p>
    <w:p>
      <w:pPr>
        <w:spacing w:after="0" w:line="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000"/>
          </w:cols>
          <w:pgMar w:left="320" w:top="719" w:right="579" w:bottom="1440" w:gutter="0" w:footer="0" w:header="0"/>
        </w:sectPr>
      </w:pPr>
    </w:p>
    <w:p>
      <w:pPr>
        <w:spacing w:after="0" w:line="207"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77-0534145</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28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060"/>
          </w:cols>
          <w:pgMar w:left="320" w:top="719" w:right="579" w:bottom="1440" w:gutter="0" w:footer="0" w:header="0"/>
          <w:type w:val="continuous"/>
        </w:sectPr>
      </w:pPr>
    </w:p>
    <w:p>
      <w:pPr>
        <w:spacing w:after="0" w:line="30" w:lineRule="exact"/>
        <w:rPr>
          <w:sz w:val="24"/>
          <w:szCs w:val="24"/>
          <w:color w:val="auto"/>
        </w:rPr>
      </w:pPr>
    </w:p>
    <w:p>
      <w:pPr>
        <w:ind w:left="3040"/>
        <w:spacing w:after="0"/>
        <w:rPr>
          <w:sz w:val="20"/>
          <w:szCs w:val="20"/>
          <w:color w:val="auto"/>
        </w:rPr>
      </w:pPr>
      <w:r>
        <w:rPr>
          <w:rFonts w:ascii="Arial" w:cs="Arial" w:eastAsia="Arial" w:hAnsi="Arial"/>
          <w:sz w:val="16"/>
          <w:szCs w:val="16"/>
          <w:b w:val="1"/>
          <w:bCs w:val="1"/>
          <w:color w:val="auto"/>
        </w:rPr>
        <w:t>919 E. Hillsdale Boulevard, 4th Floor, Foster City, California 94404</w:t>
      </w:r>
    </w:p>
    <w:p>
      <w:pPr>
        <w:spacing w:after="0" w:line="50" w:lineRule="exact"/>
        <w:rPr>
          <w:sz w:val="24"/>
          <w:szCs w:val="24"/>
          <w:color w:val="auto"/>
        </w:rPr>
      </w:pPr>
    </w:p>
    <w:p>
      <w:pPr>
        <w:ind w:left="3400"/>
        <w:spacing w:after="0"/>
        <w:rPr>
          <w:sz w:val="20"/>
          <w:szCs w:val="20"/>
          <w:color w:val="auto"/>
        </w:rPr>
      </w:pPr>
      <w:r>
        <w:rPr>
          <w:rFonts w:ascii="Arial" w:cs="Arial" w:eastAsia="Arial" w:hAnsi="Arial"/>
          <w:sz w:val="17"/>
          <w:szCs w:val="17"/>
          <w:b w:val="1"/>
          <w:bCs w:val="1"/>
          <w:color w:val="auto"/>
        </w:rPr>
        <w:t>(Address of principal executive offices, including zip code)</w:t>
      </w:r>
    </w:p>
    <w:p>
      <w:pPr>
        <w:spacing w:after="0" w:line="21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(650) 801-6100</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00"/>
          </w:cols>
          <w:pgMar w:left="320" w:top="719" w:right="579" w:bottom="1440" w:gutter="0" w:footer="0" w:header="0"/>
          <w:type w:val="continuous"/>
        </w:sectPr>
      </w:pPr>
    </w:p>
    <w:p>
      <w:pPr>
        <w:spacing w:after="0" w:line="207"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QLYS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200" w:space="720"/>
            <w:col w:w="2020" w:space="720"/>
            <w:col w:w="3340"/>
          </w:cols>
          <w:pgMar w:left="320" w:top="719" w:right="579" w:bottom="1440" w:gutter="0" w:footer="0" w:header="0"/>
          <w:type w:val="continuous"/>
        </w:sectPr>
      </w:pPr>
    </w:p>
    <w:p>
      <w:pPr>
        <w:spacing w:after="0" w:line="11"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31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5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ind w:right="148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August 3, 2021 was 38,944,931.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719" w:right="5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6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938"/>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0" w:type="dxa"/>
            <w:vAlign w:val="bottom"/>
            <w:gridSpan w:val="4"/>
          </w:tcPr>
          <w:p>
            <w:pPr>
              <w:jc w:val="center"/>
              <w:ind w:right="2880"/>
              <w:spacing w:after="0"/>
              <w:rPr>
                <w:sz w:val="20"/>
                <w:szCs w:val="20"/>
                <w:color w:val="auto"/>
              </w:rPr>
            </w:pPr>
            <w:r>
              <w:rPr>
                <w:rFonts w:ascii="Arial" w:cs="Arial" w:eastAsia="Arial" w:hAnsi="Arial"/>
                <w:sz w:val="18"/>
                <w:szCs w:val="18"/>
                <w:b w:val="1"/>
                <w:bCs w:val="1"/>
                <w:color w:val="auto"/>
                <w:w w:val="90"/>
              </w:rPr>
              <w:t>Qualys, Inc.</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40" w:type="dxa"/>
            <w:vAlign w:val="bottom"/>
            <w:gridSpan w:val="6"/>
          </w:tcPr>
          <w:p>
            <w:pPr>
              <w:jc w:val="center"/>
              <w:ind w:right="2240"/>
              <w:spacing w:after="0"/>
              <w:rPr>
                <w:sz w:val="20"/>
                <w:szCs w:val="20"/>
                <w:color w:val="auto"/>
              </w:rPr>
            </w:pPr>
            <w:r>
              <w:rPr>
                <w:rFonts w:ascii="Arial" w:cs="Arial" w:eastAsia="Arial" w:hAnsi="Arial"/>
                <w:sz w:val="18"/>
                <w:szCs w:val="18"/>
                <w:b w:val="1"/>
                <w:bCs w:val="1"/>
                <w:color w:val="auto"/>
                <w:w w:val="98"/>
              </w:rPr>
              <w:t>TABLE OF CONTENTS</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gridSpan w:val="5"/>
          </w:tcPr>
          <w:p>
            <w:pPr>
              <w:ind w:left="1720"/>
              <w:spacing w:after="0"/>
              <w:rPr>
                <w:sz w:val="20"/>
                <w:szCs w:val="20"/>
                <w:color w:val="auto"/>
              </w:rPr>
            </w:pPr>
            <w:r>
              <w:rPr>
                <w:rFonts w:ascii="Arial" w:cs="Arial" w:eastAsia="Arial" w:hAnsi="Arial"/>
                <w:sz w:val="18"/>
                <w:szCs w:val="18"/>
                <w:color w:val="auto"/>
              </w:rPr>
              <w:t>Page</w:t>
            </w:r>
          </w:p>
        </w:tc>
      </w:tr>
      <w:tr>
        <w:trPr>
          <w:trHeight w:val="190"/>
        </w:trPr>
        <w:tc>
          <w:tcPr>
            <w:tcW w:w="8960" w:type="dxa"/>
            <w:vAlign w:val="bottom"/>
            <w:gridSpan w:val="19"/>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Risk Factor Summary</w:t>
              </w:r>
            </w:hyperlink>
          </w:p>
        </w:tc>
        <w:tc>
          <w:tcPr>
            <w:tcW w:w="1980" w:type="dxa"/>
            <w:vAlign w:val="bottom"/>
            <w:gridSpan w:val="4"/>
          </w:tcPr>
          <w:p>
            <w:pPr>
              <w:jc w:val="center"/>
              <w:ind w:left="1710"/>
              <w:spacing w:after="0" w:line="190"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00" w:type="dxa"/>
            <w:vAlign w:val="bottom"/>
          </w:tcPr>
          <w:p>
            <w:pPr>
              <w:spacing w:after="0"/>
              <w:rPr>
                <w:sz w:val="16"/>
                <w:szCs w:val="16"/>
                <w:color w:val="auto"/>
              </w:rPr>
            </w:pPr>
          </w:p>
        </w:tc>
      </w:tr>
      <w:tr>
        <w:trPr>
          <w:trHeight w:val="222"/>
        </w:trPr>
        <w:tc>
          <w:tcPr>
            <w:tcW w:w="80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20" w:type="dxa"/>
            <w:vAlign w:val="bottom"/>
            <w:gridSpan w:val="8"/>
          </w:tcPr>
          <w:p>
            <w:pPr>
              <w:jc w:val="center"/>
              <w:ind w:right="1460"/>
              <w:spacing w:after="0"/>
              <w:rPr>
                <w:sz w:val="20"/>
                <w:szCs w:val="20"/>
                <w:color w:val="auto"/>
              </w:rPr>
            </w:pPr>
            <w:r>
              <w:rPr>
                <w:rFonts w:ascii="Arial" w:cs="Arial" w:eastAsia="Arial" w:hAnsi="Arial"/>
                <w:sz w:val="18"/>
                <w:szCs w:val="18"/>
                <w:b w:val="1"/>
                <w:bCs w:val="1"/>
                <w:color w:val="auto"/>
              </w:rPr>
              <w:t>PART I – FINANCIAL INFORMATION</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8160" w:type="dxa"/>
            <w:vAlign w:val="bottom"/>
            <w:gridSpan w:val="18"/>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5220" w:type="dxa"/>
            <w:vAlign w:val="bottom"/>
            <w:gridSpan w:val="8"/>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1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1980" w:type="dxa"/>
            <w:vAlign w:val="bottom"/>
            <w:gridSpan w:val="4"/>
          </w:tcPr>
          <w:p>
            <w:pPr>
              <w:jc w:val="center"/>
              <w:ind w:left="1710"/>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3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6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w:t>
              </w:r>
            </w:hyperlink>
          </w:p>
        </w:tc>
        <w:tc>
          <w:tcPr>
            <w:tcW w:w="1980" w:type="dxa"/>
            <w:vAlign w:val="bottom"/>
            <w:gridSpan w:val="4"/>
          </w:tcPr>
          <w:p>
            <w:pPr>
              <w:jc w:val="center"/>
              <w:ind w:left="1710"/>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860" w:type="dxa"/>
            <w:vAlign w:val="bottom"/>
            <w:tcBorders>
              <w:top w:val="single" w:sz="8" w:color="0000EE"/>
            </w:tcBorders>
            <w:gridSpan w:val="4"/>
          </w:tcPr>
          <w:p>
            <w:pPr>
              <w:spacing w:after="0"/>
              <w:rPr>
                <w:sz w:val="17"/>
                <w:szCs w:val="17"/>
                <w:color w:val="auto"/>
              </w:rPr>
            </w:pPr>
          </w:p>
        </w:tc>
        <w:tc>
          <w:tcPr>
            <w:tcW w:w="3580" w:type="dxa"/>
            <w:vAlign w:val="bottom"/>
            <w:gridSpan w:val="2"/>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cente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4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Condensed Consolidated Statements of Stockholders' Equity</w:t>
              </w:r>
            </w:hyperlink>
          </w:p>
        </w:tc>
        <w:tc>
          <w:tcPr>
            <w:tcW w:w="3760" w:type="dxa"/>
            <w:vAlign w:val="bottom"/>
            <w:gridSpan w:val="3"/>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4160" w:type="dxa"/>
            <w:vAlign w:val="bottom"/>
            <w:gridSpan w:val="5"/>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16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22</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2100" w:type="dxa"/>
            <w:vAlign w:val="bottom"/>
            <w:tcBorders>
              <w:left w:val="single" w:sz="8" w:color="0000EE"/>
            </w:tcBorders>
            <w:gridSpan w:val="3"/>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gridSpan w:val="14"/>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100" w:type="dxa"/>
            <w:vAlign w:val="bottom"/>
            <w:gridSpan w:val="3"/>
          </w:tcPr>
          <w:p>
            <w:pPr>
              <w:spacing w:after="0"/>
              <w:rPr>
                <w:sz w:val="17"/>
                <w:szCs w:val="17"/>
                <w:color w:val="auto"/>
              </w:rPr>
            </w:pPr>
          </w:p>
        </w:tc>
        <w:tc>
          <w:tcPr>
            <w:tcW w:w="1700" w:type="dxa"/>
            <w:vAlign w:val="bottom"/>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31</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3800" w:type="dxa"/>
            <w:vAlign w:val="bottom"/>
            <w:tcBorders>
              <w:left w:val="single" w:sz="8" w:color="0000EE"/>
            </w:tcBorders>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360" w:type="dxa"/>
            <w:vAlign w:val="bottom"/>
            <w:gridSpan w:val="1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32</w:t>
              </w:r>
            </w:hyperlink>
          </w:p>
        </w:tc>
      </w:tr>
      <w:tr>
        <w:trPr>
          <w:trHeight w:val="222"/>
        </w:trPr>
        <w:tc>
          <w:tcPr>
            <w:tcW w:w="800" w:type="dxa"/>
            <w:vAlign w:val="bottom"/>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20" w:type="dxa"/>
            <w:vAlign w:val="bottom"/>
            <w:gridSpan w:val="8"/>
          </w:tcPr>
          <w:p>
            <w:pPr>
              <w:ind w:left="540"/>
              <w:spacing w:after="0"/>
              <w:rPr>
                <w:sz w:val="20"/>
                <w:szCs w:val="20"/>
                <w:color w:val="auto"/>
              </w:rPr>
            </w:pPr>
            <w:r>
              <w:rPr>
                <w:rFonts w:ascii="Arial" w:cs="Arial" w:eastAsia="Arial" w:hAnsi="Arial"/>
                <w:sz w:val="18"/>
                <w:szCs w:val="18"/>
                <w:b w:val="1"/>
                <w:bCs w:val="1"/>
                <w:color w:val="auto"/>
              </w:rPr>
              <w:t>PART II – OTHER INFORMATION</w:t>
            </w:r>
          </w:p>
        </w:tc>
        <w:tc>
          <w:tcPr>
            <w:tcW w:w="180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1320" w:type="dxa"/>
            <w:vAlign w:val="bottom"/>
            <w:gridSpan w:val="6"/>
          </w:tcPr>
          <w:p>
            <w:pPr>
              <w:spacing w:after="0" w:line="190"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Legal Proceedings</w:t>
              </w:r>
            </w:hyperlink>
          </w:p>
        </w:tc>
        <w:tc>
          <w:tcPr>
            <w:tcW w:w="6840" w:type="dxa"/>
            <w:vAlign w:val="bottom"/>
            <w:gridSpan w:val="12"/>
          </w:tcPr>
          <w:p>
            <w:pPr>
              <w:spacing w:after="0"/>
              <w:rPr>
                <w:sz w:val="16"/>
                <w:szCs w:val="16"/>
                <w:color w:val="auto"/>
              </w:rPr>
            </w:pPr>
          </w:p>
        </w:tc>
        <w:tc>
          <w:tcPr>
            <w:tcW w:w="2280" w:type="dxa"/>
            <w:vAlign w:val="bottom"/>
            <w:gridSpan w:val="5"/>
          </w:tcPr>
          <w:p>
            <w:pPr>
              <w:jc w:val="center"/>
              <w:ind w:left="1410"/>
              <w:spacing w:after="0" w:line="190"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32</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20" w:type="dxa"/>
            <w:vAlign w:val="bottom"/>
            <w:gridSpan w:val="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6840" w:type="dxa"/>
            <w:vAlign w:val="bottom"/>
            <w:gridSpan w:val="12"/>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32</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gridSpan w:val="14"/>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Unregistered Sales of Equity Securities and Use of Proceeds</w:t>
              </w:r>
            </w:hyperlink>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gridSpan w:val="1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gridSpan w:val="8"/>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Mine Safety Disclosures</w:t>
              </w:r>
            </w:hyperlink>
          </w:p>
        </w:tc>
        <w:tc>
          <w:tcPr>
            <w:tcW w:w="500" w:type="dxa"/>
            <w:vAlign w:val="bottom"/>
          </w:tcPr>
          <w:p>
            <w:pPr>
              <w:spacing w:after="0"/>
              <w:rPr>
                <w:sz w:val="17"/>
                <w:szCs w:val="17"/>
                <w:color w:val="auto"/>
              </w:rPr>
            </w:pPr>
          </w:p>
        </w:tc>
        <w:tc>
          <w:tcPr>
            <w:tcW w:w="5880" w:type="dxa"/>
            <w:vAlign w:val="bottom"/>
            <w:gridSpan w:val="9"/>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gridSpan w:val="6"/>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Other Information</w:t>
              </w:r>
            </w:hyperlink>
          </w:p>
        </w:tc>
        <w:tc>
          <w:tcPr>
            <w:tcW w:w="460" w:type="dxa"/>
            <w:vAlign w:val="bottom"/>
            <w:gridSpan w:val="2"/>
          </w:tcPr>
          <w:p>
            <w:pPr>
              <w:spacing w:after="0"/>
              <w:rPr>
                <w:sz w:val="17"/>
                <w:szCs w:val="17"/>
                <w:color w:val="auto"/>
              </w:rPr>
            </w:pPr>
          </w:p>
        </w:tc>
        <w:tc>
          <w:tcPr>
            <w:tcW w:w="6380" w:type="dxa"/>
            <w:vAlign w:val="bottom"/>
            <w:gridSpan w:val="10"/>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840" w:type="dxa"/>
            <w:vAlign w:val="bottom"/>
            <w:gridSpan w:val="1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gridSpan w:val="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6840" w:type="dxa"/>
            <w:vAlign w:val="bottom"/>
            <w:gridSpan w:val="12"/>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50</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0" w:type="dxa"/>
            <w:vAlign w:val="bottom"/>
            <w:gridSpan w:val="1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60" w:type="dxa"/>
            <w:vAlign w:val="bottom"/>
            <w:gridSpan w:val="1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51</w:t>
              </w:r>
            </w:hyperlink>
          </w:p>
        </w:tc>
      </w:tr>
      <w:tr>
        <w:trPr>
          <w:trHeight w:val="453"/>
        </w:trPr>
        <w:tc>
          <w:tcPr>
            <w:tcW w:w="80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5700" w:type="dxa"/>
            <w:vAlign w:val="bottom"/>
            <w:gridSpan w:val="14"/>
          </w:tcPr>
          <w:p>
            <w:pPr>
              <w:jc w:val="center"/>
              <w:ind w:left="2330"/>
              <w:spacing w:after="0"/>
              <w:rPr>
                <w:sz w:val="20"/>
                <w:szCs w:val="20"/>
                <w:color w:val="auto"/>
              </w:rPr>
            </w:pPr>
            <w:r>
              <w:rPr>
                <w:rFonts w:ascii="Arial" w:cs="Arial" w:eastAsia="Arial" w:hAnsi="Arial"/>
                <w:sz w:val="18"/>
                <w:szCs w:val="18"/>
                <w:color w:val="auto"/>
                <w:w w:val="79"/>
              </w:rPr>
              <w:t>2</w:t>
            </w: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Quarterly Report on Form 10-Q. If any of the following risks actually occur (or if any of those listed elsewhere in this Quarterly Report on Form 10-Q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1" w:lineRule="exact"/>
        <w:rPr>
          <w:sz w:val="20"/>
          <w:szCs w:val="20"/>
          <w:color w:val="auto"/>
        </w:rPr>
      </w:pPr>
    </w:p>
    <w:p>
      <w:pPr>
        <w:ind w:left="460" w:right="2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The continued spread of COVID-19, or any similar widespread infectious disease outbreak, could harm our business, financial condition and results of operations.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quarterly operating results may vary from period to period, which could result in our failure to meet expectations with respect to operating results and cause the trading price of our stock to decline.</w:t>
      </w:r>
    </w:p>
    <w:p>
      <w:pPr>
        <w:ind w:left="460"/>
        <w:spacing w:after="0"/>
        <w:rPr>
          <w:rFonts w:ascii="Arial" w:cs="Arial" w:eastAsia="Arial" w:hAnsi="Arial"/>
          <w:sz w:val="33"/>
          <w:szCs w:val="33"/>
          <w:color w:val="auto"/>
          <w:vertAlign w:val="subscript"/>
        </w:rPr>
      </w:pPr>
      <w:r>
        <w:rPr>
          <w:rFonts w:ascii="Arial" w:cs="Arial" w:eastAsia="Arial" w:hAnsi="Arial"/>
          <w:sz w:val="16"/>
          <w:szCs w:val="16"/>
          <w:color w:val="auto"/>
        </w:rPr>
        <w:t>If we do not successfully anticipate market needs and opportunities or are unable to enhance our solutions and develop new solutions that meet those</w:t>
      </w:r>
    </w:p>
    <w:p>
      <w:pPr>
        <w:spacing w:after="0" w:line="32" w:lineRule="exact"/>
        <w:rPr>
          <w:rFonts w:ascii="Arial" w:cs="Arial" w:eastAsia="Arial" w:hAnsi="Arial"/>
          <w:sz w:val="33"/>
          <w:szCs w:val="33"/>
          <w:color w:val="auto"/>
          <w:vertAlign w:val="subscript"/>
        </w:rPr>
      </w:pPr>
    </w:p>
    <w:p>
      <w:pPr>
        <w:ind w:left="460" w:right="2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needs and opportunities on a timely or cost-effective basis, we may not be able to compete effectively and our business and financial condition may be harmed.</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we fail to continue to effectively scale and adapt our platform to meet the performance and other requirements of our customers, our operating results and our business would be harmed.</w:t>
      </w:r>
    </w:p>
    <w:p>
      <w:pPr>
        <w:ind w:left="460" w:right="2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we are unable to renew existing subscriptions for our IT, security and compliance solutions, sell additional subscriptions for our solutions and attract new customers, our operating results would be harmed.</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the market for cloud solutions for IT, security and compliance does not evolve as we anticipate, our revenues may not grow and our operating results would be harmed.</w:t>
      </w:r>
    </w:p>
    <w:p>
      <w:pPr>
        <w:ind w:left="460" w:right="2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current research and development efforts may not produce successful products or enhancements to our platform that result in significant revenue, cost savings or other benefits in the near future.</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platform, website and internal systems may be subject to intentional disruption or other security incidents that could result in liability and adversely impact our reputation and future sales.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sales cycle can be long and unpredictable, and our sales efforts require considerable time and expense. As a result, revenues may vary from period to period, which may cause our operating results to fluctuate and could harm our business.</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conditions or reduced IT spending may adversely impact our business.</w:t>
      </w:r>
    </w:p>
    <w:p>
      <w:pPr>
        <w:spacing w:after="0" w:line="9" w:lineRule="exact"/>
        <w:rPr>
          <w:rFonts w:ascii="Arial" w:cs="Arial" w:eastAsia="Arial" w:hAnsi="Arial"/>
          <w:sz w:val="18"/>
          <w:szCs w:val="18"/>
          <w:color w:val="auto"/>
        </w:rPr>
      </w:pPr>
    </w:p>
    <w:p>
      <w:pPr>
        <w:ind w:left="460" w:right="2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IT, security and compliance solutions are delivered from eight data centers, and any disruption of service at these facilities would interrupt or delay our ability to deliver our solutions to our customers which could reduce our revenues and harm our operating results.</w:t>
      </w:r>
    </w:p>
    <w:p>
      <w:pPr>
        <w:ind w:left="460" w:hanging="223"/>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competition in our markets, and we may lack sufficient financial or other resources to maintain or improve our competitive position.</w:t>
      </w:r>
    </w:p>
    <w:p>
      <w:pPr>
        <w:spacing w:after="0" w:line="20" w:lineRule="exact"/>
        <w:rPr>
          <w:rFonts w:ascii="Arial" w:cs="Arial" w:eastAsia="Arial" w:hAnsi="Arial"/>
          <w:sz w:val="17"/>
          <w:szCs w:val="17"/>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our solutions fail to detect vulnerabilities or incorrectly detect vulnerabilities, our brand and reputation could be harmed, which could have an adverse effect on our business and results of operations.</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continue the expansion of our sales force, sales of our solutions and the growth of our business would be harmed.</w:t>
      </w:r>
    </w:p>
    <w:p>
      <w:pPr>
        <w:spacing w:after="0" w:line="9" w:lineRule="exact"/>
        <w:rPr>
          <w:rFonts w:ascii="Arial" w:cs="Arial" w:eastAsia="Arial" w:hAnsi="Arial"/>
          <w:sz w:val="18"/>
          <w:szCs w:val="18"/>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We rely on third-party channel partners to generate a substantial amount of our revenues, and if we fail to expand and manage our distribution channels, our revenues could decline and our growth prospects could suffer.</w:t>
      </w:r>
    </w:p>
    <w:p>
      <w:pPr>
        <w:ind w:left="460"/>
        <w:spacing w:after="0"/>
        <w:rPr>
          <w:rFonts w:ascii="Arial" w:cs="Arial" w:eastAsia="Arial" w:hAnsi="Arial"/>
          <w:sz w:val="33"/>
          <w:szCs w:val="33"/>
          <w:color w:val="auto"/>
          <w:vertAlign w:val="subscript"/>
        </w:rPr>
      </w:pPr>
      <w:r>
        <w:rPr>
          <w:rFonts w:ascii="Arial" w:cs="Arial" w:eastAsia="Arial" w:hAnsi="Arial"/>
          <w:sz w:val="16"/>
          <w:szCs w:val="16"/>
          <w:color w:val="auto"/>
        </w:rPr>
        <w:t>A significant portion of our customers, channel partners and employees are located outside of the United States, which subjects us to a number of</w:t>
      </w:r>
    </w:p>
    <w:p>
      <w:pPr>
        <w:spacing w:after="0" w:line="32" w:lineRule="exact"/>
        <w:rPr>
          <w:rFonts w:ascii="Arial" w:cs="Arial" w:eastAsia="Arial" w:hAnsi="Arial"/>
          <w:sz w:val="33"/>
          <w:szCs w:val="33"/>
          <w:color w:val="auto"/>
          <w:vertAlign w:val="subscript"/>
        </w:rPr>
      </w:pP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conducting international operations, and if we are unable to successfully manage these risks, our business and operating results could be harmed.</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business and operations have experienced significant growth, and if we do not appropriately manage any future growth, or are unable to improve our systems and processes, our operating results may be negatively affected.</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revenues are generated by sales to government entities, which are subject to a number of challenges and risks.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Undetected software errors or flaws in our solutions could harm our reputation, decrease market acceptance of our solutions or result in liability.</w:t>
      </w:r>
    </w:p>
    <w:p>
      <w:pPr>
        <w:spacing w:after="0" w:line="32" w:lineRule="exact"/>
        <w:rPr>
          <w:rFonts w:ascii="Arial" w:cs="Arial" w:eastAsia="Arial" w:hAnsi="Arial"/>
          <w:sz w:val="16"/>
          <w:szCs w:val="16"/>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solutions could be used to collect and store personal information of our customers’ employees or customers, and therefore privacy and other data handling concerns could result in additional cost and liability to us or inhibit sales of our solutions.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solutions contain third-party open source software components, and our failure to comply with the terms of the underlying open source software licenses could restrict our ability to sell our solutions.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We use third-party software and data that may be difficult to replace or cause errors or failures of our solutions that could lead to lost customers or harm to our reputation and our operating results.</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protect our proprietary technology and intellectual property rights could substantially harm our business and operating results.</w:t>
      </w:r>
    </w:p>
    <w:p>
      <w:pPr>
        <w:spacing w:after="0" w:line="9" w:lineRule="exact"/>
        <w:rPr>
          <w:rFonts w:ascii="Arial" w:cs="Arial" w:eastAsia="Arial" w:hAnsi="Arial"/>
          <w:sz w:val="18"/>
          <w:szCs w:val="18"/>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Assertions by third parties of infringement or other violations by us of their intellectual property rights could result in significant costs and harm our business and operating results.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ind w:left="3860"/>
              <w:spacing w:after="0"/>
              <w:rPr>
                <w:sz w:val="20"/>
                <w:szCs w:val="20"/>
                <w:color w:val="auto"/>
              </w:rPr>
            </w:pPr>
            <w:r>
              <w:rPr>
                <w:rFonts w:ascii="Arial" w:cs="Arial" w:eastAsia="Arial" w:hAnsi="Arial"/>
                <w:sz w:val="18"/>
                <w:szCs w:val="18"/>
                <w:b w:val="1"/>
                <w:bCs w:val="1"/>
                <w:color w:val="auto"/>
              </w:rPr>
              <w:t>Qualys, Inc.</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97,278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262,941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281,892</w:t>
            </w:r>
          </w:p>
        </w:tc>
      </w:tr>
      <w:tr>
        <w:trPr>
          <w:trHeight w:val="202"/>
        </w:trPr>
        <w:tc>
          <w:tcPr>
            <w:tcW w:w="80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Accounts receivable, net of allowance of $713 and $725 as of June 30, 2021 and December 31, 2020,</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86,044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100,179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21,979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19,142</w:t>
            </w:r>
          </w:p>
        </w:tc>
      </w:tr>
      <w:tr>
        <w:trPr>
          <w:trHeight w:val="209"/>
        </w:trPr>
        <w:tc>
          <w:tcPr>
            <w:tcW w:w="800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468,242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110,890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98,458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64,850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leases - right of use asset</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40,403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44,838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8,715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12,006</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16,864</w:t>
            </w:r>
          </w:p>
        </w:tc>
      </w:tr>
      <w:tr>
        <w:trPr>
          <w:trHeight w:val="210"/>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737,305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736,819</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30,685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29,833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revenues, current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228,180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213,494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12,246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11,672</w:t>
            </w:r>
          </w:p>
        </w:tc>
      </w:tr>
      <w:tr>
        <w:trPr>
          <w:trHeight w:val="210"/>
        </w:trPr>
        <w:tc>
          <w:tcPr>
            <w:tcW w:w="800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272,708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Deferred revenues, noncurrent</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28,681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30,540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r>
      <w:tr>
        <w:trPr>
          <w:trHeight w:val="210"/>
        </w:trPr>
        <w:tc>
          <w:tcPr>
            <w:tcW w:w="800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344,310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Preferred stock, $0.001 par value; 20,000 shares authorized, no shares issued and outstanding at June 30,</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2021 and December 31, 2020</w:t>
            </w:r>
          </w:p>
        </w:tc>
        <w:tc>
          <w:tcPr>
            <w:tcW w:w="260" w:type="dxa"/>
            <w:vAlign w:val="bottom"/>
          </w:tcPr>
          <w:p>
            <w:pPr>
              <w:spacing w:after="0"/>
              <w:rPr>
                <w:sz w:val="20"/>
                <w:szCs w:val="20"/>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$0.001 par value; 1,000,000 shares authorized; 38,995 and 39,253 shares issued and</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at June 30, 2021 and December 31, 2020, respectively</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424,507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401,359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Retained earnings (accumulated deficit)</w:t>
            </w:r>
          </w:p>
        </w:tc>
        <w:tc>
          <w:tcPr>
            <w:tcW w:w="26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(31,286)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3,568</w:t>
            </w:r>
          </w:p>
        </w:tc>
      </w:tr>
      <w:tr>
        <w:trPr>
          <w:trHeight w:val="210"/>
        </w:trPr>
        <w:tc>
          <w:tcPr>
            <w:tcW w:w="8000" w:type="dxa"/>
            <w:vAlign w:val="bottom"/>
            <w:tcBorders>
              <w:top w:val="single" w:sz="8" w:color="CCEEFF"/>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392,995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737,305</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736,819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3600" w:type="dxa"/>
            <w:vAlign w:val="bottom"/>
            <w:gridSpan w:val="2"/>
          </w:tcPr>
          <w:p>
            <w:pPr>
              <w:jc w:val="center"/>
              <w:ind w:left="2190"/>
              <w:spacing w:after="0"/>
              <w:rPr>
                <w:sz w:val="20"/>
                <w:szCs w:val="20"/>
                <w:color w:val="auto"/>
              </w:rPr>
            </w:pPr>
            <w:r>
              <w:rPr>
                <w:rFonts w:ascii="Arial" w:cs="Arial" w:eastAsia="Arial" w:hAnsi="Arial"/>
                <w:sz w:val="18"/>
                <w:szCs w:val="18"/>
                <w:b w:val="1"/>
                <w:bCs w:val="1"/>
                <w:color w:val="auto"/>
                <w:w w:val="90"/>
              </w:rPr>
              <w:t>Qualys, Inc.</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2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0" w:type="dxa"/>
            <w:vAlign w:val="bottom"/>
            <w:gridSpan w:val="2"/>
          </w:tcPr>
          <w:p>
            <w:pPr>
              <w:jc w:val="center"/>
              <w:ind w:left="2210"/>
              <w:spacing w:after="0"/>
              <w:rPr>
                <w:sz w:val="20"/>
                <w:szCs w:val="20"/>
                <w:color w:val="auto"/>
              </w:rPr>
            </w:pPr>
            <w:r>
              <w:rPr>
                <w:rFonts w:ascii="Arial" w:cs="Arial" w:eastAsia="Arial" w:hAnsi="Arial"/>
                <w:sz w:val="18"/>
                <w:szCs w:val="18"/>
                <w:b w:val="1"/>
                <w:bCs w:val="1"/>
                <w:color w:val="auto"/>
                <w:w w:val="91"/>
              </w:rPr>
              <w:t>(unaudited)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700" w:type="dxa"/>
            <w:vAlign w:val="bottom"/>
            <w:gridSpan w:val="4"/>
          </w:tcPr>
          <w:p>
            <w:pPr>
              <w:jc w:val="center"/>
              <w:ind w:left="11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6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99,702</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196,458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175,093</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21,552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18,891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43,232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37,386</w:t>
            </w:r>
          </w:p>
        </w:tc>
        <w:tc>
          <w:tcPr>
            <w:tcW w:w="0" w:type="dxa"/>
            <w:vAlign w:val="bottom"/>
          </w:tcPr>
          <w:p>
            <w:pPr>
              <w:spacing w:after="0"/>
              <w:rPr>
                <w:sz w:val="1"/>
                <w:szCs w:val="1"/>
                <w:color w:val="auto"/>
              </w:rPr>
            </w:pPr>
          </w:p>
        </w:tc>
      </w:tr>
      <w:tr>
        <w:trPr>
          <w:trHeight w:val="209"/>
        </w:trPr>
        <w:tc>
          <w:tcPr>
            <w:tcW w:w="26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78,150</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153,226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19,805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37,554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36,041</w:t>
            </w:r>
          </w:p>
        </w:tc>
        <w:tc>
          <w:tcPr>
            <w:tcW w:w="0" w:type="dxa"/>
            <w:vAlign w:val="bottom"/>
          </w:tcPr>
          <w:p>
            <w:pPr>
              <w:spacing w:after="0"/>
              <w:rPr>
                <w:sz w:val="1"/>
                <w:szCs w:val="1"/>
                <w:color w:val="auto"/>
              </w:rPr>
            </w:pPr>
          </w:p>
        </w:tc>
      </w:tr>
      <w:tr>
        <w:trPr>
          <w:trHeight w:val="216"/>
        </w:trPr>
        <w:tc>
          <w:tcPr>
            <w:tcW w:w="268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17,770</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15,783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35,759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34,013</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11,213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53,256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21,714</w:t>
            </w:r>
          </w:p>
        </w:tc>
        <w:tc>
          <w:tcPr>
            <w:tcW w:w="0" w:type="dxa"/>
            <w:vAlign w:val="bottom"/>
          </w:tcPr>
          <w:p>
            <w:pPr>
              <w:spacing w:after="0"/>
              <w:rPr>
                <w:sz w:val="1"/>
                <w:szCs w:val="1"/>
                <w:color w:val="auto"/>
              </w:rPr>
            </w:pPr>
          </w:p>
        </w:tc>
      </w:tr>
      <w:tr>
        <w:trPr>
          <w:trHeight w:val="209"/>
        </w:trPr>
        <w:tc>
          <w:tcPr>
            <w:tcW w:w="2680" w:type="dxa"/>
            <w:vAlign w:val="bottom"/>
            <w:gridSpan w:val="2"/>
          </w:tcPr>
          <w:p>
            <w:pPr>
              <w:ind w:left="660"/>
              <w:spacing w:after="0"/>
              <w:rPr>
                <w:sz w:val="20"/>
                <w:szCs w:val="20"/>
                <w:color w:val="auto"/>
              </w:rPr>
            </w:pPr>
            <w:r>
              <w:rPr>
                <w:rFonts w:ascii="Arial" w:cs="Arial" w:eastAsia="Arial" w:hAnsi="Arial"/>
                <w:sz w:val="18"/>
                <w:szCs w:val="18"/>
                <w:color w:val="auto"/>
                <w:w w:val="98"/>
              </w:rPr>
              <w:t>Total operating expenses</w:t>
            </w:r>
          </w:p>
        </w:tc>
        <w:tc>
          <w:tcPr>
            <w:tcW w:w="33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48,788</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44,431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126,569</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29,362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26,657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45,939</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68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1,313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680" w:type="dxa"/>
            <w:vAlign w:val="bottom"/>
            <w:gridSpan w:val="2"/>
          </w:tcPr>
          <w:p>
            <w:pPr>
              <w:ind w:left="660"/>
              <w:spacing w:after="0"/>
              <w:rPr>
                <w:sz w:val="20"/>
                <w:szCs w:val="20"/>
                <w:color w:val="auto"/>
              </w:rPr>
            </w:pPr>
            <w:r>
              <w:rPr>
                <w:rFonts w:ascii="Arial" w:cs="Arial" w:eastAsia="Arial" w:hAnsi="Arial"/>
                <w:sz w:val="18"/>
                <w:szCs w:val="18"/>
                <w:color w:val="auto"/>
              </w:rPr>
              <w:t>Total other income, net</w:t>
            </w:r>
          </w:p>
        </w:tc>
        <w:tc>
          <w:tcPr>
            <w:tcW w:w="33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29,849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27,642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49,311</w:t>
            </w: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8,707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6,272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49"/>
        </w:trPr>
        <w:tc>
          <w:tcPr>
            <w:tcW w:w="2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3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680" w:type="dxa"/>
            <w:vAlign w:val="bottom"/>
            <w:gridSpan w:val="2"/>
          </w:tcPr>
          <w:p>
            <w:pPr>
              <w:spacing w:after="0" w:line="196" w:lineRule="exact"/>
              <w:rPr>
                <w:sz w:val="20"/>
                <w:szCs w:val="20"/>
                <w:color w:val="auto"/>
              </w:rPr>
            </w:pPr>
            <w:r>
              <w:rPr>
                <w:rFonts w:ascii="Arial" w:cs="Arial" w:eastAsia="Arial" w:hAnsi="Arial"/>
                <w:sz w:val="18"/>
                <w:szCs w:val="18"/>
                <w:color w:val="auto"/>
              </w:rPr>
              <w:t>Net income per share:</w:t>
            </w: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0.54</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8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Diluted</w:t>
            </w:r>
          </w:p>
        </w:tc>
        <w:tc>
          <w:tcPr>
            <w:tcW w:w="33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0.53</w:t>
            </w:r>
          </w:p>
        </w:tc>
        <w:tc>
          <w:tcPr>
            <w:tcW w:w="2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0.64</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0.53</w:t>
            </w:r>
          </w:p>
        </w:tc>
        <w:tc>
          <w:tcPr>
            <w:tcW w:w="2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in computing net income per share: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3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39,099</w:t>
            </w:r>
          </w:p>
        </w:tc>
        <w:tc>
          <w:tcPr>
            <w:tcW w:w="3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39,161</w:t>
            </w: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39,154</w:t>
            </w:r>
          </w:p>
        </w:tc>
        <w:tc>
          <w:tcPr>
            <w:tcW w:w="3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39,137</w:t>
            </w:r>
          </w:p>
        </w:tc>
        <w:tc>
          <w:tcPr>
            <w:tcW w:w="0" w:type="dxa"/>
            <w:vAlign w:val="bottom"/>
          </w:tcPr>
          <w:p>
            <w:pPr>
              <w:spacing w:after="0"/>
              <w:rPr>
                <w:sz w:val="1"/>
                <w:szCs w:val="1"/>
                <w:color w:val="auto"/>
              </w:rPr>
            </w:pPr>
          </w:p>
        </w:tc>
      </w:tr>
      <w:tr>
        <w:trPr>
          <w:trHeight w:val="237"/>
        </w:trPr>
        <w:tc>
          <w:tcPr>
            <w:tcW w:w="2680" w:type="dxa"/>
            <w:vAlign w:val="bottom"/>
            <w:tcBorders>
              <w:top w:val="single" w:sz="8" w:color="CCEEFF"/>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33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40,919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40,253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40,883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172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0"/>
              </w:rPr>
              <w:t>Qualys, Inc.</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20" w:type="dxa"/>
            <w:vAlign w:val="bottom"/>
            <w:gridSpan w:val="10"/>
          </w:tcPr>
          <w:p>
            <w:pPr>
              <w:jc w:val="center"/>
              <w:ind w:left="89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7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1"/>
              </w:rPr>
              <w:t>(unaudited)</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7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88"/>
              </w:rPr>
              <w:t>(in thousands)</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8"/>
              </w:rPr>
              <w:t>Three Months Ended</w:t>
            </w:r>
          </w:p>
        </w:tc>
        <w:tc>
          <w:tcPr>
            <w:tcW w:w="300" w:type="dxa"/>
            <w:vAlign w:val="bottom"/>
          </w:tcPr>
          <w:p>
            <w:pPr>
              <w:spacing w:after="0"/>
              <w:rPr>
                <w:sz w:val="24"/>
                <w:szCs w:val="24"/>
                <w:color w:val="auto"/>
              </w:rPr>
            </w:pPr>
          </w:p>
        </w:tc>
        <w:tc>
          <w:tcPr>
            <w:tcW w:w="22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21,142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26,319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21,370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45,013</w:t>
            </w:r>
          </w:p>
        </w:tc>
      </w:tr>
      <w:tr>
        <w:trPr>
          <w:trHeight w:val="216"/>
        </w:trPr>
        <w:tc>
          <w:tcPr>
            <w:tcW w:w="454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260" w:type="dxa"/>
            <w:vAlign w:val="bottom"/>
            <w:gridSpan w:val="4"/>
            <w:shd w:val="clear" w:color="auto" w:fill="CCEEFF"/>
          </w:tcPr>
          <w:p>
            <w:pPr>
              <w:ind w:left="660"/>
              <w:spacing w:after="0" w:line="201" w:lineRule="exact"/>
              <w:rPr>
                <w:sz w:val="20"/>
                <w:szCs w:val="20"/>
                <w:color w:val="auto"/>
              </w:rPr>
            </w:pPr>
            <w:r>
              <w:rPr>
                <w:rFonts w:ascii="Arial" w:cs="Arial" w:eastAsia="Arial" w:hAnsi="Arial"/>
                <w:sz w:val="18"/>
                <w:szCs w:val="18"/>
                <w:color w:val="auto"/>
              </w:rPr>
              <w:t>Net change in unrealized gains (losses) on available-for-sale debt</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securities, net of tax</w:t>
            </w: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1,078</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r>
      <w:tr>
        <w:trPr>
          <w:trHeight w:val="216"/>
        </w:trPr>
        <w:tc>
          <w:tcPr>
            <w:tcW w:w="6260" w:type="dxa"/>
            <w:vAlign w:val="bottom"/>
            <w:gridSpan w:val="4"/>
          </w:tcPr>
          <w:p>
            <w:pPr>
              <w:ind w:left="660"/>
              <w:spacing w:after="0"/>
              <w:rPr>
                <w:sz w:val="20"/>
                <w:szCs w:val="20"/>
                <w:color w:val="auto"/>
              </w:rPr>
            </w:pPr>
            <w:r>
              <w:rPr>
                <w:rFonts w:ascii="Arial" w:cs="Arial" w:eastAsia="Arial" w:hAnsi="Arial"/>
                <w:sz w:val="18"/>
                <w:szCs w:val="18"/>
                <w:color w:val="auto"/>
                <w:w w:val="98"/>
              </w:rPr>
              <w:t>Net change in unrealized gains (losses) on cash flow hedges, net of tax</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810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10"/>
        </w:trPr>
        <w:tc>
          <w:tcPr>
            <w:tcW w:w="4540" w:type="dxa"/>
            <w:vAlign w:val="bottom"/>
            <w:tcBorders>
              <w:top w:val="single" w:sz="8" w:color="CCEEFF"/>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Other comprehensive income (loss), net of tax</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4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20,757</w:t>
            </w:r>
          </w:p>
        </w:tc>
        <w:tc>
          <w:tcPr>
            <w:tcW w:w="24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27,201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21,589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46,286</w:t>
            </w:r>
          </w:p>
        </w:tc>
      </w:tr>
      <w:tr>
        <w:trPr>
          <w:trHeight w:val="20"/>
        </w:trPr>
        <w:tc>
          <w:tcPr>
            <w:tcW w:w="1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21,370</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45,013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17,869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15,633</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Bad debt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46,755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19,441</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Amortization of premiums (accretion of discounts) on marketable securities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r>
      <w:tr>
        <w:trPr>
          <w:trHeight w:val="216"/>
        </w:trPr>
        <w:tc>
          <w:tcPr>
            <w:tcW w:w="8000" w:type="dxa"/>
            <w:vAlign w:val="bottom"/>
          </w:tcPr>
          <w:p>
            <w:pPr>
              <w:ind w:left="8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(6,014)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(6,725)</w:t>
            </w: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8000" w:type="dxa"/>
            <w:vAlign w:val="bottom"/>
          </w:tcPr>
          <w:p>
            <w:pPr>
              <w:ind w:left="82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3,032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(972)</w:t>
            </w: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Deferred revenues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5,695</w:t>
            </w: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81,649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(201,411)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(162,912)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maturities of marketable securities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205,143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164,109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(12,911)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(11,568)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disposal of property and equipment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Pr>
          <w:p>
            <w:pPr>
              <w:ind w:left="9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(63,252)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(54,182)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(21,017)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(11,115)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under finance lease obligations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09"/>
        </w:trPr>
        <w:tc>
          <w:tcPr>
            <w:tcW w:w="8000" w:type="dxa"/>
            <w:vAlign w:val="bottom"/>
          </w:tcPr>
          <w:p>
            <w:pPr>
              <w:ind w:left="9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(44,928)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26,350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88,759</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115,109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2140" w:type="dxa"/>
            <w:vAlign w:val="bottom"/>
            <w:gridSpan w:val="8"/>
            <w:vMerge w:val="restart"/>
          </w:tcPr>
          <w:p>
            <w:pPr>
              <w:jc w:val="right"/>
              <w:ind w:right="680"/>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60" w:type="dxa"/>
            <w:vAlign w:val="bottom"/>
          </w:tcPr>
          <w:p>
            <w:pPr>
              <w:spacing w:after="0"/>
              <w:rPr>
                <w:sz w:val="18"/>
                <w:szCs w:val="18"/>
                <w:color w:val="auto"/>
              </w:rPr>
            </w:pPr>
          </w:p>
        </w:tc>
        <w:tc>
          <w:tcPr>
            <w:tcW w:w="2140" w:type="dxa"/>
            <w:vAlign w:val="bottom"/>
            <w:gridSpan w:val="8"/>
            <w:vMerge w:val="continue"/>
          </w:tcPr>
          <w:p>
            <w:pPr>
              <w:spacing w:after="0"/>
              <w:rPr>
                <w:sz w:val="18"/>
                <w:szCs w:val="18"/>
                <w:color w:val="auto"/>
              </w:rPr>
            </w:pPr>
          </w:p>
        </w:tc>
        <w:tc>
          <w:tcPr>
            <w:tcW w:w="1100" w:type="dxa"/>
            <w:vAlign w:val="bottom"/>
            <w:gridSpan w:val="5"/>
          </w:tcPr>
          <w:p>
            <w:pPr>
              <w:ind w:left="80"/>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Earnings</w:t>
            </w: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2"/>
        </w:trPr>
        <w:tc>
          <w:tcPr>
            <w:tcW w:w="44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400"/>
              <w:spacing w:after="0" w:line="182" w:lineRule="exact"/>
              <w:rPr>
                <w:sz w:val="20"/>
                <w:szCs w:val="20"/>
                <w:color w:val="auto"/>
              </w:rPr>
            </w:pPr>
            <w:r>
              <w:rPr>
                <w:rFonts w:ascii="Arial" w:cs="Arial" w:eastAsia="Arial" w:hAnsi="Arial"/>
                <w:sz w:val="16"/>
                <w:szCs w:val="16"/>
                <w:b w:val="1"/>
                <w:bCs w:val="1"/>
                <w:color w:val="auto"/>
                <w:w w:val="97"/>
              </w:rPr>
              <w:t>Paid-In</w:t>
            </w:r>
          </w:p>
        </w:tc>
        <w:tc>
          <w:tcPr>
            <w:tcW w:w="1300" w:type="dxa"/>
            <w:vAlign w:val="bottom"/>
            <w:gridSpan w:val="5"/>
          </w:tcPr>
          <w:p>
            <w:pPr>
              <w:spacing w:after="0" w:line="182" w:lineRule="exact"/>
              <w:rPr>
                <w:sz w:val="20"/>
                <w:szCs w:val="20"/>
                <w:color w:val="auto"/>
              </w:rPr>
            </w:pPr>
            <w:r>
              <w:rPr>
                <w:rFonts w:ascii="Arial" w:cs="Arial" w:eastAsia="Arial" w:hAnsi="Arial"/>
                <w:sz w:val="16"/>
                <w:szCs w:val="16"/>
                <w:b w:val="1"/>
                <w:bCs w:val="1"/>
                <w:color w:val="auto"/>
              </w:rPr>
              <w:t>Comprehensive</w:t>
            </w:r>
          </w:p>
        </w:tc>
        <w:tc>
          <w:tcPr>
            <w:tcW w:w="118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220" w:type="dxa"/>
            <w:vAlign w:val="bottom"/>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Amount</w:t>
            </w:r>
          </w:p>
        </w:tc>
        <w:tc>
          <w:tcPr>
            <w:tcW w:w="22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gridSpan w:val="2"/>
          </w:tcPr>
          <w:p>
            <w:pPr>
              <w:spacing w:after="0"/>
              <w:rPr>
                <w:sz w:val="18"/>
                <w:szCs w:val="18"/>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2"/>
              </w:rPr>
              <w:t>Income (Loss)</w:t>
            </w:r>
          </w:p>
        </w:tc>
        <w:tc>
          <w:tcPr>
            <w:tcW w:w="22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Deficit)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39,253</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401,359</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(484)</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3,568</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404,482</w:t>
            </w:r>
          </w:p>
        </w:tc>
        <w:tc>
          <w:tcPr>
            <w:tcW w:w="0" w:type="dxa"/>
            <w:vAlign w:val="bottom"/>
          </w:tcPr>
          <w:p>
            <w:pPr>
              <w:spacing w:after="0"/>
              <w:rPr>
                <w:sz w:val="1"/>
                <w:szCs w:val="1"/>
                <w:color w:val="auto"/>
              </w:rPr>
            </w:pPr>
          </w:p>
        </w:tc>
      </w:tr>
      <w:tr>
        <w:trPr>
          <w:trHeight w:val="20"/>
        </w:trPr>
        <w:tc>
          <w:tcPr>
            <w:tcW w:w="446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228</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0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w w:val="99"/>
              </w:rPr>
              <w:t>Issuance of common stock upon exercise of stock 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2,264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(269)</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(3,232)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(27,797)</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(31,029)</w:t>
            </w:r>
          </w:p>
        </w:tc>
        <w:tc>
          <w:tcPr>
            <w:tcW w:w="0" w:type="dxa"/>
            <w:vAlign w:val="bottom"/>
          </w:tcPr>
          <w:p>
            <w:pPr>
              <w:spacing w:after="0"/>
              <w:rPr>
                <w:sz w:val="1"/>
                <w:szCs w:val="1"/>
                <w:color w:val="auto"/>
              </w:rPr>
            </w:pPr>
          </w:p>
        </w:tc>
      </w:tr>
      <w:tr>
        <w:trPr>
          <w:trHeight w:val="193"/>
        </w:trPr>
        <w:tc>
          <w:tcPr>
            <w:tcW w:w="446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vesting of restricted stock</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500"/>
              <w:spacing w:after="0"/>
              <w:rPr>
                <w:sz w:val="20"/>
                <w:szCs w:val="20"/>
                <w:color w:val="auto"/>
              </w:rPr>
            </w:pPr>
            <w:r>
              <w:rPr>
                <w:rFonts w:ascii="Arial" w:cs="Arial" w:eastAsia="Arial" w:hAnsi="Arial"/>
                <w:sz w:val="16"/>
                <w:szCs w:val="16"/>
                <w:color w:val="auto"/>
              </w:rPr>
              <w:t>units</w:t>
            </w:r>
          </w:p>
        </w:tc>
        <w:tc>
          <w:tcPr>
            <w:tcW w:w="820" w:type="dxa"/>
            <w:vAlign w:val="bottom"/>
          </w:tcPr>
          <w:p>
            <w:pPr>
              <w:jc w:val="right"/>
              <w:spacing w:after="0"/>
              <w:rPr>
                <w:sz w:val="20"/>
                <w:szCs w:val="20"/>
                <w:color w:val="auto"/>
              </w:rPr>
            </w:pPr>
            <w:r>
              <w:rPr>
                <w:rFonts w:ascii="Arial" w:cs="Arial" w:eastAsia="Arial" w:hAnsi="Arial"/>
                <w:sz w:val="16"/>
                <w:szCs w:val="16"/>
                <w:color w:val="auto"/>
              </w:rPr>
              <w:t>305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(17,643)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(17,643)</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38,202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38,202</w:t>
            </w:r>
          </w:p>
        </w:tc>
        <w:tc>
          <w:tcPr>
            <w:tcW w:w="0" w:type="dxa"/>
            <w:vAlign w:val="bottom"/>
          </w:tcPr>
          <w:p>
            <w:pPr>
              <w:spacing w:after="0"/>
              <w:rPr>
                <w:sz w:val="1"/>
                <w:szCs w:val="1"/>
                <w:color w:val="auto"/>
              </w:rPr>
            </w:pPr>
          </w:p>
        </w:tc>
      </w:tr>
      <w:tr>
        <w:trPr>
          <w:trHeight w:val="236"/>
        </w:trPr>
        <w:tc>
          <w:tcPr>
            <w:tcW w:w="44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March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420,950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397,108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4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21,142</w:t>
            </w: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21,142</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loss, net of tax</w:t>
            </w:r>
          </w:p>
        </w:tc>
        <w:tc>
          <w:tcPr>
            <w:tcW w:w="10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w w:val="99"/>
              </w:rPr>
              <w:t>Issuance of common stock upon exercise of stock options</w:t>
            </w:r>
          </w:p>
        </w:tc>
        <w:tc>
          <w:tcPr>
            <w:tcW w:w="82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2,174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2,174</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(316)</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(28,427)</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(32,223)</w:t>
            </w:r>
          </w:p>
        </w:tc>
        <w:tc>
          <w:tcPr>
            <w:tcW w:w="0" w:type="dxa"/>
            <w:vAlign w:val="bottom"/>
          </w:tcPr>
          <w:p>
            <w:pPr>
              <w:spacing w:after="0"/>
              <w:rPr>
                <w:sz w:val="1"/>
                <w:szCs w:val="1"/>
                <w:color w:val="auto"/>
              </w:rPr>
            </w:pPr>
          </w:p>
        </w:tc>
      </w:tr>
      <w:tr>
        <w:trPr>
          <w:trHeight w:val="193"/>
        </w:trPr>
        <w:tc>
          <w:tcPr>
            <w:tcW w:w="446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vesting of restricted stock</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340"/>
              <w:spacing w:after="0"/>
              <w:rPr>
                <w:sz w:val="20"/>
                <w:szCs w:val="20"/>
                <w:color w:val="auto"/>
              </w:rPr>
            </w:pPr>
            <w:r>
              <w:rPr>
                <w:rFonts w:ascii="Arial" w:cs="Arial" w:eastAsia="Arial" w:hAnsi="Arial"/>
                <w:sz w:val="16"/>
                <w:szCs w:val="16"/>
                <w:color w:val="auto"/>
              </w:rPr>
              <w:t>units</w:t>
            </w:r>
          </w:p>
        </w:tc>
        <w:tc>
          <w:tcPr>
            <w:tcW w:w="82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(3,374)</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8,553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8,553</w:t>
            </w:r>
          </w:p>
        </w:tc>
        <w:tc>
          <w:tcPr>
            <w:tcW w:w="0" w:type="dxa"/>
            <w:vAlign w:val="bottom"/>
          </w:tcPr>
          <w:p>
            <w:pPr>
              <w:spacing w:after="0"/>
              <w:rPr>
                <w:sz w:val="1"/>
                <w:szCs w:val="1"/>
                <w:color w:val="auto"/>
              </w:rPr>
            </w:pPr>
          </w:p>
        </w:tc>
      </w:tr>
      <w:tr>
        <w:trPr>
          <w:trHeight w:val="236"/>
        </w:trPr>
        <w:tc>
          <w:tcPr>
            <w:tcW w:w="44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June 30,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424,507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(31,286)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392,995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4460" w:type="dxa"/>
            <w:vAlign w:val="bottom"/>
          </w:tcPr>
          <w:p>
            <w:pPr>
              <w:spacing w:after="0"/>
              <w:rPr>
                <w:sz w:val="24"/>
                <w:szCs w:val="24"/>
                <w:color w:val="auto"/>
              </w:rPr>
            </w:pPr>
          </w:p>
        </w:tc>
        <w:tc>
          <w:tcPr>
            <w:tcW w:w="2140" w:type="dxa"/>
            <w:vAlign w:val="bottom"/>
            <w:gridSpan w:val="8"/>
            <w:vMerge w:val="restart"/>
          </w:tcPr>
          <w:p>
            <w:pPr>
              <w:jc w:val="right"/>
              <w:ind w:right="600"/>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18"/>
                <w:szCs w:val="18"/>
                <w:color w:val="auto"/>
              </w:rPr>
            </w:pPr>
          </w:p>
        </w:tc>
        <w:tc>
          <w:tcPr>
            <w:tcW w:w="2140" w:type="dxa"/>
            <w:vAlign w:val="bottom"/>
            <w:gridSpan w:val="8"/>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2"/>
        </w:trPr>
        <w:tc>
          <w:tcPr>
            <w:tcW w:w="44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320"/>
              <w:spacing w:after="0" w:line="182"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5"/>
                <w:szCs w:val="15"/>
                <w:color w:val="auto"/>
              </w:rPr>
            </w:pPr>
          </w:p>
        </w:tc>
        <w:tc>
          <w:tcPr>
            <w:tcW w:w="122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w w:val="99"/>
              </w:rPr>
              <w:t>Comprehensive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40"/>
              <w:spacing w:after="0" w:line="182" w:lineRule="exact"/>
              <w:rPr>
                <w:sz w:val="20"/>
                <w:szCs w:val="20"/>
                <w:color w:val="auto"/>
              </w:rPr>
            </w:pPr>
            <w:r>
              <w:rPr>
                <w:rFonts w:ascii="Arial" w:cs="Arial" w:eastAsia="Arial" w:hAnsi="Arial"/>
                <w:sz w:val="16"/>
                <w:szCs w:val="16"/>
                <w:b w:val="1"/>
                <w:bCs w:val="1"/>
                <w:color w:val="auto"/>
                <w:w w:val="97"/>
              </w:rPr>
              <w:t>Retained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2"/>
              </w:rPr>
              <w:t>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Earnings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39,146</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362,408</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1,162</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23,194</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386,803</w:t>
            </w:r>
          </w:p>
        </w:tc>
        <w:tc>
          <w:tcPr>
            <w:tcW w:w="0" w:type="dxa"/>
            <w:vAlign w:val="bottom"/>
          </w:tcPr>
          <w:p>
            <w:pPr>
              <w:spacing w:after="0"/>
              <w:rPr>
                <w:sz w:val="1"/>
                <w:szCs w:val="1"/>
                <w:color w:val="auto"/>
              </w:rPr>
            </w:pPr>
          </w:p>
        </w:tc>
      </w:tr>
      <w:tr>
        <w:trPr>
          <w:trHeight w:val="20"/>
        </w:trPr>
        <w:tc>
          <w:tcPr>
            <w:tcW w:w="44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18,694</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18,694</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0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391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2"/>
        </w:trPr>
        <w:tc>
          <w:tcPr>
            <w:tcW w:w="4460" w:type="dxa"/>
            <w:vAlign w:val="bottom"/>
          </w:tcPr>
          <w:p>
            <w:pPr>
              <w:ind w:left="340"/>
              <w:spacing w:after="0"/>
              <w:rPr>
                <w:sz w:val="20"/>
                <w:szCs w:val="20"/>
                <w:color w:val="auto"/>
              </w:rPr>
            </w:pPr>
            <w:r>
              <w:rPr>
                <w:rFonts w:ascii="Arial" w:cs="Arial" w:eastAsia="Arial" w:hAnsi="Arial"/>
                <w:sz w:val="16"/>
                <w:szCs w:val="16"/>
                <w:color w:val="auto"/>
                <w:w w:val="99"/>
              </w:rPr>
              <w:t>Issuance of common stock upon exercise of stock options</w:t>
            </w:r>
          </w:p>
        </w:tc>
        <w:tc>
          <w:tcPr>
            <w:tcW w:w="1040" w:type="dxa"/>
            <w:vAlign w:val="bottom"/>
            <w:gridSpan w:val="3"/>
          </w:tcPr>
          <w:p>
            <w:pPr>
              <w:jc w:val="right"/>
              <w:ind w:right="140"/>
              <w:spacing w:after="0"/>
              <w:rPr>
                <w:sz w:val="20"/>
                <w:szCs w:val="20"/>
                <w:color w:val="auto"/>
              </w:rPr>
            </w:pPr>
            <w:r>
              <w:rPr>
                <w:rFonts w:ascii="Arial" w:cs="Arial" w:eastAsia="Arial" w:hAnsi="Arial"/>
                <w:sz w:val="16"/>
                <w:szCs w:val="16"/>
                <w:color w:val="auto"/>
              </w:rPr>
              <w:t>145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4,714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4,714</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(346)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(4,160)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(24,766)</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(28,926)</w:t>
            </w:r>
          </w:p>
        </w:tc>
        <w:tc>
          <w:tcPr>
            <w:tcW w:w="0" w:type="dxa"/>
            <w:vAlign w:val="bottom"/>
          </w:tcPr>
          <w:p>
            <w:pPr>
              <w:spacing w:after="0"/>
              <w:rPr>
                <w:sz w:val="1"/>
                <w:szCs w:val="1"/>
                <w:color w:val="auto"/>
              </w:rPr>
            </w:pPr>
          </w:p>
        </w:tc>
      </w:tr>
      <w:tr>
        <w:trPr>
          <w:trHeight w:val="193"/>
        </w:trPr>
        <w:tc>
          <w:tcPr>
            <w:tcW w:w="446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vesting of restricted stock</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500"/>
              <w:spacing w:after="0"/>
              <w:rPr>
                <w:sz w:val="20"/>
                <w:szCs w:val="20"/>
                <w:color w:val="auto"/>
              </w:rPr>
            </w:pPr>
            <w:r>
              <w:rPr>
                <w:rFonts w:ascii="Arial" w:cs="Arial" w:eastAsia="Arial" w:hAnsi="Arial"/>
                <w:sz w:val="16"/>
                <w:szCs w:val="16"/>
                <w:color w:val="auto"/>
              </w:rPr>
              <w:t>units</w:t>
            </w:r>
          </w:p>
        </w:tc>
        <w:tc>
          <w:tcPr>
            <w:tcW w:w="1040" w:type="dxa"/>
            <w:vAlign w:val="bottom"/>
            <w:gridSpan w:val="3"/>
          </w:tcPr>
          <w:p>
            <w:pPr>
              <w:jc w:val="right"/>
              <w:ind w:right="140"/>
              <w:spacing w:after="0"/>
              <w:rPr>
                <w:sz w:val="20"/>
                <w:szCs w:val="20"/>
                <w:color w:val="auto"/>
              </w:rPr>
            </w:pPr>
            <w:r>
              <w:rPr>
                <w:rFonts w:ascii="Arial" w:cs="Arial" w:eastAsia="Arial" w:hAnsi="Arial"/>
                <w:sz w:val="16"/>
                <w:szCs w:val="16"/>
                <w:color w:val="auto"/>
              </w:rPr>
              <w:t>138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10,054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10,054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March 31, 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39,025</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368,016</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1,553</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17,122</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386,730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26,319</w:t>
            </w: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26,319</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0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882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w w:val="99"/>
              </w:rPr>
              <w:t>Issuance of common stock upon exercise of stock options</w:t>
            </w:r>
          </w:p>
        </w:tc>
        <w:tc>
          <w:tcPr>
            <w:tcW w:w="1040" w:type="dxa"/>
            <w:vAlign w:val="bottom"/>
            <w:gridSpan w:val="3"/>
          </w:tcPr>
          <w:p>
            <w:pPr>
              <w:jc w:val="right"/>
              <w:ind w:right="140"/>
              <w:spacing w:after="0"/>
              <w:rPr>
                <w:sz w:val="20"/>
                <w:szCs w:val="20"/>
                <w:color w:val="auto"/>
              </w:rPr>
            </w:pPr>
            <w:r>
              <w:rPr>
                <w:rFonts w:ascii="Arial" w:cs="Arial" w:eastAsia="Arial" w:hAnsi="Arial"/>
                <w:sz w:val="16"/>
                <w:szCs w:val="16"/>
                <w:color w:val="auto"/>
              </w:rPr>
              <w:t>448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15,715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15,716</w:t>
            </w:r>
          </w:p>
        </w:tc>
        <w:tc>
          <w:tcPr>
            <w:tcW w:w="0" w:type="dxa"/>
            <w:vAlign w:val="bottom"/>
          </w:tcPr>
          <w:p>
            <w:pPr>
              <w:spacing w:after="0"/>
              <w:rPr>
                <w:sz w:val="1"/>
                <w:szCs w:val="1"/>
                <w:color w:val="auto"/>
              </w:rPr>
            </w:pPr>
          </w:p>
        </w:tc>
      </w:tr>
      <w:tr>
        <w:trPr>
          <w:trHeight w:val="203"/>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(243)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(2,912)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(22,343)</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(25,256)</w:t>
            </w:r>
          </w:p>
        </w:tc>
        <w:tc>
          <w:tcPr>
            <w:tcW w:w="0" w:type="dxa"/>
            <w:vAlign w:val="bottom"/>
          </w:tcPr>
          <w:p>
            <w:pPr>
              <w:spacing w:after="0"/>
              <w:rPr>
                <w:sz w:val="1"/>
                <w:szCs w:val="1"/>
                <w:color w:val="auto"/>
              </w:rPr>
            </w:pPr>
          </w:p>
        </w:tc>
      </w:tr>
      <w:tr>
        <w:trPr>
          <w:trHeight w:val="193"/>
        </w:trPr>
        <w:tc>
          <w:tcPr>
            <w:tcW w:w="446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vesting of restricted stock</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500"/>
              <w:spacing w:after="0"/>
              <w:rPr>
                <w:sz w:val="20"/>
                <w:szCs w:val="20"/>
                <w:color w:val="auto"/>
              </w:rPr>
            </w:pPr>
            <w:r>
              <w:rPr>
                <w:rFonts w:ascii="Arial" w:cs="Arial" w:eastAsia="Arial" w:hAnsi="Arial"/>
                <w:sz w:val="16"/>
                <w:szCs w:val="16"/>
                <w:color w:val="auto"/>
              </w:rPr>
              <w:t>units</w:t>
            </w:r>
          </w:p>
        </w:tc>
        <w:tc>
          <w:tcPr>
            <w:tcW w:w="1040" w:type="dxa"/>
            <w:vAlign w:val="bottom"/>
            <w:gridSpan w:val="3"/>
          </w:tcPr>
          <w:p>
            <w:pPr>
              <w:jc w:val="right"/>
              <w:ind w:right="140"/>
              <w:spacing w:after="0"/>
              <w:rPr>
                <w:sz w:val="20"/>
                <w:szCs w:val="20"/>
                <w:color w:val="auto"/>
              </w:rPr>
            </w:pPr>
            <w:r>
              <w:rPr>
                <w:rFonts w:ascii="Arial" w:cs="Arial" w:eastAsia="Arial" w:hAnsi="Arial"/>
                <w:sz w:val="16"/>
                <w:szCs w:val="16"/>
                <w:color w:val="auto"/>
              </w:rPr>
              <w:t>146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(6,115)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(6,115)</w:t>
            </w: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9,498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9,498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June 30, 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39,315</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384,202</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2,435</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21,098</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407,774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5000"/>
        <w:spacing w:after="0" w:line="282" w:lineRule="auto"/>
        <w:rPr>
          <w:sz w:val="20"/>
          <w:szCs w:val="20"/>
          <w:color w:val="auto"/>
        </w:rPr>
      </w:pPr>
      <w:r>
        <w:rPr>
          <w:rFonts w:ascii="Arial" w:cs="Arial" w:eastAsia="Arial" w:hAnsi="Arial"/>
          <w:sz w:val="18"/>
          <w:szCs w:val="18"/>
          <w:b w:val="1"/>
          <w:bCs w:val="1"/>
          <w:color w:val="auto"/>
        </w:rPr>
        <w:t>NOTE Description of Business and Summary of Significant Accounting Policies 1.</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Qualys, Inc. (the “Company”, "we", "us", "our") was incorporated in the state of Delaware on December 30, 1999. The Company is headquartered in Foster City, California and has wholly-owned subsidiaries throughout the world. The Company is a pioneer and leading provider of cloud-based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accompanying unaudited condensed consolidated financial statements and condensed footnotes have been prepared in accordance with accounting principles generally accepted in the United States ("U.S. GAAP") for interim financial information as well as the instructions to Form 10-Q and the rules and regulations of the U.S. Securities and Exchange Commission ("SEC"). Certain information and disclosures normally included in the financial statements prepared in accordance with U.S. GAAP have been condensed or omitted pursuant to such rules and regulations. The condensed consolidated balance sheet as of December 31, 2020,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statement of the financial position, results of operations and cash flows for the interim periods. The results of operations for the three and six months ended June 30, 2021 are not necessarily indicative of the results of operations expected for the entire year ending December 31, 2021 or for any other future annual or interim periods. These condensed consolidated financial statements should be read in conjunction with the consolidated financial statements and related notes included in the Company’s Annual Report on Form 10-K for the year ended December 31, 2020.</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March 2020, the World Health Organization declared the outbreak of a novel strain of coronavirus ("COVID-19") as a pandemic. As a result of COVID-19, the Company has modified certain aspects of its business, including restricting employee travel, requiring employees to work from home, and canceling certain events and meetings, among other modifications. The Company will continue to actively monitor the situation and may take further actions that alter its business operations as may be required by federal, state or local authorities or that the Company determines are in the best interests of its employees, customers, partners, suppliers and stockholders. While the Company has not incurred significant disruptions from the COVID-19 pandemic, the Company is unable to accurately predict the full impact that the pandemic will have due to numerous uncertainties, including the availability and acceptance of COVID-19 vaccines as well as the effectiveness of the vaccines to new variants of the disease, actions that may be taken by governmental authorities and the impact to the business of its customers and partners. The Company will continue to evaluate the nature and extent of the impact to its business, financial position, results of operations and cash flows.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allowance for credit loss, the valuation of goodwill and intangible assets, leases, stock-based compensation and income tax provision. Actual results could differ from those estimates and such differences may be material to the accompanying unaudited condensed consolidated financial statements.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derives revenues from subscriptions that require customers to pay a fee in order to access the Company’s cloud solutions. Contract period with customers generally ranges from less than a year to five years.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In some limited cases, the Company also provides certain computer equipment used to extend its Qualys Cloud Platform into its customers’ private cloud environment. Customers are required to return physical scanner appliances and computer equipment if they do not renew their subscriptions.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3"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36"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ectPr>
          <w:pgSz w:w="11900" w:h="16838" w:orient="portrait"/>
          <w:cols w:equalWidth="0" w:num="1">
            <w:col w:w="11240"/>
          </w:cols>
          <w:pgMar w:left="320" w:top="125" w:right="339" w:bottom="6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9"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the inception of a customer contract, the Company makes an assessment as to that customer's ability to pay for the services provided. The Company assesses collectability based on several factors, including credit worthiness of the customer along with past transaction history. In addition, the Company performs periodic evaluations of its customers’ financial condition.</w:t>
      </w:r>
    </w:p>
    <w:p>
      <w:pPr>
        <w:spacing w:after="0" w:line="18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Most of the Company’s revenue contracts are subscription based and contain a single performance obligation. The subscription contracts typically do not offer to the customers any future rights that would constitute material rights under ASC 606. Contract prices are generally composed of fixed consideration for a specific period of time as the Company in general does not offer refunds, volume rebates, customer loyalty programs or other forms of customer incentive payments. In limited situations, contract prices are contingent on future events, such as actual usage during the contract terms, which are accounted for as variable consideration and estimated based on the most likely amount of consideration that the Company is expected to be entitled to. Estimates are included in the contract price to the extent that it is considered probable that a significant reversal in the amount of cumulative revenue recognized will not occur when the uncertainty associated with the variable consideration is subsequently resolved. Such estimates are made at contract inception and updated periodically when additional information becomes available.</w:t>
      </w:r>
    </w:p>
    <w:p>
      <w:pPr>
        <w:spacing w:after="0" w:line="17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As the Company's cloud-based subscription services are delivered to customers electronically and over time, revenue is generally recognized ratably over the contract terms. A cumulative catch-up adjustment is made when there is a change in the estimate of variable consideration. In addition, the Company recognizes revenues for certain limited scan arrangements on an as-used basis. When physical equipment is provided to the customers as part of the subscription service contract, the Company applies the practical expedient allowed under ASC 842 Leases to combine lease and nonlease components as a combined component to be accounted for under ASC 606, as the Company determined that the software subscription is the predominant component of the combined components. Therefore, the Company recognizes revenue for the physical equipment ratably over the related subscription period.</w:t>
      </w:r>
    </w:p>
    <w:p>
      <w:pPr>
        <w:spacing w:after="0" w:line="16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Deferred revenues consist of customer contracts billed or cash received that will be recognized in the future under subscriptions existing at the balance sheet date. The current portion of deferred revenues represents amounts that are expected to be recognized within one year of the balance sheet date.</w:t>
      </w:r>
    </w:p>
    <w:p>
      <w:pPr>
        <w:spacing w:after="0" w:line="18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Costs of shipping and handling charges incurred by the Company associated with physical scanner appliances and other computer equipment are included in cost of revenues. Sales taxes and other taxes collected from customers to be remitted to government authorities are excluded from revenues.</w:t>
      </w:r>
    </w:p>
    <w:p>
      <w:pPr>
        <w:spacing w:after="0" w:line="12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elected the practical expedient to expense commissions on renewals where the specific anticipated contract term amortization period is one year or less.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condensed consolidated balance sheets.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Non-Marketable Securities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fiscal year ended December 31, 2018, the Company invested $2.5 million in preferred stock of a privately-held company. The fair value of the investment is not readily available, and there are no quoted market prices for the investment. The Company accounts for the investment at cost less impairment and will measure the investment at fair value when the Company identifies observable price changes. The investment is assessed for impairment whenever events or changes in circumstances indicate that the carrying amount may not be recoverable. No impairment has been incurred related to the investment. The investment is included in other noncurrent assets on the condensed consolidated balance sheets. The Company has not received any dividends from the investment.</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December 2019, the Financial Accounting Standards Board ("FASB") issued Accounting Standard Update ("ASU") No. 2019-12, Simplifying the Accounting for Income Taxes ("ASU 2019-12"), which simplifies the accounting for income taxes, eliminates certain exceptions within ASC 740, Income Taxes, and clarifies certain aspects of the current guidance to promote consistency among reporting entities. ASU 2019-12 is effective for the Company for fiscal years beginning after December 15, 2020. Most amendments within the standard are required to be applied on a prospective basis, while certain amendments must be applied on a retrospective or modified retrospective basis. The Company adopted ASU 2019-12 in the first quarter of 2021 with no material impact on the Company's condensed consolidated financial statements.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Although there were several other new accounting pronouncements issued by the FASB during the six months ended June 30, 2021, the Company does not believe any of these accounting pronouncements had or will have a material impact on its condensed consolidated financial statements.</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have been no other material changes to the Company’s significant accounting policies set forth in "Note 1" of Notes to Consolidated Financial Statements included in the Company’s Annual Report on Form 10-K for the year ended December 31, 2020.</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Fair Value of Financial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p>
    <w:p>
      <w:pPr>
        <w:spacing w:after="0" w:line="2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accrued liabilities, the carrying amounts approximate their fair values due to the relatively short maturity of these balances.</w:t>
      </w:r>
    </w:p>
    <w:p>
      <w:pPr>
        <w:spacing w:after="0" w:line="16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measures and reports certain cash equivalents, marketable securities,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-Valuations based on quoted prices in active markets for identical assets or liabilities.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-Valuations based on other than quoted prices in active markets for identical assets and liabilities, including quoted prices for identical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less active or inactive markets, quoted prices for similar assets or liabilities in active markets, or inputs other than quoted prices that are observable for substantially the full term of the assets or liabilities.</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based on inputs that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w:t>
      </w:r>
    </w:p>
    <w:p>
      <w:pPr>
        <w:spacing w:after="0" w:line="1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fixed-income U.S. Treasury and government agency securities, commercial paper, corporate bonds, asset-backed securities, foreign government securities and derivative financial instruments consisting of foreign currency forward contracts. The securities, bonds and commercial paper are valued using prices from independent pricing services based on quoted prices of identical instruments in less active or inactive markets, quoted prices of similar instruments in active markets, or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cash and cash equivalents, and marketable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Cash</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49,521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49,521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46,557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46,557</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97,278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25,133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25,132</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33,002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33,193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U.S. Treasury and government agencies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199,971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200,108</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vMerge w:val="continue"/>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262,610</w:t>
            </w:r>
          </w:p>
        </w:tc>
        <w:tc>
          <w:tcPr>
            <w:tcW w:w="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262,941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Long-term marketable securities:</w:t>
            </w:r>
          </w:p>
        </w:tc>
        <w:tc>
          <w:tcPr>
            <w:tcW w:w="16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15,236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15,267</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U.S. Treasury and government agencies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41,178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41,173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government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52,970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53,420</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110,390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470,278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471,109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0" w:type="dxa"/>
            <w:vAlign w:val="bottom"/>
            <w:vMerge w:val="restart"/>
          </w:tcPr>
          <w:p>
            <w:pPr>
              <w:jc w:val="right"/>
              <w:ind w:right="17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280" w:type="dxa"/>
            <w:vAlign w:val="bottom"/>
            <w:tcBorders>
              <w:top w:val="single" w:sz="8" w:color="0000EE"/>
            </w:tcBorders>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33,105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33,105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38,028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74,132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24,368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24,538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244,568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244,926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281,892</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38,456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38,613</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government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51,068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51,907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97,414</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98,458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452,892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454,482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June 30, 2021 and December 31, 2020, there were no marketable securities that had been in a continuous unrealized loss position for 12 months or longer. The Company had the ability and intent to hold all marketable securities that were in an unrealized loss position until recovery of the amortized cost basis. The Company considered the extent to which fair value was less than amortized cost basis and conditions related to security’s industry and geography and changes to the ratings, if any, and concluded the decline in fair value compared to carrying value was not related to credit loss.</w:t>
      </w:r>
    </w:p>
    <w:p>
      <w:pPr>
        <w:spacing w:after="0" w:line="1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fair value of the Company's cash equivalents and marketable securities measured on a recurring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June 30, 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Level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46,557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Commercial paper</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26,332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26,332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government agencies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241,281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Foreign government</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86,613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19,775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19,775</w:t>
            </w:r>
          </w:p>
        </w:tc>
      </w:tr>
      <w:tr>
        <w:trPr>
          <w:trHeight w:val="25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6"/>
              </w:rPr>
              <w:t>December 31, 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Commercial paper</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9,146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9,146</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government agencies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251,827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Foreign government</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76,445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44,894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44,894</w:t>
            </w:r>
          </w:p>
        </w:tc>
      </w:tr>
      <w:tr>
        <w:trPr>
          <w:trHeight w:val="20"/>
        </w:trPr>
        <w:tc>
          <w:tcPr>
            <w:tcW w:w="4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383,349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421,377</w:t>
            </w: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the fair value of marketable securities by contractual maturity as of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jc w:val="right"/>
              <w:ind w:right="138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241"/>
              <w:spacing w:after="0" w:line="191" w:lineRule="exact"/>
              <w:rPr>
                <w:sz w:val="20"/>
                <w:szCs w:val="20"/>
                <w:color w:val="auto"/>
              </w:rPr>
            </w:pPr>
            <w:r>
              <w:rPr>
                <w:rFonts w:ascii="Arial" w:cs="Arial" w:eastAsia="Arial" w:hAnsi="Arial"/>
                <w:sz w:val="18"/>
                <w:szCs w:val="18"/>
                <w:b w:val="1"/>
                <w:bCs w:val="1"/>
                <w:color w:val="auto"/>
                <w:w w:val="95"/>
              </w:rPr>
              <w:t>Mature after One</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ind w:left="80"/>
              <w:spacing w:after="0"/>
              <w:rPr>
                <w:sz w:val="20"/>
                <w:szCs w:val="20"/>
                <w:color w:val="auto"/>
              </w:rPr>
            </w:pPr>
            <w:r>
              <w:rPr>
                <w:rFonts w:ascii="Arial" w:cs="Arial" w:eastAsia="Arial" w:hAnsi="Arial"/>
                <w:sz w:val="18"/>
                <w:szCs w:val="18"/>
                <w:b w:val="1"/>
                <w:bCs w:val="1"/>
                <w:color w:val="auto"/>
              </w:rPr>
              <w:t>Mature within</w:t>
            </w:r>
          </w:p>
        </w:tc>
        <w:tc>
          <w:tcPr>
            <w:tcW w:w="100" w:type="dxa"/>
            <w:vAlign w:val="bottom"/>
          </w:tcPr>
          <w:p>
            <w:pPr>
              <w:spacing w:after="0"/>
              <w:rPr>
                <w:sz w:val="18"/>
                <w:szCs w:val="18"/>
                <w:color w:val="auto"/>
              </w:rPr>
            </w:pPr>
          </w:p>
        </w:tc>
        <w:tc>
          <w:tcPr>
            <w:tcW w:w="168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Mature over</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One Year</w:t>
            </w:r>
          </w:p>
        </w:tc>
        <w:tc>
          <w:tcPr>
            <w:tcW w:w="220" w:type="dxa"/>
            <w:vAlign w:val="bottom"/>
            <w:gridSpan w:val="2"/>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through Two Years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Two Years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780" w:type="dxa"/>
            <w:vAlign w:val="bottom"/>
            <w:gridSpan w:val="3"/>
          </w:tcPr>
          <w:p>
            <w:pPr>
              <w:jc w:val="right"/>
              <w:ind w:right="1050"/>
              <w:spacing w:after="0"/>
              <w:rPr>
                <w:sz w:val="20"/>
                <w:szCs w:val="20"/>
                <w:color w:val="auto"/>
              </w:rPr>
            </w:pPr>
            <w:r>
              <w:rPr>
                <w:rFonts w:ascii="Arial" w:cs="Arial" w:eastAsia="Arial" w:hAnsi="Arial"/>
                <w:sz w:val="16"/>
                <w:szCs w:val="16"/>
                <w:b w:val="1"/>
                <w:bCs w:val="1"/>
                <w:color w:val="auto"/>
                <w:w w:val="71"/>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U.S. Treasury and government agencies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200,108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41,173</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241,281</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1,030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33,193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36,855</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16,565</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86,613</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5,327</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9,940</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19,775</w:t>
            </w:r>
          </w:p>
        </w:tc>
      </w:tr>
      <w:tr>
        <w:trPr>
          <w:trHeight w:val="209"/>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264,141</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84,385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26,505</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375,031</w:t>
            </w:r>
          </w:p>
        </w:tc>
        <w:tc>
          <w:tcPr>
            <w:tcW w:w="10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399"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399"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Designated cash flow hedges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enters into foreign currency forward contracts to reduce the risk of variability in future cash flow due to foreign currency exchange rate fluctuation from certain forecasted subscription revenue orders billed in British Pound ("GBP") and Euro and operation expenses incurred in Indian Rupee ("INR"), which are designated as cash flow hedges. Unrealized foreign exchange gains or losses related to those designated cash flow hedge contracts are recorded in Accumulated other comprehensive income ("AOCI") and will be reclassified into revenues or operating expenses, respectively, in the same periods when the hedged transactions hit earnings.</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June 30, 2021, the Company had designated cash flow hedge forward contracts with notional amounts of €24.3 million,£8.6 million and Rs.2,507.7 million. As of December 31, 2020, the Company had designated cash flow hedge forward contracts with notional amounts of €25.9 million, £8.7 million and Rs.1,933.5 million. As of June 30, 2021, a net amount of unrealized losses of $1.4 million before tax on the foreign currency forward contracts for GBP and Euro reported in AOCI is expected to be reclassified into revenue within the next 12 months. As of June 30, 2021, a net amount of unrealized gains of $0.1 million before tax on the foreign currency forward contracts for INR reported in AOCI is expected to be reclassified into operating expenses within the next 12 months.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Non-designated forward contracts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also uses foreign currency forward contracts to hedge certain foreign currency denominated assets or liabilities, which are not designated as cashflow hedges.</w:t>
      </w:r>
    </w:p>
    <w:p>
      <w:pPr>
        <w:spacing w:after="0" w:line="1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June 30, 2021, the Company had non-designated forward contracts with notional amounts of €22.2 million, £10.1 million, Rs.150.0 million, Canadian Dollar ("C$") 1.0 million and Swiss Franc ("CHF") 2.0 million. As of December 31, 2020, the Company had non-designated forward contracts with notional amounts of €17.7 million, £6.5 million and Rs.32.8 million.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derivative financial instruments as of June 30,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gridSpan w:val="3"/>
          </w:tcPr>
          <w:p>
            <w:pPr>
              <w:ind w:left="42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designated as cash flow hedge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96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9"/>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designated as cash flow hedge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(2,200)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w w:val="98"/>
              </w:rPr>
              <w:t>(1,677)</w:t>
            </w:r>
          </w:p>
        </w:tc>
      </w:tr>
      <w:tr>
        <w:trPr>
          <w:trHeight w:val="249"/>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0"/>
              </w:rPr>
              <w:t>(3,877)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foreign currency forward contracts were valued at fair value using Level 2 inputs.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summarizes the gains (losses) recognized from forward contracts and other foreign currency transactions in other income (expense), net on the condensed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40" w:type="dxa"/>
            <w:vAlign w:val="bottom"/>
            <w:gridSpan w:val="6"/>
          </w:tcPr>
          <w:p>
            <w:pPr>
              <w:jc w:val="right"/>
              <w:ind w:right="541"/>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20" w:type="dxa"/>
            <w:vAlign w:val="bottom"/>
            <w:gridSpan w:val="3"/>
          </w:tcPr>
          <w:p>
            <w:pPr>
              <w:jc w:val="right"/>
              <w:ind w:right="570"/>
              <w:spacing w:after="0"/>
              <w:rPr>
                <w:sz w:val="20"/>
                <w:szCs w:val="20"/>
                <w:color w:val="auto"/>
              </w:rPr>
            </w:pPr>
            <w:r>
              <w:rPr>
                <w:rFonts w:ascii="Arial" w:cs="Arial" w:eastAsia="Arial" w:hAnsi="Arial"/>
                <w:sz w:val="16"/>
                <w:szCs w:val="16"/>
                <w:b w:val="1"/>
                <w:bCs w:val="1"/>
                <w:color w:val="auto"/>
                <w:w w:val="74"/>
              </w:rPr>
              <w:t>thousands)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from non-designated forward contracts</w:t>
            </w:r>
          </w:p>
        </w:tc>
        <w:tc>
          <w:tcPr>
            <w:tcW w:w="2020" w:type="dxa"/>
            <w:vAlign w:val="bottom"/>
            <w:gridSpan w:val="2"/>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foreign currency transactions gains (losses)</w:t>
            </w: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(1,228)</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r>
      <w:tr>
        <w:trPr>
          <w:trHeight w:val="209"/>
        </w:trPr>
        <w:tc>
          <w:tcPr>
            <w:tcW w:w="48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foreign exchange gains (losses), net</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Other expenses</w:t>
            </w: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249"/>
        </w:trPr>
        <w:tc>
          <w:tcPr>
            <w:tcW w:w="48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13"/>
        </w:trPr>
        <w:tc>
          <w:tcPr>
            <w:tcW w:w="4840" w:type="dxa"/>
            <w:vAlign w:val="bottom"/>
          </w:tcPr>
          <w:p>
            <w:pPr>
              <w:spacing w:after="0"/>
              <w:rPr>
                <w:sz w:val="24"/>
                <w:szCs w:val="24"/>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p>
    <w:p>
      <w:pPr>
        <w:spacing w:after="0" w:line="21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components and changes in accumulated other comprehensive income (loss) for the three and six months ended June 30, 2021 and 2020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Available-for-sale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debt securities</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Cash flow hedges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(1,708)</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ind w:left="340"/>
              <w:spacing w:after="0"/>
              <w:rPr>
                <w:sz w:val="20"/>
                <w:szCs w:val="20"/>
                <w:color w:val="auto"/>
              </w:rPr>
            </w:pPr>
            <w:r>
              <w:rPr>
                <w:rFonts w:ascii="Arial" w:cs="Arial" w:eastAsia="Arial" w:hAnsi="Arial"/>
                <w:sz w:val="18"/>
                <w:szCs w:val="18"/>
                <w:color w:val="auto"/>
              </w:rPr>
              <w:t>Change in unrealized gains (losses)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r>
      <w:tr>
        <w:trPr>
          <w:trHeight w:val="216"/>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losses reclassified into income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5240" w:type="dxa"/>
            <w:vAlign w:val="bottom"/>
          </w:tcPr>
          <w:p>
            <w:pPr>
              <w:ind w:left="340"/>
              <w:spacing w:after="0"/>
              <w:rPr>
                <w:sz w:val="20"/>
                <w:szCs w:val="20"/>
                <w:color w:val="auto"/>
              </w:rPr>
            </w:pPr>
            <w:r>
              <w:rPr>
                <w:rFonts w:ascii="Arial" w:cs="Arial" w:eastAsia="Arial" w:hAnsi="Arial"/>
                <w:sz w:val="18"/>
                <w:szCs w:val="18"/>
                <w:color w:val="auto"/>
              </w:rPr>
              <w:t>Income tax benefit (provision)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r>
      <w:tr>
        <w:trPr>
          <w:trHeight w:val="209"/>
        </w:trPr>
        <w:tc>
          <w:tcPr>
            <w:tcW w:w="524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change during the period</w:t>
            </w: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8"/>
                <w:szCs w:val="18"/>
                <w:color w:val="auto"/>
              </w:rPr>
              <w:t>Balances at March 31, 2021</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unrealized losses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r>
      <w:tr>
        <w:trPr>
          <w:trHeight w:val="216"/>
        </w:trPr>
        <w:tc>
          <w:tcPr>
            <w:tcW w:w="5240" w:type="dxa"/>
            <w:vAlign w:val="bottom"/>
          </w:tcPr>
          <w:p>
            <w:pPr>
              <w:ind w:left="340"/>
              <w:spacing w:after="0"/>
              <w:rPr>
                <w:sz w:val="20"/>
                <w:szCs w:val="20"/>
                <w:color w:val="auto"/>
              </w:rPr>
            </w:pPr>
            <w:r>
              <w:rPr>
                <w:rFonts w:ascii="Arial" w:cs="Arial" w:eastAsia="Arial" w:hAnsi="Arial"/>
                <w:sz w:val="18"/>
                <w:szCs w:val="18"/>
                <w:color w:val="auto"/>
              </w:rPr>
              <w:t>Net losses reclassified into income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09"/>
        </w:trPr>
        <w:tc>
          <w:tcPr>
            <w:tcW w:w="5240" w:type="dxa"/>
            <w:vAlign w:val="bottom"/>
          </w:tcPr>
          <w:p>
            <w:pPr>
              <w:ind w:left="660"/>
              <w:spacing w:after="0"/>
              <w:rPr>
                <w:sz w:val="20"/>
                <w:szCs w:val="20"/>
                <w:color w:val="auto"/>
              </w:rPr>
            </w:pPr>
            <w:r>
              <w:rPr>
                <w:rFonts w:ascii="Arial" w:cs="Arial" w:eastAsia="Arial" w:hAnsi="Arial"/>
                <w:sz w:val="18"/>
                <w:szCs w:val="18"/>
                <w:color w:val="auto"/>
              </w:rPr>
              <w:t>Net change during the period</w:t>
            </w:r>
          </w:p>
        </w:tc>
        <w:tc>
          <w:tcPr>
            <w:tcW w:w="10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r>
      <w:tr>
        <w:trPr>
          <w:trHeight w:val="25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Balances at June 30, 2021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r>
      <w:tr>
        <w:trPr>
          <w:trHeight w:val="197"/>
        </w:trPr>
        <w:tc>
          <w:tcPr>
            <w:tcW w:w="52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ind w:left="340"/>
              <w:spacing w:after="0"/>
              <w:rPr>
                <w:sz w:val="20"/>
                <w:szCs w:val="20"/>
                <w:color w:val="auto"/>
              </w:rPr>
            </w:pPr>
            <w:r>
              <w:rPr>
                <w:rFonts w:ascii="Arial" w:cs="Arial" w:eastAsia="Arial" w:hAnsi="Arial"/>
                <w:sz w:val="18"/>
                <w:szCs w:val="18"/>
                <w:color w:val="auto"/>
              </w:rPr>
              <w:t>Change in unrealized gains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r>
      <w:tr>
        <w:trPr>
          <w:trHeight w:val="216"/>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gains reclassified into income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r>
      <w:tr>
        <w:trPr>
          <w:trHeight w:val="216"/>
        </w:trPr>
        <w:tc>
          <w:tcPr>
            <w:tcW w:w="524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r>
      <w:tr>
        <w:trPr>
          <w:trHeight w:val="210"/>
        </w:trPr>
        <w:tc>
          <w:tcPr>
            <w:tcW w:w="524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change during the period</w:t>
            </w: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8"/>
                <w:szCs w:val="18"/>
                <w:color w:val="auto"/>
              </w:rPr>
              <w:t>Balances at March 31, 2020</w:t>
            </w:r>
          </w:p>
        </w:tc>
        <w:tc>
          <w:tcPr>
            <w:tcW w:w="1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8"/>
                <w:szCs w:val="18"/>
                <w:color w:val="auto"/>
              </w:rPr>
            </w:pPr>
          </w:p>
        </w:tc>
      </w:tr>
      <w:tr>
        <w:trPr>
          <w:trHeight w:val="210"/>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unrealized gains (losses)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r>
      <w:tr>
        <w:trPr>
          <w:trHeight w:val="216"/>
        </w:trPr>
        <w:tc>
          <w:tcPr>
            <w:tcW w:w="5240" w:type="dxa"/>
            <w:vAlign w:val="bottom"/>
          </w:tcPr>
          <w:p>
            <w:pPr>
              <w:ind w:left="340"/>
              <w:spacing w:after="0"/>
              <w:rPr>
                <w:sz w:val="20"/>
                <w:szCs w:val="20"/>
                <w:color w:val="auto"/>
              </w:rPr>
            </w:pPr>
            <w:r>
              <w:rPr>
                <w:rFonts w:ascii="Arial" w:cs="Arial" w:eastAsia="Arial" w:hAnsi="Arial"/>
                <w:sz w:val="18"/>
                <w:szCs w:val="18"/>
                <w:color w:val="auto"/>
              </w:rPr>
              <w:t>Net gains reclassified into income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 (provision)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r>
      <w:tr>
        <w:trPr>
          <w:trHeight w:val="210"/>
        </w:trPr>
        <w:tc>
          <w:tcPr>
            <w:tcW w:w="5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change during the period</w:t>
            </w:r>
          </w:p>
        </w:tc>
        <w:tc>
          <w:tcPr>
            <w:tcW w:w="10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18"/>
                <w:szCs w:val="18"/>
                <w:color w:val="auto"/>
              </w:rPr>
            </w:pPr>
          </w:p>
        </w:tc>
      </w:tr>
      <w:tr>
        <w:trPr>
          <w:trHeight w:val="249"/>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June 30, 2020</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effects on income before income taxes of amounts reclassified from AOCI to the condensed consolidated statements of operations were as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follows:</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980" w:type="dxa"/>
            <w:vAlign w:val="bottom"/>
          </w:tcPr>
          <w:p>
            <w:pPr>
              <w:spacing w:after="0"/>
              <w:rPr>
                <w:sz w:val="24"/>
                <w:szCs w:val="24"/>
                <w:color w:val="auto"/>
              </w:rPr>
            </w:pPr>
          </w:p>
        </w:tc>
        <w:tc>
          <w:tcPr>
            <w:tcW w:w="216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8"/>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gridSpan w:val="7"/>
          </w:tcPr>
          <w:p>
            <w:pPr>
              <w:jc w:val="right"/>
              <w:ind w:right="100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AOCI - Available-for-sale debt securities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780" w:type="dxa"/>
            <w:vAlign w:val="bottom"/>
          </w:tcPr>
          <w:p>
            <w:pPr>
              <w:jc w:val="right"/>
              <w:ind w:right="618"/>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line="216" w:lineRule="exact"/>
              <w:rPr>
                <w:sz w:val="20"/>
                <w:szCs w:val="20"/>
                <w:color w:val="auto"/>
              </w:rPr>
            </w:pPr>
            <w:r>
              <w:rPr>
                <w:rFonts w:ascii="Arial" w:cs="Arial" w:eastAsia="Arial" w:hAnsi="Arial"/>
                <w:sz w:val="14"/>
                <w:szCs w:val="14"/>
                <w:color w:val="auto"/>
              </w:rPr>
              <w:t>(8</w:t>
            </w:r>
            <w:r>
              <w:rPr>
                <w:rFonts w:ascii="Arial" w:cs="Arial" w:eastAsia="Arial" w:hAnsi="Arial"/>
                <w:sz w:val="25"/>
                <w:szCs w:val="25"/>
                <w:color w:val="auto"/>
                <w:vertAlign w:val="subscript"/>
              </w:rPr>
              <w:t>)</w:t>
            </w:r>
          </w:p>
        </w:tc>
        <w:tc>
          <w:tcPr>
            <w:tcW w:w="660" w:type="dxa"/>
            <w:vAlign w:val="bottom"/>
          </w:tcPr>
          <w:p>
            <w:pPr>
              <w:jc w:val="right"/>
              <w:ind w:right="497"/>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center"/>
              <w:ind w:right="450"/>
              <w:spacing w:after="0"/>
              <w:rPr>
                <w:sz w:val="20"/>
                <w:szCs w:val="20"/>
                <w:color w:val="auto"/>
              </w:rPr>
            </w:pPr>
            <w:r>
              <w:rPr>
                <w:rFonts w:ascii="Arial" w:cs="Arial" w:eastAsia="Arial" w:hAnsi="Arial"/>
                <w:sz w:val="18"/>
                <w:szCs w:val="18"/>
                <w:color w:val="auto"/>
                <w:w w:val="99"/>
              </w:rPr>
              <w:t>$</w:t>
            </w:r>
          </w:p>
        </w:tc>
        <w:tc>
          <w:tcPr>
            <w:tcW w:w="400" w:type="dxa"/>
            <w:vAlign w:val="bottom"/>
            <w:gridSpan w:val="3"/>
          </w:tcPr>
          <w:p>
            <w:pPr>
              <w:jc w:val="right"/>
              <w:ind w:right="20"/>
              <w:spacing w:after="0" w:line="216" w:lineRule="exact"/>
              <w:rPr>
                <w:sz w:val="20"/>
                <w:szCs w:val="20"/>
                <w:color w:val="auto"/>
              </w:rPr>
            </w:pPr>
            <w:r>
              <w:rPr>
                <w:rFonts w:ascii="Arial" w:cs="Arial" w:eastAsia="Arial" w:hAnsi="Arial"/>
                <w:sz w:val="14"/>
                <w:szCs w:val="14"/>
                <w:color w:val="auto"/>
              </w:rPr>
              <w:t>(16</w:t>
            </w:r>
            <w:r>
              <w:rPr>
                <w:rFonts w:ascii="Arial" w:cs="Arial" w:eastAsia="Arial" w:hAnsi="Arial"/>
                <w:sz w:val="25"/>
                <w:szCs w:val="25"/>
                <w:color w:val="auto"/>
                <w:vertAlign w:val="subscript"/>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Reclassification of AOCI - Cash flow hedges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(456)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(673)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Cost of revenues</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(127)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221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(152)</w:t>
            </w:r>
          </w:p>
        </w:tc>
        <w:tc>
          <w:tcPr>
            <w:tcW w:w="2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center"/>
              <w:ind w:right="5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1"/>
              </w:rPr>
              <w:t>(344)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NOTE  Property and Equipment, Net</w:t>
            </w: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59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4.</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40" w:type="dxa"/>
            <w:vAlign w:val="bottom"/>
            <w:gridSpan w:val="6"/>
          </w:tcPr>
          <w:p>
            <w:pPr>
              <w:ind w:left="420"/>
              <w:spacing w:after="0"/>
              <w:rPr>
                <w:sz w:val="20"/>
                <w:szCs w:val="20"/>
                <w:color w:val="auto"/>
              </w:rPr>
            </w:pPr>
            <w:r>
              <w:rPr>
                <w:rFonts w:ascii="Arial" w:cs="Arial" w:eastAsia="Arial" w:hAnsi="Arial"/>
                <w:sz w:val="18"/>
                <w:szCs w:val="18"/>
                <w:color w:val="auto"/>
                <w:w w:val="97"/>
              </w:rPr>
              <w:t>Property and equipment, net, which includes assets under finance leases, consists of the following:</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47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5"/>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151,878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136,286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Computer software</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25,795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26,164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Scanner appliances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16,770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16,749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Finance leases - right of use asset</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property and equipment</w:t>
            </w:r>
          </w:p>
        </w:tc>
        <w:tc>
          <w:tcPr>
            <w:tcW w:w="7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222,207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53"/>
              <w:spacing w:after="0"/>
              <w:rPr>
                <w:sz w:val="20"/>
                <w:szCs w:val="20"/>
                <w:color w:val="auto"/>
              </w:rPr>
            </w:pPr>
            <w:r>
              <w:rPr>
                <w:rFonts w:ascii="Arial" w:cs="Arial" w:eastAsia="Arial" w:hAnsi="Arial"/>
                <w:sz w:val="18"/>
                <w:szCs w:val="18"/>
                <w:color w:val="auto"/>
              </w:rPr>
              <w:t>(156,248)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(145,558)</w:t>
            </w:r>
          </w:p>
        </w:tc>
        <w:tc>
          <w:tcPr>
            <w:tcW w:w="0" w:type="dxa"/>
            <w:vAlign w:val="bottom"/>
          </w:tcPr>
          <w:p>
            <w:pPr>
              <w:spacing w:after="0"/>
              <w:rPr>
                <w:sz w:val="1"/>
                <w:szCs w:val="1"/>
                <w:color w:val="auto"/>
              </w:rPr>
            </w:pPr>
          </w:p>
        </w:tc>
      </w:tr>
      <w:tr>
        <w:trPr>
          <w:trHeight w:val="249"/>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65,959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42" w:gutter="0" w:footer="0" w:header="0"/>
        </w:sectPr>
      </w:pPr>
    </w:p>
    <w:bookmarkStart w:id="14" w:name="page15"/>
    <w:bookmarkEnd w:id="14"/>
    <w:p>
      <w:pPr>
        <w:jc w:val="both"/>
        <w:ind w:firstLine="405"/>
        <w:spacing w:after="0" w:line="296" w:lineRule="auto"/>
        <w:rPr>
          <w:sz w:val="20"/>
          <w:szCs w:val="20"/>
          <w:color w:val="auto"/>
        </w:rPr>
      </w:pPr>
      <w:r>
        <w:rPr>
          <w:rFonts w:ascii="Arial" w:cs="Arial" w:eastAsia="Arial" w:hAnsi="Arial"/>
          <w:sz w:val="16"/>
          <w:szCs w:val="16"/>
          <w:color w:val="auto"/>
        </w:rPr>
        <w:t>As of June 30, 2021 and December 31, 2020, physical scanner appliances and other computer equipment that are or will be subject to leases by customers had a net carrying value of $7.3 million and $7.5 million, respectively, including assets that had not been placed in service of $2.2 million and $1.9 million, respectively. Depreciation and amortization expenses relating to property and equipment were $6.9 million and $6.4 million for the three months ended June 30, 2021 and 2020, respectively, and $14.2 million and $12.6 million for the six months ended June 30, 2021 and 2020, respectively. Assets under finance leases were acquired upon completion of lease term and placed within computer equipment as of June 30, 2021.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Revenue from Contracts with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offset by revenue recognized in the period. Revenues of $63.5 million and $55.9 million were recognized during the three months ended June 30, 2021 and 2020, respectively, which amounts were included in the deferred revenue balances as of December 31, 2020 and 2019, respectively. Revenues of $147.0 million and $129.7 million were recognized during the six months ended June 30, 2021 and 2020, respectively, which amounts were included in the deferred revenue balances as of December 31, 2020 and 2019, respectively.</w:t>
      </w:r>
    </w:p>
    <w:p>
      <w:pPr>
        <w:spacing w:after="0" w:line="188"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Company's payment terms vary by the type and location of its customers. The term between invoicing and when payment is due is not significant. In certain circumstances, based on the credit quality of the customer, the Company requires payment before the products or services are delivered to the customer.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8840" w:type="dxa"/>
            <w:vAlign w:val="bottom"/>
          </w:tcPr>
          <w:p>
            <w:pPr>
              <w:ind w:left="20"/>
              <w:spacing w:after="0"/>
              <w:rPr>
                <w:sz w:val="20"/>
                <w:szCs w:val="20"/>
                <w:color w:val="auto"/>
              </w:rPr>
            </w:pPr>
            <w:r>
              <w:rPr>
                <w:rFonts w:ascii="Arial" w:cs="Arial" w:eastAsia="Arial" w:hAnsi="Arial"/>
                <w:sz w:val="18"/>
                <w:szCs w:val="18"/>
                <w:color w:val="auto"/>
                <w:w w:val="95"/>
              </w:rPr>
              <w:t>The following table sets forth the expected revenue from all remaining performance obligations as of June 30, 2021: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2021</w:t>
            </w:r>
          </w:p>
        </w:tc>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six months)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61,858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2022</w:t>
            </w:r>
          </w:p>
        </w:tc>
        <w:tc>
          <w:tcPr>
            <w:tcW w:w="8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95,612</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2023</w:t>
            </w:r>
          </w:p>
        </w:tc>
        <w:tc>
          <w:tcPr>
            <w:tcW w:w="8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58,327</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2024</w:t>
            </w:r>
          </w:p>
        </w:tc>
        <w:tc>
          <w:tcPr>
            <w:tcW w:w="8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7,839</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2025</w:t>
            </w:r>
          </w:p>
        </w:tc>
        <w:tc>
          <w:tcPr>
            <w:tcW w:w="8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2026 and thereafter</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49"/>
        </w:trPr>
        <w:tc>
          <w:tcPr>
            <w:tcW w:w="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Total</w:t>
            </w:r>
          </w:p>
        </w:tc>
        <w:tc>
          <w:tcPr>
            <w:tcW w:w="88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Revenues allocated to remaining performance obligations represents the transaction price of noncancelable orders for which service has not been performed, which include deferred revenue and the amounts that will be invoiced and recognized as revenues in future periods from open contracts and excludes unexercised renewals. The Company applied the short-term contract exemption to exclude the remaining performance obligations that are part of a contract that has an original expected duration of one year or less.</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From time to time, the Company enters into contracts with customers that extend beyond one year, with certain of its customers electing to pay for more than one year of services upon contract execution. For any discounts associated with these multiple year contracts, the Company concluded its contracts did not contain a financing component.</w:t>
      </w:r>
    </w:p>
    <w:p>
      <w:pPr>
        <w:sectPr>
          <w:pgSz w:w="11900" w:h="16838" w:orient="portrait"/>
          <w:cols w:equalWidth="0" w:num="1">
            <w:col w:w="11240"/>
          </w:cols>
          <w:pgMar w:left="320" w:top="125" w:right="339" w:bottom="426" w:gutter="0" w:footer="0" w:header="0"/>
        </w:sectPr>
      </w:pPr>
    </w:p>
    <w:p>
      <w:pPr>
        <w:spacing w:after="0" w:line="184"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Revenues by sales channel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Direct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42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22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r>
      <w:tr>
        <w:trPr>
          <w:trHeight w:val="195"/>
        </w:trPr>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(in</w:t>
            </w:r>
          </w:p>
        </w:tc>
        <w:tc>
          <w:tcPr>
            <w:tcW w:w="1320" w:type="dxa"/>
            <w:vAlign w:val="bottom"/>
            <w:gridSpan w:val="3"/>
          </w:tcPr>
          <w:p>
            <w:pPr>
              <w:jc w:val="right"/>
              <w:ind w:right="570"/>
              <w:spacing w:after="0"/>
              <w:rPr>
                <w:sz w:val="20"/>
                <w:szCs w:val="20"/>
                <w:color w:val="auto"/>
              </w:rPr>
            </w:pPr>
            <w:r>
              <w:rPr>
                <w:rFonts w:ascii="Arial" w:cs="Arial" w:eastAsia="Arial" w:hAnsi="Arial"/>
                <w:sz w:val="16"/>
                <w:szCs w:val="16"/>
                <w:b w:val="1"/>
                <w:bCs w:val="1"/>
                <w:color w:val="auto"/>
                <w:w w:val="74"/>
              </w:rPr>
              <w:t>thousands)</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58,782</w:t>
            </w:r>
          </w:p>
        </w:tc>
        <w:tc>
          <w:tcPr>
            <w:tcW w:w="2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51,805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116,734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101,810</w:t>
            </w:r>
          </w:p>
        </w:tc>
      </w:tr>
      <w:tr>
        <w:trPr>
          <w:trHeight w:val="230"/>
        </w:trPr>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40,920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37,025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79,724</w:t>
            </w: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73,283</w:t>
            </w:r>
          </w:p>
        </w:tc>
      </w:tr>
      <w:tr>
        <w:trPr>
          <w:trHeight w:val="210"/>
        </w:trPr>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99,702</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88,830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196,458</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175,093</w:t>
            </w:r>
          </w:p>
        </w:tc>
        <w:tc>
          <w:tcPr>
            <w:tcW w:w="20" w:type="dxa"/>
            <w:vAlign w:val="bottom"/>
          </w:tcPr>
          <w:p>
            <w:pPr>
              <w:spacing w:after="0"/>
              <w:rPr>
                <w:sz w:val="18"/>
                <w:szCs w:val="18"/>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-445135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-170815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180"/>
          </w:cols>
          <w:pgMar w:left="320" w:top="125" w:right="339" w:bottom="426" w:gutter="0" w:footer="0" w:header="0"/>
          <w:type w:val="continuous"/>
        </w:sectPr>
      </w:pPr>
    </w:p>
    <w:p>
      <w:pPr>
        <w:spacing w:after="0" w:line="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12, "Segment Information and Information about Geographic Area" for disaggregation of revenue by geographic area.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420"/>
              <w:spacing w:after="0"/>
              <w:rPr>
                <w:sz w:val="20"/>
                <w:szCs w:val="20"/>
                <w:color w:val="auto"/>
              </w:rPr>
            </w:pPr>
            <w:r>
              <w:rPr>
                <w:rFonts w:ascii="Arial" w:cs="Arial" w:eastAsia="Arial" w:hAnsi="Arial"/>
                <w:sz w:val="18"/>
                <w:szCs w:val="18"/>
                <w:color w:val="auto"/>
              </w:rPr>
              <w:t>Deferred costs to obtain contracts are as follows: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30, 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3,757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6,980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6,906</w:t>
            </w:r>
          </w:p>
        </w:tc>
      </w:tr>
    </w:tbl>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June 30, 2021 and 2020, the Company recognized $0.9 million and $0.7 million, respectively, of amortization expense relating to deferred costs to obtain contracts. For the six months ended June 30, 2021 and 2020, the Company recognized $1.8 million and $1.4 million, respectively, of amortization expense relating to deferred costs to obtain contracts. During the same periods, there was no impairment loss related to the deferred costs to obtain contracts.</w:t>
      </w:r>
    </w:p>
    <w:p>
      <w:pPr>
        <w:sectPr>
          <w:pgSz w:w="11900" w:h="16838" w:orient="portrait"/>
          <w:cols w:equalWidth="0" w:num="1">
            <w:col w:w="11240"/>
          </w:cols>
          <w:pgMar w:left="320" w:top="125" w:right="339" w:bottom="426"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26"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Intangible Assets,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p>
    <w:p>
      <w:pPr>
        <w:spacing w:after="0" w:line="2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Intangible assets consist primarily of developed technology and patent licenses acquired from business or asset acquisitions. Acquired intangibles are amortized on a straight-line basis over the respective estimated useful lives of the assets.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ind w:left="420"/>
              <w:spacing w:after="0"/>
              <w:rPr>
                <w:sz w:val="20"/>
                <w:szCs w:val="20"/>
                <w:color w:val="auto"/>
              </w:rPr>
            </w:pPr>
            <w:r>
              <w:rPr>
                <w:rFonts w:ascii="Arial" w:cs="Arial" w:eastAsia="Arial" w:hAnsi="Arial"/>
                <w:sz w:val="18"/>
                <w:szCs w:val="18"/>
                <w:color w:val="auto"/>
                <w:w w:val="95"/>
              </w:rPr>
              <w:t>The carrying values of intangible assets are as follows: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0"/>
              </w:rPr>
              <w:t>June 30, 2021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20"/>
                <w:szCs w:val="2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Net Book</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620" w:type="dxa"/>
            <w:vAlign w:val="bottom"/>
            <w:gridSpan w:val="2"/>
          </w:tcPr>
          <w:p>
            <w:pPr>
              <w:ind w:left="170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Developed technology</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4.4</w:t>
            </w: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1.3</w:t>
            </w:r>
          </w:p>
        </w:tc>
        <w:tc>
          <w:tcPr>
            <w:tcW w:w="240" w:type="dxa"/>
            <w:vAlign w:val="bottom"/>
            <w:tcBorders>
              <w:top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tcBorders>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27,356</w:t>
            </w:r>
          </w:p>
        </w:tc>
        <w:tc>
          <w:tcPr>
            <w:tcW w:w="320" w:type="dxa"/>
            <w:vAlign w:val="bottom"/>
            <w:tcBorders>
              <w:top w:val="single" w:sz="8" w:color="CCEEFF"/>
            </w:tcBorders>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(19,268)</w:t>
            </w:r>
          </w:p>
        </w:tc>
        <w:tc>
          <w:tcPr>
            <w:tcW w:w="1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8,088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Patent licenses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1,387</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(1,071)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9"/>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intangibles subject to amortization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29,243</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 assets,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0"/>
              </w:rPr>
              <w:t>December 31, 2020</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20"/>
                <w:szCs w:val="2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Net Book</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620" w:type="dxa"/>
            <w:vAlign w:val="bottom"/>
            <w:gridSpan w:val="2"/>
          </w:tcPr>
          <w:p>
            <w:pPr>
              <w:ind w:left="170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Developed technology</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4.4</w:t>
            </w: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1.8</w:t>
            </w:r>
          </w:p>
        </w:tc>
        <w:tc>
          <w:tcPr>
            <w:tcW w:w="240" w:type="dxa"/>
            <w:vAlign w:val="bottom"/>
            <w:tcBorders>
              <w:top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27,356</w:t>
            </w:r>
          </w:p>
        </w:tc>
        <w:tc>
          <w:tcPr>
            <w:tcW w:w="520" w:type="dxa"/>
            <w:vAlign w:val="bottom"/>
            <w:tcBorders>
              <w:top w:val="single" w:sz="8" w:color="CCEEFF"/>
            </w:tcBorders>
            <w:gridSpan w:val="2"/>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(16,152)</w:t>
            </w:r>
          </w:p>
        </w:tc>
        <w:tc>
          <w:tcPr>
            <w:tcW w:w="1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11,204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Patent licenses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intangibles subject to amortization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(17,277)</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 assets,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Intangible asset amortization expense was $1.6 million and $1.5 million for the three months ended June 30, 2021 and 2020, respectively, and $3.3 million and $3.0 million for the six months ended June 30, 2021 and 2020, respectively. Intangible asset amortization expenses were primarily recorded in cost of revenues in the condensed consolidated statements of operations.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2021, the Company expects amortization expense in future periods to be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2021 (remaining six months)</w:t>
            </w:r>
          </w:p>
        </w:tc>
        <w:tc>
          <w:tcPr>
            <w:tcW w:w="5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2023</w:t>
            </w: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Total expected future amortization expense</w:t>
            </w:r>
          </w:p>
        </w:tc>
        <w:tc>
          <w:tcPr>
            <w:tcW w:w="53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5360" w:type="dxa"/>
            <w:vAlign w:val="bottom"/>
            <w:vMerge w:val="restart"/>
          </w:tcPr>
          <w:p>
            <w:pPr>
              <w:jc w:val="right"/>
              <w:ind w:right="387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auto"/>
            </w:tcBorders>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5"/>
          <w:szCs w:val="15"/>
          <w:b w:val="1"/>
          <w:bCs w:val="1"/>
          <w:color w:val="auto"/>
        </w:rPr>
        <w:t>Leases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w:t>
      </w:r>
    </w:p>
    <w:p>
      <w:pPr>
        <w:spacing w:after="0" w:line="21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 leases certain offices, computer equipment and its data center facilities under non-cancelable operating leases for varying periods through 2028. While under the Company's lease agreements the Company has options to extend its certain leases, the Company has not included renewal options in determining the lease terms for calculating its lease liabilities, as these options are not reasonably certain of being exercised. Lease expense was $3.6 million and $4.5 million for the three months ended June 30, 2021 and 2020, respectively, and $7.2 million and $8.9 million for the six months ended June 30, 2021 and 2020, respectively. The Company's finance leases are immaterial.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420"/>
              <w:spacing w:after="0"/>
              <w:rPr>
                <w:sz w:val="20"/>
                <w:szCs w:val="20"/>
                <w:color w:val="auto"/>
              </w:rPr>
            </w:pPr>
            <w:r>
              <w:rPr>
                <w:rFonts w:ascii="Arial" w:cs="Arial" w:eastAsia="Arial" w:hAnsi="Arial"/>
                <w:sz w:val="18"/>
                <w:szCs w:val="18"/>
                <w:color w:val="auto"/>
              </w:rPr>
              <w:t>Supplemental cash flow information related to operating leases was as follows: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266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Six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180" w:type="dxa"/>
            <w:vAlign w:val="bottom"/>
            <w:gridSpan w:val="3"/>
          </w:tcPr>
          <w:p>
            <w:pPr>
              <w:jc w:val="right"/>
              <w:ind w:right="450"/>
              <w:spacing w:after="0"/>
              <w:rPr>
                <w:sz w:val="20"/>
                <w:szCs w:val="20"/>
                <w:color w:val="auto"/>
              </w:rPr>
            </w:pPr>
            <w:r>
              <w:rPr>
                <w:rFonts w:ascii="Arial" w:cs="Arial" w:eastAsia="Arial" w:hAnsi="Arial"/>
                <w:sz w:val="16"/>
                <w:szCs w:val="16"/>
                <w:b w:val="1"/>
                <w:bCs w:val="1"/>
                <w:color w:val="auto"/>
                <w:w w:val="71"/>
              </w:rPr>
              <w:t>thousands)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payments included in the measurement of lease liabilities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6,853</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5,106</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Lease liabilities arising from obtaining right-of-use assets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1,179</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7,033</w:t>
            </w: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weighted average remaining lease term and the weighted average discount rate of the Company's operating leases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920" w:type="dxa"/>
            <w:vAlign w:val="bottom"/>
          </w:tcPr>
          <w:p>
            <w:pPr>
              <w:spacing w:after="0"/>
              <w:rPr>
                <w:sz w:val="20"/>
                <w:szCs w:val="20"/>
                <w:color w:val="auto"/>
              </w:rPr>
            </w:pPr>
          </w:p>
        </w:tc>
        <w:tc>
          <w:tcPr>
            <w:tcW w:w="14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June 30, 2021</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09"/>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17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3.6</w:t>
            </w:r>
          </w:p>
        </w:tc>
        <w:tc>
          <w:tcPr>
            <w:tcW w:w="16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4.1</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720" w:type="dxa"/>
            <w:vAlign w:val="bottom"/>
            <w:gridSpan w:val="2"/>
          </w:tcPr>
          <w:p>
            <w:pPr>
              <w:ind w:left="1220"/>
              <w:spacing w:after="0"/>
              <w:rPr>
                <w:sz w:val="20"/>
                <w:szCs w:val="20"/>
                <w:color w:val="auto"/>
              </w:rPr>
            </w:pPr>
            <w:r>
              <w:rPr>
                <w:rFonts w:ascii="Arial" w:cs="Arial" w:eastAsia="Arial" w:hAnsi="Arial"/>
                <w:sz w:val="18"/>
                <w:szCs w:val="18"/>
                <w:color w:val="auto"/>
              </w:rPr>
              <w:t>4.8%</w:t>
            </w:r>
          </w:p>
        </w:tc>
        <w:tc>
          <w:tcPr>
            <w:tcW w:w="1600" w:type="dxa"/>
            <w:vAlign w:val="bottom"/>
            <w:gridSpan w:val="2"/>
          </w:tcPr>
          <w:p>
            <w:pPr>
              <w:ind w:left="1220"/>
              <w:spacing w:after="0"/>
              <w:rPr>
                <w:sz w:val="20"/>
                <w:szCs w:val="20"/>
                <w:color w:val="auto"/>
              </w:rPr>
            </w:pPr>
            <w:r>
              <w:rPr>
                <w:rFonts w:ascii="Arial" w:cs="Arial" w:eastAsia="Arial" w:hAnsi="Arial"/>
                <w:sz w:val="18"/>
                <w:szCs w:val="18"/>
                <w:color w:val="auto"/>
                <w:w w:val="87"/>
              </w:rPr>
              <w:t>4.8%</w:t>
            </w:r>
          </w:p>
        </w:tc>
      </w:tr>
    </w:tbl>
    <w:p>
      <w:pPr>
        <w:spacing w:after="0" w:line="200" w:lineRule="exact"/>
        <w:rPr>
          <w:sz w:val="20"/>
          <w:szCs w:val="20"/>
          <w:color w:val="auto"/>
        </w:rPr>
      </w:pPr>
    </w:p>
    <w:p>
      <w:pPr>
        <w:spacing w:after="0" w:line="22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Commitments and 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maintains director and officer insurance, which may cover certain liabilities arising from its obligation to indemnify its directors.</w:t>
      </w:r>
    </w:p>
    <w:p>
      <w:pPr>
        <w:spacing w:after="0" w:line="200" w:lineRule="exact"/>
        <w:rPr>
          <w:sz w:val="20"/>
          <w:szCs w:val="20"/>
          <w:color w:val="auto"/>
        </w:rPr>
      </w:pPr>
    </w:p>
    <w:p>
      <w:pPr>
        <w:spacing w:after="0" w:line="2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Stockholders' Equity and Stock-Based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2012 Equity Incentive Plan</w:t>
      </w:r>
    </w:p>
    <w:p>
      <w:pPr>
        <w:spacing w:after="0" w:line="22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17,662 thousand shares of common stock as of June 30, 2021, including 1,963 thousand shares authorized during the six months ended June 30, 2021. Options may be granted with an exercise price that is at least equal to the fair market value of the Company's stock at the date of grant and are exercisable when vested. As of June 30, 2021, 8,572 thousand shares were available for grant under the 2012 Plan.</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2000 Equity Incentive Plan</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Under the 2000 Equity Incentive Plan (the "2000 Plan"), the Company was authorized to grant to eligible participants either ISOs or NSOs. The 2000 Plan was terminated in connection with the closing of the Company's initial public offering, and accordingly, no shares are currently available for grant under the 2000 Plan. The 2000 Plan continues to govern outstanding awards granted thereunder.</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2021 Employee Stock Purchase Plan</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June 9, 2021, the Company’s stockholders approved the 2021 Employee Stock Purchase Plan (the “ESPP”). A total of 600 thousand shares were authorized for issuance to eligible participating employees upon adoption of the ESPP. The ESPP provides for consecutive 6-month offering periods beginning on or about August 16 and February 16 of each year. On each purchase date, eligible employees will purchase the shares at a price per share equal to 85% of the lesser of (i) the fair market value of the Company's stock on the first trading day of the offering period or (ii) the fair market value of the Company's stock on the purchase date (i.e., the last trading day of the offering period).</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a summary of the stock-based compensation expense included in the condensed consolidated statements of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20" w:type="dxa"/>
            <w:vAlign w:val="bottom"/>
            <w:gridSpan w:val="3"/>
          </w:tcPr>
          <w:p>
            <w:pPr>
              <w:jc w:val="right"/>
              <w:ind w:right="570"/>
              <w:spacing w:after="0"/>
              <w:rPr>
                <w:sz w:val="20"/>
                <w:szCs w:val="20"/>
                <w:color w:val="auto"/>
              </w:rPr>
            </w:pPr>
            <w:r>
              <w:rPr>
                <w:rFonts w:ascii="Arial" w:cs="Arial" w:eastAsia="Arial" w:hAnsi="Arial"/>
                <w:sz w:val="16"/>
                <w:szCs w:val="16"/>
                <w:b w:val="1"/>
                <w:bCs w:val="1"/>
                <w:color w:val="auto"/>
                <w:w w:val="74"/>
              </w:rPr>
              <w:t>thousands)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2,582</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3,253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4,797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6,690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4,044</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4,095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37,528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8,481</w:t>
            </w:r>
          </w:p>
        </w:tc>
      </w:tr>
      <w:tr>
        <w:trPr>
          <w:trHeight w:val="25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June 30, 2021, the Company had $14.5 million of total unrecognized stock-based compensation expense related to unvested options which are expected to be recognized over a weighted-average period of 2.7 years, and $53.8 million of unrecognized stock-based compensation expense related to unvested RSUs which are expected to be recognized over a weighted-average period of 2.7 years.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Performance-Based Restricted Stock Units and Stock Options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April 27, 2021, the compensation committee of the Company's board of directors (Compensation Committee) granted to the Company’s President and Chief Executive Officer an equity award consisting of certain RSUs and a target number of 9,671 performance-based restricted stock units ("PSUs"). The PSUs are scheduled to vest at the end of the three-year performance period from January 2021 through December 2023. The actual number of PSUs eligible to vest range from 0% to 200% of the target number, depending on the level of achievement of goals related to revenue growth and free cash flow per share growth during the performance period. If the Company's President and Chief Executive Officer is terminated (a) by reason of death or disability or (b) by the Company for reasons other than cause or good reason within 12 months following a change in control, then 100% of any unvested portions of the award will vest, with any vesting in connection with terminations due to change in control conditioned upon the effectiveness of a release of claims in favor of the Company.</w:t>
      </w:r>
    </w:p>
    <w:p>
      <w:pPr>
        <w:spacing w:after="0" w:line="19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March 19, 2021, the Company’s former Chief Executive Officer, Philippe Courtot, resigned from the Company due to health issues. The Compensation Committee determined that Mr. Courtot’s termination of employment was on account of disability. In accordance with the grant agreements of the equity awards for 2021, 2020 and 2019 for Mr. Courtot, all remaining outstanding RSUs, PSUs and performance stock options under these grants were subject to accelerated vesting and became fully vested at 100% of the target number of awards as of the date of his termination of employment, which consist of 127 thousand RSUs, 44 thousand PSUs and 348 thousand performance stock options. As a result, the Company recognized $27.3 million of stock-based compensation expense due to the accelerated vesting in the condensed consolidated statements of operations during the six months ended June 30, 2021.</w:t>
      </w:r>
    </w:p>
    <w:p>
      <w:pPr>
        <w:spacing w:after="0" w:line="19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February 2021 and February 2020, 22 thousand shares (representing 200% of target number of awards) and 15 thousand shares (representing 135% of target number of awards) under the equity award for 2019 for Mr. Courtot, vested as a result of the Company achieving the corresponding level of performance goals for fiscal 2020 and 2019, respectively.</w:t>
      </w:r>
    </w:p>
    <w:p>
      <w:pPr>
        <w:spacing w:after="0" w:line="1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98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Stock Option Activity</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ind w:left="420"/>
              <w:spacing w:after="0"/>
              <w:rPr>
                <w:sz w:val="20"/>
                <w:szCs w:val="20"/>
                <w:color w:val="auto"/>
              </w:rPr>
            </w:pPr>
            <w:r>
              <w:rPr>
                <w:rFonts w:ascii="Arial" w:cs="Arial" w:eastAsia="Arial" w:hAnsi="Arial"/>
                <w:sz w:val="18"/>
                <w:szCs w:val="18"/>
                <w:color w:val="auto"/>
              </w:rPr>
              <w:t>A summary of the Company’s stock option activity is as follows: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Weighted</w:t>
            </w:r>
          </w:p>
        </w:tc>
        <w:tc>
          <w:tcPr>
            <w:tcW w:w="200" w:type="dxa"/>
            <w:vAlign w:val="bottom"/>
          </w:tcPr>
          <w:p>
            <w:pPr>
              <w:spacing w:after="0"/>
              <w:rPr>
                <w:sz w:val="18"/>
                <w:szCs w:val="18"/>
                <w:color w:val="auto"/>
              </w:rPr>
            </w:pPr>
          </w:p>
        </w:tc>
        <w:tc>
          <w:tcPr>
            <w:tcW w:w="8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Outstanding</w:t>
            </w:r>
          </w:p>
        </w:tc>
        <w:tc>
          <w:tcPr>
            <w:tcW w:w="14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Average</w:t>
            </w:r>
          </w:p>
        </w:tc>
        <w:tc>
          <w:tcPr>
            <w:tcW w:w="200" w:type="dxa"/>
            <w:vAlign w:val="bottom"/>
          </w:tcPr>
          <w:p>
            <w:pPr>
              <w:spacing w:after="0"/>
              <w:rPr>
                <w:sz w:val="18"/>
                <w:szCs w:val="18"/>
                <w:color w:val="auto"/>
              </w:rPr>
            </w:pPr>
          </w:p>
        </w:tc>
        <w:tc>
          <w:tcPr>
            <w:tcW w:w="1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140" w:type="dxa"/>
            <w:vAlign w:val="bottom"/>
            <w:gridSpan w:val="4"/>
          </w:tcPr>
          <w:p>
            <w:pPr>
              <w:ind w:left="20"/>
              <w:spacing w:after="0"/>
              <w:rPr>
                <w:sz w:val="20"/>
                <w:szCs w:val="20"/>
                <w:color w:val="auto"/>
              </w:rPr>
            </w:pPr>
            <w:r>
              <w:rPr>
                <w:rFonts w:ascii="Arial" w:cs="Arial" w:eastAsia="Arial" w:hAnsi="Arial"/>
                <w:sz w:val="18"/>
                <w:szCs w:val="18"/>
                <w:b w:val="1"/>
                <w:bCs w:val="1"/>
                <w:color w:val="auto"/>
                <w:w w:val="89"/>
              </w:rPr>
              <w:t>Exercise Price</w:t>
            </w:r>
          </w:p>
        </w:tc>
        <w:tc>
          <w:tcPr>
            <w:tcW w:w="200" w:type="dxa"/>
            <w:vAlign w:val="bottom"/>
          </w:tcPr>
          <w:p>
            <w:pPr>
              <w:spacing w:after="0"/>
              <w:rPr>
                <w:sz w:val="20"/>
                <w:szCs w:val="20"/>
                <w:color w:val="auto"/>
              </w:rPr>
            </w:pPr>
          </w:p>
        </w:tc>
        <w:tc>
          <w:tcPr>
            <w:tcW w:w="88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9"/>
              </w:rPr>
              <w:t>Life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191"/>
        </w:trPr>
        <w:tc>
          <w:tcPr>
            <w:tcW w:w="12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12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(in</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(in</w:t>
            </w: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thousands)</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59.07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79"/>
              </w:rPr>
              <w:t>6.5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139,121</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114.62</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35.25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Canceled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99.91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June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64.37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79"/>
              </w:rPr>
              <w:t>5.1</w:t>
            </w:r>
          </w:p>
        </w:tc>
        <w:tc>
          <w:tcPr>
            <w:tcW w:w="2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85,821</w:t>
            </w:r>
          </w:p>
        </w:tc>
      </w:tr>
      <w:tr>
        <w:trPr>
          <w:trHeight w:val="196"/>
        </w:trPr>
        <w:tc>
          <w:tcPr>
            <w:tcW w:w="5980" w:type="dxa"/>
            <w:vAlign w:val="bottom"/>
            <w:gridSpan w:val="2"/>
          </w:tcPr>
          <w:p>
            <w:pPr>
              <w:spacing w:after="0" w:line="196" w:lineRule="exact"/>
              <w:rPr>
                <w:sz w:val="20"/>
                <w:szCs w:val="20"/>
                <w:color w:val="auto"/>
              </w:rPr>
            </w:pPr>
            <w:r>
              <w:rPr>
                <w:rFonts w:ascii="Arial" w:cs="Arial" w:eastAsia="Arial" w:hAnsi="Arial"/>
                <w:sz w:val="18"/>
                <w:szCs w:val="18"/>
                <w:color w:val="auto"/>
              </w:rPr>
              <w:t>Vested and expected to vest - June 30, 2021</w:t>
            </w:r>
          </w:p>
        </w:tc>
        <w:tc>
          <w:tcPr>
            <w:tcW w:w="13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2,080</w:t>
            </w: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61.38</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w w:val="79"/>
              </w:rPr>
              <w:t>4.8</w:t>
            </w:r>
          </w:p>
        </w:tc>
        <w:tc>
          <w:tcPr>
            <w:tcW w:w="2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85,211</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 June 30, 2021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50.67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79"/>
              </w:rPr>
              <w:t>3.7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82,435</w:t>
            </w:r>
          </w:p>
        </w:tc>
      </w:tr>
      <w:tr>
        <w:trPr>
          <w:trHeight w:val="432"/>
        </w:trPr>
        <w:tc>
          <w:tcPr>
            <w:tcW w:w="598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Restricted Stock Unit Activity</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ind w:left="420"/>
              <w:spacing w:after="0"/>
              <w:rPr>
                <w:sz w:val="20"/>
                <w:szCs w:val="20"/>
                <w:color w:val="auto"/>
              </w:rPr>
            </w:pPr>
            <w:r>
              <w:rPr>
                <w:rFonts w:ascii="Arial" w:cs="Arial" w:eastAsia="Arial" w:hAnsi="Arial"/>
                <w:sz w:val="18"/>
                <w:szCs w:val="18"/>
                <w:color w:val="auto"/>
              </w:rPr>
              <w:t>A summary of the Company’s RSU activity is as follows: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ind w:left="20"/>
              <w:spacing w:after="0"/>
              <w:rPr>
                <w:sz w:val="20"/>
                <w:szCs w:val="20"/>
                <w:color w:val="auto"/>
              </w:rPr>
            </w:pPr>
            <w:r>
              <w:rPr>
                <w:rFonts w:ascii="Arial" w:cs="Arial" w:eastAsia="Arial" w:hAnsi="Arial"/>
                <w:sz w:val="18"/>
                <w:szCs w:val="18"/>
                <w:b w:val="1"/>
                <w:bCs w:val="1"/>
                <w:color w:val="auto"/>
                <w:w w:val="96"/>
              </w:rPr>
              <w:t>Weighted Average</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3"/>
              </w:rPr>
              <w:t>Grant Date</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gridSpan w:val="5"/>
          </w:tcPr>
          <w:p>
            <w:pPr>
              <w:ind w:left="26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w w:val="91"/>
              </w:rPr>
              <w:t>RSUs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Per Share</w:t>
            </w: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Borders>
              <w:top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w w:val="9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86.78</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181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112.67</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84.51</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Canceled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83.01</w:t>
            </w:r>
          </w:p>
        </w:tc>
      </w:tr>
      <w:tr>
        <w:trPr>
          <w:trHeight w:val="250"/>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June 30, 2021</w:t>
            </w: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95.12</w:t>
            </w:r>
          </w:p>
        </w:tc>
      </w:tr>
      <w:tr>
        <w:trPr>
          <w:trHeight w:val="211"/>
        </w:trPr>
        <w:tc>
          <w:tcPr>
            <w:tcW w:w="5980" w:type="dxa"/>
            <w:vAlign w:val="bottom"/>
            <w:gridSpan w:val="2"/>
          </w:tcPr>
          <w:p>
            <w:pPr>
              <w:spacing w:after="0"/>
              <w:rPr>
                <w:sz w:val="20"/>
                <w:szCs w:val="20"/>
                <w:color w:val="auto"/>
              </w:rPr>
            </w:pPr>
            <w:r>
              <w:rPr>
                <w:rFonts w:ascii="Arial" w:cs="Arial" w:eastAsia="Arial" w:hAnsi="Arial"/>
                <w:sz w:val="18"/>
                <w:szCs w:val="18"/>
                <w:color w:val="auto"/>
              </w:rPr>
              <w:t>Outstanding and expected to vest - June 30, 2021</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633</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93.74</w:t>
            </w:r>
          </w:p>
        </w:tc>
      </w:tr>
    </w:tbl>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February 5, 2018, the Company's board of directors authorized a $100.0 million two-year share repurchase program, which was announced on February 12, 2018. On each of October 30, 2018, October 30, 2019, May 7, 2020 and February 10, 2021, the Company announced that its board of directors had authorized an increase of $100.0 million to the share repurchase program, resulting in an aggregate authorization of $500.0 million. Shares may be repurchased from time to time on the open market in accordance with Rule 10b-18 of the Exchange Act of 1934, including pursuant to a pre-set trading plan adopted in accordance with Rule 10b5-1 under the Exchange Act, until February 14, 2022. All share repurchases were made using cash resources.</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capital based on the initial public offering price of the stock, with the remaining excess to retained earnings.</w:t>
      </w:r>
    </w:p>
    <w:p>
      <w:pPr>
        <w:spacing w:after="0" w:line="18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the six months ended June 30, 2021, the Company repurchased 585 thousand shares of its common stock for approximately $63.2 million. As of June 30, 2021, approximately $138.6 million remained available for share repurchases pursuant to the Company's share repurchase program.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Net Income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computations for basic and diluted net income per share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(in</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660" w:type="dxa"/>
            <w:vAlign w:val="bottom"/>
            <w:gridSpan w:val="6"/>
          </w:tcPr>
          <w:p>
            <w:pPr>
              <w:jc w:val="right"/>
              <w:ind w:right="60"/>
              <w:spacing w:after="0"/>
              <w:rPr>
                <w:sz w:val="20"/>
                <w:szCs w:val="20"/>
                <w:color w:val="auto"/>
              </w:rPr>
            </w:pPr>
            <w:r>
              <w:rPr>
                <w:rFonts w:ascii="Arial" w:cs="Arial" w:eastAsia="Arial" w:hAnsi="Arial"/>
                <w:sz w:val="18"/>
                <w:szCs w:val="18"/>
                <w:b w:val="1"/>
                <w:bCs w:val="1"/>
                <w:color w:val="auto"/>
                <w:w w:val="88"/>
              </w:rPr>
              <w:t>thousands, except per share data)</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21,142</w:t>
            </w:r>
          </w:p>
        </w:tc>
        <w:tc>
          <w:tcPr>
            <w:tcW w:w="52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26,319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21,370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45,013</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Basic weighted average shares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39,099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39,161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39,154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39,137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Effect of potentially dilutive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980"/>
              <w:spacing w:after="0"/>
              <w:rPr>
                <w:sz w:val="20"/>
                <w:szCs w:val="20"/>
                <w:color w:val="auto"/>
              </w:rPr>
            </w:pPr>
            <w:r>
              <w:rPr>
                <w:rFonts w:ascii="Arial" w:cs="Arial" w:eastAsia="Arial" w:hAnsi="Arial"/>
                <w:sz w:val="18"/>
                <w:szCs w:val="18"/>
                <w:color w:val="auto"/>
              </w:rPr>
              <w:t>Common stock options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1,382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851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Restricted stock units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40,253</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8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c>
          <w:tcPr>
            <w:tcW w:w="52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7"/>
        </w:trPr>
        <w:tc>
          <w:tcPr>
            <w:tcW w:w="598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Potentially dilutive shares not included in the calculation of diluted net income per share because doing so would be anti-dilutive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64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60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7"/>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9"/>
              </w:rPr>
              <w:t>2021</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20" w:type="dxa"/>
            <w:vAlign w:val="bottom"/>
            <w:gridSpan w:val="2"/>
          </w:tcPr>
          <w:p>
            <w:pPr>
              <w:jc w:val="right"/>
              <w:ind w:right="570"/>
              <w:spacing w:after="0"/>
              <w:rPr>
                <w:sz w:val="20"/>
                <w:szCs w:val="20"/>
                <w:color w:val="auto"/>
              </w:rPr>
            </w:pPr>
            <w:r>
              <w:rPr>
                <w:rFonts w:ascii="Arial" w:cs="Arial" w:eastAsia="Arial" w:hAnsi="Arial"/>
                <w:sz w:val="16"/>
                <w:szCs w:val="16"/>
                <w:b w:val="1"/>
                <w:bCs w:val="1"/>
                <w:color w:val="auto"/>
                <w:w w:val="74"/>
              </w:rPr>
              <w:t>thousands)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675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452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7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153</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49"/>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anti-dilutive shares</w:t>
            </w: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828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13"/>
        </w:trPr>
        <w:tc>
          <w:tcPr>
            <w:tcW w:w="6060" w:type="dxa"/>
            <w:vAlign w:val="bottom"/>
          </w:tcPr>
          <w:p>
            <w:pPr>
              <w:jc w:val="right"/>
              <w:ind w:right="250"/>
              <w:spacing w:after="0"/>
              <w:rPr>
                <w:sz w:val="20"/>
                <w:szCs w:val="20"/>
                <w:color w:val="auto"/>
              </w:rPr>
            </w:pPr>
            <w:r>
              <w:rPr>
                <w:rFonts w:ascii="Arial" w:cs="Arial" w:eastAsia="Arial" w:hAnsi="Arial"/>
                <w:sz w:val="18"/>
                <w:szCs w:val="18"/>
                <w:color w:val="auto"/>
              </w:rPr>
              <w:t>20</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0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Company's income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18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primarily due to non-deductible stock-based compensation expense, state taxes, and the benefit of U.S. federal income tax credits and foreign-derived intangible income deduction.</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recorded an income tax provision of $8.7 million and $0.8 million for the three months ended June 30, 2021 and 2020, respectively, resulting in an effective tax rate of 29.2% and 2.9%, respectively. The increase in income tax provision for the three months ended June 30, 2021 compared to the three months ended June 30, 2020 was primarily due to an increase in pre-tax income and a reduction in excess tax benefits from stock-based compensation.</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recorded an income tax provision of $6.3 million and $4.3 million for the six months ended June 30, 2021 and 2020, respectively, resulting in an effective tax rate of 22.7% and 8.7%, respectively. The increase in income tax provision for the six months ended June 30, 2021 compared to the six months ended June 30, 2020 was primarily due to an increase in non-deductible stock-based compensation and a reduction in excess tax benefits from stock-based compensation.</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2021, the Company had unrecognized tax benefits of $9.4 million, of which $4.8 million, if recognized, would favorably impact the Company's effective tax rate. As of December 31, 2020, the Company had unrecognized tax benefits of $8.9 million, of which $4.6 million, if recognized, would favorably impact the Company's effective tax rate. The Company does not anticipate a material change in its unrecognized tax benefits in the next 12 months.</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June 29, 2020, the California governor signed into law the 2020 Budget Act, which temporarily suspends the utilization of net operating losses and limits the utilization of the research credit to $5 million annually for 2020, 2021 and 2022. The Company is continuing to assess the 2020 Budget Act, but currently does not expect any material impact to the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Segment Information and Information about Geographic Area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ASC 280 Segment Reporting, operating segments are defined as components of an entity about which separate financial information is evaluated regularly by the chief operating decision maker in deciding how to allocate resources and in assessing performance. The Company operates in one segment and has only one reportable segment. The Company’s chief operating decision maker is the Chief Executive Officer, who makes operating decisions, assesses performance and allocates resources on a consolidated basis. All of the Company’s principal operations and decision-making functions are located in the United States.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by geographic area, based on the customer's billing address,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6"/>
          </w:tcPr>
          <w:p>
            <w:pPr>
              <w:jc w:val="right"/>
              <w:ind w:right="350"/>
              <w:spacing w:after="0"/>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9"/>
          </w:tcPr>
          <w:p>
            <w:pPr>
              <w:jc w:val="center"/>
              <w:ind w:right="38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gridSpan w:val="7"/>
          </w:tcPr>
          <w:p>
            <w:pPr>
              <w:jc w:val="center"/>
              <w:ind w:right="900"/>
              <w:spacing w:after="0"/>
              <w:rPr>
                <w:sz w:val="20"/>
                <w:szCs w:val="20"/>
                <w:color w:val="auto"/>
              </w:rPr>
            </w:pPr>
            <w:r>
              <w:rPr>
                <w:rFonts w:ascii="Arial" w:cs="Arial" w:eastAsia="Arial" w:hAnsi="Arial"/>
                <w:sz w:val="18"/>
                <w:szCs w:val="18"/>
                <w:b w:val="1"/>
                <w:bCs w:val="1"/>
                <w:color w:val="auto"/>
                <w:w w:val="88"/>
              </w:rPr>
              <w:t>June 30,</w:t>
            </w:r>
          </w:p>
        </w:tc>
      </w:tr>
      <w:tr>
        <w:trPr>
          <w:trHeight w:val="210"/>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(in</w:t>
            </w:r>
          </w:p>
        </w:tc>
        <w:tc>
          <w:tcPr>
            <w:tcW w:w="1020" w:type="dxa"/>
            <w:vAlign w:val="bottom"/>
            <w:gridSpan w:val="5"/>
          </w:tcPr>
          <w:p>
            <w:pPr>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60,991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57,015</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121,123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111,978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38,711</w:t>
            </w:r>
          </w:p>
        </w:tc>
        <w:tc>
          <w:tcPr>
            <w:tcW w:w="3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31,815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75,335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63,115</w:t>
            </w:r>
          </w:p>
        </w:tc>
      </w:tr>
      <w:tr>
        <w:trPr>
          <w:trHeight w:val="25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99,702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88,830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196,458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13"/>
        </w:trPr>
        <w:tc>
          <w:tcPr>
            <w:tcW w:w="6060" w:type="dxa"/>
            <w:vAlign w:val="bottom"/>
          </w:tcPr>
          <w:p>
            <w:pPr>
              <w:ind w:left="420"/>
              <w:spacing w:after="0"/>
              <w:rPr>
                <w:sz w:val="20"/>
                <w:szCs w:val="20"/>
                <w:color w:val="auto"/>
              </w:rPr>
            </w:pPr>
            <w:r>
              <w:rPr>
                <w:rFonts w:ascii="Arial" w:cs="Arial" w:eastAsia="Arial" w:hAnsi="Arial"/>
                <w:sz w:val="18"/>
                <w:szCs w:val="18"/>
                <w:color w:val="auto"/>
              </w:rPr>
              <w:t>Property and equipment, net, by geographic area, is as follows: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6"/>
          </w:tcPr>
          <w:p>
            <w:pPr>
              <w:ind w:left="40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6"/>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45,535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43,791</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India</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11,789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12,465</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8,594</w:t>
            </w: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65,959</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64,850</w:t>
            </w: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This Quarterly Report on Form 10-Q, including this Management’s Discussion and Analysis of Financial Condition and Results of Operations, should be read in conjunction with (1) our unaudited condensed consolidated financial statements and the related notes included elsewhere in this report, and (2) the audited consolidated financial statements and the related notes and section titled "Management’s Discussion and Analysis of Financial Condition and Results of Operations" included in our Annual Report on Form 10-K for the fiscal year ended December 31, 2020.</w:t>
      </w:r>
    </w:p>
    <w:p>
      <w:pPr>
        <w:spacing w:after="0" w:line="17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5" w:lineRule="exact"/>
        <w:rPr>
          <w:sz w:val="20"/>
          <w:szCs w:val="20"/>
          <w:color w:val="auto"/>
        </w:rPr>
      </w:pPr>
    </w:p>
    <w:p>
      <w:pPr>
        <w:ind w:left="460" w:hanging="223"/>
        <w:spacing w:after="0" w:line="250"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financial performance, including our revenues, costs, expenditures, growth rates, operating expenses and ability to generate positive cash flow to fund our operations and sustain profitability;</w:t>
      </w: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to changing market conditions;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ongoing COVID-19 pandemic and related public health measures on our business;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460" w:hanging="223"/>
        <w:spacing w:after="0" w:line="250"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diversify our sources of revenues, including selling additional solutions to our existing customers and our ability to pursue new customers;</w:t>
      </w: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increased competition in our market;</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innovate and enhance our cloud solutions and platform and introduce new solutions;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our growth;</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anticipated investments in sales and marketing, our infrastructure, new solutions, and research and development, and acquisitions;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assumptions and conclusions related to our income tax provision, our deferred tax assets and our effective tax rate; and</w:t>
      </w:r>
    </w:p>
    <w:p>
      <w:pPr>
        <w:spacing w:after="0" w:line="20" w:lineRule="exact"/>
        <w:rPr>
          <w:rFonts w:ascii="Arial" w:cs="Arial" w:eastAsia="Arial" w:hAnsi="Arial"/>
          <w:sz w:val="17"/>
          <w:szCs w:val="17"/>
          <w:i w:val="1"/>
          <w:iCs w:val="1"/>
          <w:color w:val="auto"/>
        </w:rPr>
      </w:pPr>
    </w:p>
    <w:p>
      <w:pPr>
        <w:ind w:left="460" w:right="20" w:hanging="223"/>
        <w:spacing w:after="0" w:line="260"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discussed in this Quarterly Report on Form 10-Q in the sections titled “Risk Factors” and “Management's Discussion and Analysis of Financial Condition and Results of Operations.”</w:t>
      </w:r>
    </w:p>
    <w:p>
      <w:pPr>
        <w:spacing w:after="0" w:line="18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on Form 10-Q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are a pioneer and leading provider of a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IT, security and compliance solutions delivered on our Qualys Cloud Platform enables our customers to identify and manage their IT assets, collect and analyze large amounts of IT security data, discover and prioritize vulnerabilities, recommend and implement remediation actions and verify the implementation of such actions. Organizations use our integrated suite of solutions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188" w:lineRule="exact"/>
        <w:rPr>
          <w:sz w:val="20"/>
          <w:szCs w:val="20"/>
          <w:color w:val="auto"/>
        </w:rPr>
      </w:pPr>
    </w:p>
    <w:p>
      <w:pPr>
        <w:jc w:val="both"/>
        <w:ind w:left="460" w:hanging="223"/>
        <w:spacing w:after="0" w:line="255"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IT Security: </w:t>
      </w:r>
      <w:r>
        <w:rPr>
          <w:rFonts w:ascii="Arial" w:cs="Arial" w:eastAsia="Arial" w:hAnsi="Arial"/>
          <w:sz w:val="18"/>
          <w:szCs w:val="18"/>
          <w:color w:val="auto"/>
        </w:rPr>
        <w:t>Vulnerability Management, Detection and Response (VMDR), Threat Protection (TP), Continuous Monitoring (CM), Patch</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(PM), Multi-Vector Endpoint Detection and Response (EDR), Certificate Assessment (CRA), SaaS Detection and Response (SaaSDR), Secure Enterprise Mobility (SEM);</w:t>
      </w:r>
    </w:p>
    <w:p>
      <w:pPr>
        <w:spacing w:after="0" w:line="2" w:lineRule="exact"/>
        <w:rPr>
          <w:rFonts w:ascii="Arial" w:cs="Arial" w:eastAsia="Arial" w:hAnsi="Arial"/>
          <w:sz w:val="18"/>
          <w:szCs w:val="18"/>
          <w:i w:val="1"/>
          <w:iCs w:val="1"/>
          <w:color w:val="auto"/>
        </w:rPr>
      </w:pPr>
    </w:p>
    <w:p>
      <w:pPr>
        <w:ind w:left="460" w:right="80" w:hanging="223"/>
        <w:spacing w:after="0" w:line="250"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Compliance: </w:t>
      </w:r>
      <w:r>
        <w:rPr>
          <w:rFonts w:ascii="Arial" w:cs="Arial" w:eastAsia="Arial" w:hAnsi="Arial"/>
          <w:sz w:val="18"/>
          <w:szCs w:val="18"/>
          <w:color w:val="auto"/>
        </w:rPr>
        <w:t>Policy Compliance (PC), Security Configuration Assessment (SCA), PCI Compliance (PCI), File Integrity Monitoring (FIM),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Questionnaire (SAQ), Out-of-Band Configuration Assessment (OCA);</w:t>
      </w:r>
    </w:p>
    <w:p>
      <w:pPr>
        <w:ind w:left="460" w:hanging="223"/>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Web Application Security: </w:t>
      </w:r>
      <w:r>
        <w:rPr>
          <w:rFonts w:ascii="Arial" w:cs="Arial" w:eastAsia="Arial" w:hAnsi="Arial"/>
          <w:sz w:val="18"/>
          <w:szCs w:val="18"/>
          <w:color w:val="auto"/>
        </w:rPr>
        <w:t>Web Application Scanning (WAS), Web Application Firewall (WAF);</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Global Asset View (AI), Cybersecurity Asset Management (CSAM), Certificate Inventory (CRI); and</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Cloud/Container Security: </w:t>
      </w:r>
      <w:r>
        <w:rPr>
          <w:rFonts w:ascii="Arial" w:cs="Arial" w:eastAsia="Arial" w:hAnsi="Arial"/>
          <w:sz w:val="18"/>
          <w:szCs w:val="18"/>
          <w:color w:val="auto"/>
        </w:rPr>
        <w:t>Cloud Inventory (CI), Cloud Security Assessment (CSA), Container Security (CS).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For the six months ended June 30, 2021 and 2020, approximately 62% and 64%,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value-added resellers and consulting firms in the United States and internationally.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March 2020, the World Health Organization declared the outbreak of COVID-19 as a pandemic. As a result of COVID-19, we have modified certain aspects of our business, including restricting employee travel, requiring employees to work from home, and canceling certain events and meetings, among other modifications.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While we have not incurred significant disruptions from the COVID-19 pandemic, we are unable to accurately predict the full impact that the pandemic will have due to numerous uncertainties, including the availability and acceptance of COVID-19 vaccines as well as the effectiveness of the vaccines to new variants of the disease, actions that may be taken by governmental authorities and the impact to the business of our customers and partners. We will continue to evaluate the nature and extent of the impact to our business, financial position, results of operations and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physical scanner appliances and computer hardware provided to certain customers as part of their subscriptions, expenses related to the use of third-party data centers, amortization of software and license fees, amortization of intangibles related to acquisitions,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as incurred.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other income (expense), net consists primarily of interest and investment income from our short-term and long-term marketable securities and foreign exchange gains and losses, the majority of which result from fluctuations between the U.S. Dollar and the Euro, GBP and INR.</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subject to federal, state and foreign income taxes for jurisdictions in which we operate, and we use estimates in determining our income tax provision and deferred tax assets. Earnings from our non-U.S. activities are subject to income taxes in the local countries at rates which were generally similar to the U.S. statutory tax rate.</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income tax provision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 Our effective tax rate differs from the U.S. statutory rate of 21% primarily due to non-deductible stock-based compensation expense, state taxes, and the benefit of U.S. federal income tax credits and foreign-derived intangible income deduction.</w:t>
      </w:r>
    </w:p>
    <w:p>
      <w:pPr>
        <w:spacing w:after="0" w:line="1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selected condensed consolidated statements of operations data for each of the periods presented as a percentage of revenues.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7"/>
          </w:tcPr>
          <w:p>
            <w:pPr>
              <w:jc w:val="center"/>
              <w:ind w:left="13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6"/>
          </w:tcPr>
          <w:p>
            <w:pPr>
              <w:jc w:val="center"/>
              <w:ind w:right="6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2021</w:t>
            </w:r>
          </w:p>
        </w:tc>
        <w:tc>
          <w:tcPr>
            <w:tcW w:w="3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0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100%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r>
      <w:tr>
        <w:trPr>
          <w:trHeight w:val="20"/>
        </w:trPr>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79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Research and development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r>
      <w:tr>
        <w:trPr>
          <w:trHeight w:val="216"/>
        </w:trPr>
        <w:tc>
          <w:tcPr>
            <w:tcW w:w="23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General and administrative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r>
      <w:tr>
        <w:trPr>
          <w:trHeight w:val="20"/>
        </w:trPr>
        <w:tc>
          <w:tcPr>
            <w:tcW w:w="2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380" w:type="dxa"/>
            <w:vAlign w:val="bottom"/>
          </w:tcPr>
          <w:p>
            <w:pPr>
              <w:ind w:left="500"/>
              <w:spacing w:after="0"/>
              <w:rPr>
                <w:sz w:val="20"/>
                <w:szCs w:val="20"/>
                <w:color w:val="auto"/>
              </w:rPr>
            </w:pPr>
            <w:r>
              <w:rPr>
                <w:rFonts w:ascii="Arial" w:cs="Arial" w:eastAsia="Arial" w:hAnsi="Arial"/>
                <w:sz w:val="18"/>
                <w:szCs w:val="18"/>
                <w:color w:val="auto"/>
                <w:w w:val="92"/>
              </w:rPr>
              <w:t>Total operating expenses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r>
      <w:tr>
        <w:trPr>
          <w:trHeight w:val="20"/>
        </w:trPr>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0"/>
        </w:trPr>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0"/>
        </w:trPr>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30%</w:t>
            </w: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413"/>
        </w:trPr>
        <w:tc>
          <w:tcPr>
            <w:tcW w:w="5860" w:type="dxa"/>
            <w:vAlign w:val="bottom"/>
            <w:tcBorders>
              <w:top w:val="single" w:sz="8" w:color="CCEEFF"/>
            </w:tcBorders>
            <w:gridSpan w:val="11"/>
          </w:tcPr>
          <w:p>
            <w:pPr>
              <w:spacing w:after="0"/>
              <w:rPr>
                <w:sz w:val="20"/>
                <w:szCs w:val="20"/>
                <w:color w:val="auto"/>
              </w:rPr>
            </w:pPr>
            <w:r>
              <w:rPr>
                <w:rFonts w:ascii="Arial" w:cs="Arial" w:eastAsia="Arial" w:hAnsi="Arial"/>
                <w:sz w:val="18"/>
                <w:szCs w:val="18"/>
                <w:b w:val="1"/>
                <w:bCs w:val="1"/>
                <w:color w:val="auto"/>
              </w:rPr>
              <w:t>Comparison of Three and Six Months Ended June 30, 2021 and 2020</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32"/>
        </w:trPr>
        <w:tc>
          <w:tcPr>
            <w:tcW w:w="23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Revenues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8"/>
          </w:tcPr>
          <w:p>
            <w:pPr>
              <w:ind w:left="4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4"/>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w w:val="99"/>
              </w:rPr>
              <w:t>Change</w:t>
            </w:r>
          </w:p>
        </w:tc>
      </w:tr>
      <w:tr>
        <w:trPr>
          <w:trHeight w:val="209"/>
        </w:trPr>
        <w:tc>
          <w:tcPr>
            <w:tcW w:w="2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12"/>
          </w:tcPr>
          <w:p>
            <w:pPr>
              <w:ind w:left="580"/>
              <w:spacing w:after="0"/>
              <w:rPr>
                <w:sz w:val="20"/>
                <w:szCs w:val="20"/>
                <w:color w:val="auto"/>
              </w:rPr>
            </w:pPr>
            <w:r>
              <w:rPr>
                <w:rFonts w:ascii="Arial" w:cs="Arial" w:eastAsia="Arial" w:hAnsi="Arial"/>
                <w:sz w:val="18"/>
                <w:szCs w:val="18"/>
                <w:b w:val="1"/>
                <w:bCs w:val="1"/>
                <w:color w:val="auto"/>
                <w:w w:val="88"/>
              </w:rPr>
              <w:t>(in thousands, except percentages)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99,702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88,830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10,872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12.2%  $</w:t>
            </w:r>
          </w:p>
        </w:tc>
        <w:tc>
          <w:tcPr>
            <w:tcW w:w="8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196,458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175,093</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21,365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Revenues increased by $10.9 million for the three months ended June 30, 2021 compared to the same period in 2020, due to an increase in subscriptions from new and existing customers. Of the total increase of $10.9 million, $4.0 million was from customers in the United States and the remaining $6.9 million was from customers in foreign countries.</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Revenues increased by $21.4 million for the six months ended June 30, 2021 compared to the same period in 2020, due to an increase in subscriptions from new and existing customers. Of the total increase of $21.4 million, $9.1 million was from customers in the United States and the remaining $12.3 million was from customers in foreign countries.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Cost of Revenues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w w:val="91"/>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9"/>
          </w:tcPr>
          <w:p>
            <w:pPr>
              <w:jc w:val="right"/>
              <w:ind w:right="107"/>
              <w:spacing w:after="0"/>
              <w:rPr>
                <w:sz w:val="20"/>
                <w:szCs w:val="20"/>
                <w:color w:val="auto"/>
              </w:rPr>
            </w:pPr>
            <w:r>
              <w:rPr>
                <w:rFonts w:ascii="Arial" w:cs="Arial" w:eastAsia="Arial" w:hAnsi="Arial"/>
                <w:sz w:val="18"/>
                <w:szCs w:val="18"/>
                <w:b w:val="1"/>
                <w:bCs w:val="1"/>
                <w:color w:val="auto"/>
              </w:rPr>
              <w:t>(in thousands, except percentages)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21,552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18,891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2,661</w:t>
            </w: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14.1%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43,232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Cost of revenues increased by $2.7 million for the three months ended June 30, 2021 compared to the same period in 2020, due to an increase in personnel costs of $1.5 million driven by additional employees hired to support the growth of our business, an increase in data center and cloud costs of $0.8 million to meet growing demand and an increase in depreciation and amortization expense of $0.4 million as more computer equipment was placed in service.</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Cost of revenues increased by $5.8 million for the six months ended June 30, 2021 compared to the same period in 2020, due to an increase in personnel costs of $3.1 million driven by additional employees hired to support the growth of our business, an increase in data center and cloud costs of $1.5 million to meet growing demand and an increase in depreciation and amortization expense of $1.2 million as more computer equipment was placed in service.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3500" w:type="dxa"/>
            <w:vAlign w:val="bottom"/>
            <w:gridSpan w:val="5"/>
          </w:tcPr>
          <w:p>
            <w:pPr>
              <w:ind w:left="260"/>
              <w:spacing w:after="0"/>
              <w:rPr>
                <w:sz w:val="20"/>
                <w:szCs w:val="20"/>
                <w:color w:val="auto"/>
              </w:rPr>
            </w:pPr>
            <w:r>
              <w:rPr>
                <w:rFonts w:ascii="Arial" w:cs="Arial" w:eastAsia="Arial" w:hAnsi="Arial"/>
                <w:sz w:val="18"/>
                <w:szCs w:val="18"/>
                <w:b w:val="1"/>
                <w:bCs w:val="1"/>
                <w:i w:val="1"/>
                <w:iCs w:val="1"/>
                <w:color w:val="auto"/>
                <w:w w:val="99"/>
              </w:rPr>
              <w:t>Research and Development Expenses</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w w:val="91"/>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9"/>
          </w:tcPr>
          <w:p>
            <w:pPr>
              <w:jc w:val="right"/>
              <w:ind w:right="107"/>
              <w:spacing w:after="0"/>
              <w:rPr>
                <w:sz w:val="20"/>
                <w:szCs w:val="20"/>
                <w:color w:val="auto"/>
              </w:rPr>
            </w:pPr>
            <w:r>
              <w:rPr>
                <w:rFonts w:ascii="Arial" w:cs="Arial" w:eastAsia="Arial" w:hAnsi="Arial"/>
                <w:sz w:val="18"/>
                <w:szCs w:val="18"/>
                <w:b w:val="1"/>
                <w:bCs w:val="1"/>
                <w:color w:val="auto"/>
              </w:rPr>
              <w:t>(in thousands, except percentages)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19,805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1,747</w:t>
            </w: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37,554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bl>
    <w:p>
      <w:pPr>
        <w:spacing w:after="0" w:line="20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Research and development expenses increased by $1.7 million for the three months ended June 30, 2021 compared to the same period in 2020, due to an increase in personnel costs of $1.2 million primarily driven by additional employees hired to support the growth of our business, an increase in software costs of $0.3 million and an increase in depreciation and amortization expense of $0.2 million as more computer equipment was placed in service.</w:t>
      </w:r>
    </w:p>
    <w:p>
      <w:pPr>
        <w:spacing w:after="0" w:line="14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Research and development expenses increased by $1.5 million for the six months ended June 30, 2021 compared to the same period in 2020, due to an increase in personnel costs of $0.6 million primarily driven by additional employees hired to support the growth of our business, an increase in software costs of $0.6 million and an increase in depreciation and amortization expense of $0.4 million as more computer equipment was placed in service.</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w w:val="91"/>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9"/>
          </w:tcPr>
          <w:p>
            <w:pPr>
              <w:jc w:val="right"/>
              <w:ind w:right="107"/>
              <w:spacing w:after="0"/>
              <w:rPr>
                <w:sz w:val="20"/>
                <w:szCs w:val="20"/>
                <w:color w:val="auto"/>
              </w:rPr>
            </w:pPr>
            <w:r>
              <w:rPr>
                <w:rFonts w:ascii="Arial" w:cs="Arial" w:eastAsia="Arial" w:hAnsi="Arial"/>
                <w:sz w:val="18"/>
                <w:szCs w:val="18"/>
                <w:b w:val="1"/>
                <w:bCs w:val="1"/>
                <w:color w:val="auto"/>
              </w:rPr>
              <w:t>(in thousands, except percentages)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17,770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15,783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1,987</w:t>
            </w: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12.6%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35,759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Sales and marketing expenses increased by $2.0 million for the three months ended June 30, 2021 compared to the same period in 2020, primarily due to an increase in personnel costs of $0.9 million primarily driven by additional employees hired to support the growth of our business, an increase in trade show related costs of $0.6 million and an increase in recruiting costs of $0.2 million.</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Sales and marketing expenses increased by $1.7 million for the six months ended June 30, 2021 compared to the same period in 2020, primarily due to an increase in personnel costs of $3.8 million driven by additional employees hired to support the growth of our business and an increase in recruiting costs of $0.5 million, partially offset by decreases in trade show related costs of $1.4 million and travel related expenses of $1.1 million driven by the COVID-19 pandemic.</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w w:val="91"/>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9"/>
          </w:tcPr>
          <w:p>
            <w:pPr>
              <w:jc w:val="right"/>
              <w:ind w:right="107"/>
              <w:spacing w:after="0"/>
              <w:rPr>
                <w:sz w:val="20"/>
                <w:szCs w:val="20"/>
                <w:color w:val="auto"/>
              </w:rPr>
            </w:pPr>
            <w:r>
              <w:rPr>
                <w:rFonts w:ascii="Arial" w:cs="Arial" w:eastAsia="Arial" w:hAnsi="Arial"/>
                <w:sz w:val="18"/>
                <w:szCs w:val="18"/>
                <w:b w:val="1"/>
                <w:bCs w:val="1"/>
                <w:color w:val="auto"/>
              </w:rPr>
              <w:t>(in thousands, except percentages)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11,213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10,590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53,256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31,542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145.3%</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General and administrative expenses increased by $0.6 million for the three months ended June 30, 2021 compared to the same period in 2020, primarily due to an increase in personnel costs of $0.3 million driven by additional employees hired to support the growth of our business and an increase in miscellaneous expense of $0.3 million.</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General and administrative expenses increased by $31.5 million for the six months ended June 30, 2021 compared to the same period in 2020, primarily due to an increase in stock-based compensation expense of $29.0 million primarily driven by accelerated vesting relating to the resignation of the former CEO, an increase in legal fees of $1.4 million and an increase in personnel costs of $0.9 million driven by additional employees hired to support the growth of our business.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ind w:left="260"/>
              <w:spacing w:after="0"/>
              <w:rPr>
                <w:sz w:val="20"/>
                <w:szCs w:val="20"/>
                <w:color w:val="auto"/>
              </w:rPr>
            </w:pPr>
            <w:r>
              <w:rPr>
                <w:rFonts w:ascii="Arial" w:cs="Arial" w:eastAsia="Arial" w:hAnsi="Arial"/>
                <w:sz w:val="18"/>
                <w:szCs w:val="18"/>
                <w:b w:val="1"/>
                <w:bCs w:val="1"/>
                <w:i w:val="1"/>
                <w:iCs w:val="1"/>
                <w:color w:val="auto"/>
                <w:w w:val="92"/>
              </w:rPr>
              <w:t>Total other income, net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7"/>
              </w:rPr>
              <w:t>Change</w:t>
            </w: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1"/>
              </w:rPr>
              <w:t>(in</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83"/>
              </w:rPr>
              <w:t>thousands,</w:t>
            </w:r>
          </w:p>
        </w:tc>
        <w:tc>
          <w:tcPr>
            <w:tcW w:w="1680" w:type="dxa"/>
            <w:vAlign w:val="bottom"/>
            <w:gridSpan w:val="5"/>
          </w:tcPr>
          <w:p>
            <w:pPr>
              <w:jc w:val="right"/>
              <w:ind w:right="127"/>
              <w:spacing w:after="0"/>
              <w:rPr>
                <w:sz w:val="20"/>
                <w:szCs w:val="20"/>
                <w:color w:val="auto"/>
              </w:rPr>
            </w:pPr>
            <w:r>
              <w:rPr>
                <w:rFonts w:ascii="Arial" w:cs="Arial" w:eastAsia="Arial" w:hAnsi="Arial"/>
                <w:sz w:val="18"/>
                <w:szCs w:val="18"/>
                <w:b w:val="1"/>
                <w:bCs w:val="1"/>
                <w:color w:val="auto"/>
                <w:w w:val="83"/>
              </w:rPr>
              <w:t>except percentages)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(1,099)</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(69.3)%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Total other income, net decreased by $1.1 million and $2.4 million for the three and six months ended June 30, 2021, respectively, compared to the same periods in 2020, primarily due to a decrease in interest income driven by lower yield.</w:t>
      </w:r>
    </w:p>
    <w:p>
      <w:pPr>
        <w:sectPr>
          <w:pgSz w:w="11900" w:h="16838" w:orient="portrait"/>
          <w:cols w:equalWidth="0" w:num="1">
            <w:col w:w="11240"/>
          </w:cols>
          <w:pgMar w:left="320" w:top="10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0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204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w w:val="97"/>
              </w:rPr>
              <w:t>Income tax provision</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0"/>
              </w:rPr>
              <w:t>Six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left="39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10"/>
          </w:tcPr>
          <w:p>
            <w:pPr>
              <w:jc w:val="right"/>
              <w:ind w:right="200"/>
              <w:spacing w:after="0"/>
              <w:rPr>
                <w:sz w:val="20"/>
                <w:szCs w:val="20"/>
                <w:color w:val="auto"/>
              </w:rPr>
            </w:pPr>
            <w:r>
              <w:rPr>
                <w:rFonts w:ascii="Arial" w:cs="Arial" w:eastAsia="Arial" w:hAnsi="Arial"/>
                <w:sz w:val="18"/>
                <w:szCs w:val="18"/>
                <w:b w:val="1"/>
                <w:bCs w:val="1"/>
                <w:color w:val="auto"/>
              </w:rPr>
              <w:t>(in thousands, except percentages)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7,932</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1023.5%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6,272</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Income tax provision increased by $7.9 million for the three months ended June 30, 2021 compared to the same period in 2020, primarily due to an increase in pre-tax income and a reduction in excess tax benefits from stock-based compensation.</w:t>
      </w:r>
    </w:p>
    <w:p>
      <w:pPr>
        <w:spacing w:after="0" w:line="170"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Income tax provision increased by $2.0 million for the six months ended June 30, 2021 compared to the same period in 2020, primarily due to an increase in non-deductible stock-based compensation and a reduction in excess tax benefits from stock-based compensation.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Non-GAAP Metric</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non-GAAP key metric set forth below to help us evaluate growth trends, establish budgets, measure the effectiveness of our sales and marketing efforts and assess operational efficiencies.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income tax provision (benefit), (3) depreciation and amortization of property and equipment, (4) amortization of intangible assets and (5) stock-based compensation</w:t>
      </w:r>
    </w:p>
    <w:p>
      <w:pPr>
        <w:spacing w:after="0" w:line="18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Adjusted EBITDA has limitations as an analytical tool and should not be considered in isolation from or as a substitute for the measures presented in accordance with U.S. GAAP. Some of these limitations are:</w:t>
      </w:r>
    </w:p>
    <w:p>
      <w:pPr>
        <w:spacing w:after="0" w:line="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amortization of intangible assets, although these are non-cash charges, the assets being depreciated and amortized may have to be replaced in the future; and</w:t>
      </w:r>
    </w:p>
    <w:p>
      <w:pPr>
        <w:ind w:left="660" w:right="8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 The following unaudited table presents the reconciliation of net income to Adjusted EBITDA for the three and six months ended June 30,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4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center"/>
              <w:ind w:right="610"/>
              <w:spacing w:after="0"/>
              <w:rPr>
                <w:sz w:val="20"/>
                <w:szCs w:val="20"/>
                <w:color w:val="auto"/>
              </w:rPr>
            </w:pPr>
            <w:r>
              <w:rPr>
                <w:rFonts w:ascii="Arial" w:cs="Arial" w:eastAsia="Arial" w:hAnsi="Arial"/>
                <w:sz w:val="18"/>
                <w:szCs w:val="18"/>
                <w:b w:val="1"/>
                <w:bCs w:val="1"/>
                <w:color w:val="auto"/>
                <w:w w:val="70"/>
              </w:rPr>
              <w:t>thousands)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21,142</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26,319</w:t>
            </w:r>
          </w:p>
        </w:tc>
        <w:tc>
          <w:tcPr>
            <w:tcW w:w="2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21,370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45,013</w:t>
            </w: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7,145</w:t>
            </w:r>
          </w:p>
        </w:tc>
        <w:tc>
          <w:tcPr>
            <w:tcW w:w="28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6,366</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14,578</w:t>
            </w: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12,593</w:t>
            </w:r>
          </w:p>
        </w:tc>
      </w:tr>
      <w:tr>
        <w:trPr>
          <w:trHeight w:val="216"/>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1,646</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1,520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3,040</w:t>
            </w: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8,707</w:t>
            </w:r>
          </w:p>
        </w:tc>
        <w:tc>
          <w:tcPr>
            <w:tcW w:w="28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775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6,272</w:t>
            </w: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4,298</w:t>
            </w:r>
          </w:p>
        </w:tc>
      </w:tr>
      <w:tr>
        <w:trPr>
          <w:trHeight w:val="216"/>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8,553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9,444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46,755</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19,441</w:t>
            </w: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Total other income, net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(487)</w:t>
            </w:r>
          </w:p>
        </w:tc>
        <w:tc>
          <w:tcPr>
            <w:tcW w:w="28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(1,586)</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(985)</w:t>
            </w:r>
          </w:p>
        </w:tc>
        <w:tc>
          <w:tcPr>
            <w:tcW w:w="2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(3,372)</w:t>
            </w:r>
          </w:p>
        </w:tc>
      </w:tr>
      <w:tr>
        <w:trPr>
          <w:trHeight w:val="20"/>
        </w:trPr>
        <w:tc>
          <w:tcPr>
            <w:tcW w:w="5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46,706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42,838</w:t>
            </w:r>
          </w:p>
        </w:tc>
        <w:tc>
          <w:tcPr>
            <w:tcW w:w="2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91,281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81,013</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5840" w:type="dxa"/>
            <w:vAlign w:val="bottom"/>
          </w:tcPr>
          <w:p>
            <w:pPr>
              <w:spacing w:after="0"/>
              <w:rPr>
                <w:sz w:val="20"/>
                <w:szCs w:val="20"/>
                <w:color w:val="auto"/>
              </w:rPr>
            </w:pPr>
            <w:r>
              <w:rPr>
                <w:rFonts w:ascii="Arial" w:cs="Arial" w:eastAsia="Arial" w:hAnsi="Arial"/>
                <w:sz w:val="18"/>
                <w:szCs w:val="18"/>
                <w:color w:val="auto"/>
              </w:rPr>
              <w:t>Percentage of revenues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bl>
    <w:p>
      <w:pPr>
        <w:spacing w:after="0" w:line="187"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June 30, 2021, our principal source of liquidity was cash, cash equivalents and marketable securities of $471.1 million, including $46.5 million of cash held outside of the United States. We do not anticipate that we will need funds generated from foreign operations to fund our domestic operations. However, if we repatriate these funds, we could be subject to foreign withholding taxes.</w:t>
      </w:r>
    </w:p>
    <w:p>
      <w:pPr>
        <w:spacing w:after="0" w:line="18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generated positive cash flows from operations for the six months ended June 30, 2021 and 2020. We believe our existing cash, cash equivalents, short-term marketable securities, and cash from operations will be sufficient to fund our operations for at least the next twelve months. 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 While the COVID-19 pandemic has not had a material adverse financial impact on our operations to date, the future impact of the pandemic cannot be predicted with certainty and may increase our costs of capital and otherwise adversely affect our business, result of operations, financial condition and liquidity.</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following summary of cash flows for the periods indicated has been derived from our condensed consolidated financial statements included elsewhere in this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81,649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(9,173)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(10,371)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(44,928)</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26,350</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six months ended June 30, 2021, cash provided by operating activities of $112.2 million primarily resulted from our net income of $21.4 million, as adjusted for non-cash items including stock-based compensation of $46.8 million, depreciation and amortization expense of $17.9 million and cash flows from working capital of $24.8 million mainly due to stronger cash collections.</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six months ended June 30, 2020, cash provided by operating activities of $81.6 million primarily resulted from our net income of approximately $45.0 million, as adjusted for non-cash items including stock-based compensation of $19.4 million and depreciation and amortization expense of $15.6 million. Net working capital changes were not material.</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six months ended June 30, 2021, cash used in investing activities of $9.2 million was mainly attributable to $12.9 million of cash used for capital expenditures mainly related to computer equipment to support our growth and development, partially offset by $3.7 million of cash provided by sales and maturities of marketable securities, net of purchases.</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six months ended June 30, 2020, cash used in investing activities of $10.4 million was mainly attributable to $11.6 million of cash used for capital expenditures, including computer equipment and leasehold improvements to support our growth and development, slightly offset by an increase of $1.2 million from sales and maturities of marketable securities, net of purchases.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six months ended June 30, 2021, cash used in financing activities of $79.9 million was mainly attributable to share repurchases of $63.3 million and the payment of employee income taxes related to the net share settlement of equity awards of $21.0 million, which were partially offset by the proceeds received from the exercise of stock options of $4.4 million.</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six months ended June 30, 2020, cash used in financing activities of $44.9 million was attributable to share repurchases of $54.2 million and the payment of employee income taxes related to the net share settlement of equity awards of $11.1 million, which were partially offset by the proceeds from the exercise of stock options of $20.4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 and Commitments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presented our contractual obligations in our Annual Report on Form 10-K for the fiscal year ended December 31, 2020. Our contractual obligations consist of operating leases, purchase commitments and other contractual obligations. There have been no material changes to these obligations outside the ordinary course of business during the six months ended June 30, 2021 as compared to the contractual obligations disclosed in the “Management’s Discussion and Analysis of Financial Condition and Results of Operations” section of our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relationships with unconsolidated entities or financial partnerships, such as entities often referred to as structured finance or special purpose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Note 1 to the unaudited condensed consolidated financial statements in Part I, Item 1 of this Quarterly Report on Form 10-Q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14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believe that of our significant accounting policies, which are described in Note 1 to the unaudited condensed consolidated financial statements in Part I, Item 1 of this Quarterly Report on Form 10-Q and the notes to our consolidated financial statements in our Annual Report on Form 10-K for the fiscal year ended December 31, 2020, the accounting policies related to revenue recognition, leases, derivative instruments, income taxes and stock-based compensation involve the greatest degree of judgment and complexity and have the greatest potential impact on our condensed consolidated financial statements. A critical accounting policy is one that is material to the presentation of our condensed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GBP, INR, C$ and CHF, the currencies of countries where we currently have our most significant international operations. We enter into foreign currency forward contracts to reduce our exposure to foreign currency exchange rate fluctuations related to forecasted subscription revenue, operation expenses and foreign currency denominated assets or liabilities. As of June 30, 2021, we had designated cash flow hedge forward contracts with notional amounts of €24.3 million, £8.6 million and Rs.2,507.7 million and non-designated forward contracts with notional amounts of €22.2 million, £10.1 million, Rs.150.0 million, C$1.0 million and CHF2.0 million. With our hedging strategy applied, the effect of an immediate 10% adverse change in foreign exchange rates would not be material to our financial condition, operating results or cash flows.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had $471.1 million in cash, cash equivalents and short-term and long-term marketable securities as of June 30, 2021. Cash and cash equivalents include cash held in banks, highly liquid money market funds and commercial paper. Marketable securities consist of fixed-income U.S. Treasury and government agency securities, commercial paper corporate bonds, asset-backed securities and foreign government securities. The primary objectives of our investment activities are the preservation of principal and support of our liquidity requirements. We do not invest for trading or speculative purposes. Our marketable securities are subject to market risk due to changes in interest rates, which may affect the interest income we earn and the fair market value. As of June 30, 2021, a hypothetical 100 basis point increase in interest rate would result in a decrease in the fair value of our marketable securities by $2.5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2021,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From time to time the Company may become involved in legal proceedings or be subject to claims arising in the ordinary course of our business. As of June 30, 2021,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w:t>
      </w:r>
    </w:p>
    <w:p>
      <w:pPr>
        <w:spacing w:after="0" w:line="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1A.</w:t>
      </w:r>
      <w:r>
        <w:rPr>
          <w:sz w:val="20"/>
          <w:szCs w:val="20"/>
          <w:color w:val="auto"/>
        </w:rPr>
        <w:tab/>
      </w:r>
      <w:r>
        <w:rPr>
          <w:rFonts w:ascii="Arial" w:cs="Arial" w:eastAsia="Arial" w:hAnsi="Arial"/>
          <w:sz w:val="18"/>
          <w:szCs w:val="18"/>
          <w:b w:val="1"/>
          <w:bCs w:val="1"/>
          <w:color w:val="auto"/>
        </w:rPr>
        <w:t>Risk Factors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continued spread of COVID-19, or any similar widespread infectious disease outbreak, could harm our business, financial condition and results of operations.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December 2019, an outbreak of COVID-19 originated in Wuhan, China and has since spread to countries around the world. On March 11, 2020, the World Health Organization characterized COVID-19 as a pandemic. The continued spread of COVID-19 and the resurgence of infection rates in certain regions has resulted in authorities imposing, and businesses and individuals implementing, numerous unprecedented measures to try to contain the virus, such as travel bans and restrictions, quarantines, shelter-in-place/stay-at-home and social distancing orders, and shutdowns. These measures have impacted and may further impact our workforce and operations, the operations of our customers, and those of our respective vendors, suppliers, and partners. The pandemic has significantly increased economic and demand uncertainty. It is likely that the pandemic will cause an economic slowdown, and it is possible that it could cause a global recession, which could decrease demand for our solutions and negatively impact our operating results. There is a significant degree of uncertainty and lack of visibility as to the extent and duration of any such slowdown or recession.</w:t>
      </w:r>
    </w:p>
    <w:p>
      <w:pPr>
        <w:spacing w:after="0" w:line="16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ultimate extent of the impact of COVID-19 on our business, financial position, results of operations and cash flows will depend on future developments, which are highly uncertain and cannot be predicted at this time, including but not limited to, the duration and geographic spread of the pandemic, its severity, the actions to contain the virus or treat its impact, future spikes of COVID-19 infections resulting in additional preventative measures to contain or mitigate the spread of the virus, the effectiveness, distribution and acceptance of COVID-19 vaccines, including the vaccines’ efficacy against emerging COVID-19 variants, and how quickly and to what extent normal economic and operating conditions can resume. These impacts, individually or in the aggregate, could have a material and adverse effect on our business, financial position, results of operations and cash flows. Such effect may be exacerbated in the event the pandemic and the measures taken in response to it persist for an extended period of time. Under any of these circumstances, the resumption of normal business operations may be delayed or hampered by lingering effects of COVID-19 on our operations, partners, and customers.</w:t>
      </w:r>
    </w:p>
    <w:p>
      <w:pPr>
        <w:sectPr>
          <w:pgSz w:w="11900" w:h="16838" w:orient="portrait"/>
          <w:cols w:equalWidth="0" w:num="1">
            <w:col w:w="11240"/>
          </w:cols>
          <w:pgMar w:left="320" w:top="125" w:right="339" w:bottom="1033"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33"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vary from period to period, which could result in our failure to meet expectations with respect to operating results and cause the trading price of our stock to decline.</w:t>
      </w:r>
    </w:p>
    <w:p>
      <w:pPr>
        <w:spacing w:after="0" w:line="170"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including:</w:t>
      </w:r>
    </w:p>
    <w:p>
      <w:pPr>
        <w:spacing w:after="0" w:line="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perceived security breaches, technical difficulties or interruptions with our service;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timing and success of new product or service introductions by us or our competitors or any other changes in the competitive landscape of our</w:t>
      </w:r>
    </w:p>
    <w:p>
      <w:pPr>
        <w:spacing w:after="0" w:line="46" w:lineRule="exact"/>
        <w:rPr>
          <w:rFonts w:ascii="Arial" w:cs="Arial" w:eastAsia="Arial" w:hAnsi="Arial"/>
          <w:sz w:val="18"/>
          <w:szCs w:val="18"/>
          <w:color w:val="auto"/>
        </w:rPr>
      </w:pPr>
    </w:p>
    <w:p>
      <w:pPr>
        <w:ind w:left="660" w:hanging="328"/>
        <w:spacing w:after="0" w:line="180"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4"/>
          <w:szCs w:val="14"/>
          <w:color w:val="auto"/>
        </w:rPr>
        <w:t>industry, including consolidation among our competitors;</w:t>
      </w:r>
    </w:p>
    <w:p>
      <w:pPr>
        <w:spacing w:after="0" w:line="69"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6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our ability to integrate any products or services that we may acquire in the future into our product suite or migrate existing customers of any</w:t>
      </w:r>
    </w:p>
    <w:p>
      <w:pPr>
        <w:spacing w:after="0" w:line="34" w:lineRule="exact"/>
        <w:rPr>
          <w:rFonts w:ascii="Arial" w:cs="Arial" w:eastAsia="Arial" w:hAnsi="Arial"/>
          <w:sz w:val="18"/>
          <w:szCs w:val="18"/>
          <w:color w:val="auto"/>
        </w:rPr>
      </w:pPr>
    </w:p>
    <w:p>
      <w:pPr>
        <w:ind w:left="660" w:hanging="328"/>
        <w:spacing w:after="0" w:line="180"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4"/>
          <w:szCs w:val="14"/>
          <w:color w:val="auto"/>
        </w:rPr>
        <w:t>companies that we may acquire in the future to our products and services;</w:t>
      </w:r>
    </w:p>
    <w:p>
      <w:pPr>
        <w:spacing w:after="0" w:line="69"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6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amount and timing of income tax benefits that we recognize resulting from excess tax benefits related to stock-based compensation;</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solution enhancements or new solutions could fail to attain sufficient market acceptance for many reasons, including:</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2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continue to effectively scale and adapt our platform to meet the performance and other requirements of our customers, our operating results and our business would be harmed.</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renew existing subscriptions for our IT, security and compliance solutions, sell additional subscriptions for our solutions and attract new customers, our operating results would be harmed.</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operating results would be harmed.</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operating results would be harmed.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for cloud solutions for IT, security and compliance does not evolve as we anticipate, our revenues may not grow and our operating results would be harmed.</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1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platform, website and internal systems may be subject to intentional disruption or other security incidents that could result in liability and adversely impact our reputation and future sales.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ransomware, social engineering, denial of service attacks,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We and our service providers have experienced and may continue to experience security incidents and attacks of varying degrees from time to time. For example, in December 2020, we were notified by a service provider, Accellion, of a zero-day vulnerability affecting an Accellion FTA server that we deployed to transfer information as part of our customer support system. In response to this incident, we engaged third-party forensic experts to investigate and determined that attackers illegally obtained certain information from the Accellion FTA server. We notified affected customers, as we deemed was required or appropriate. We have incurred costs to respond to this incident and may continue to incur costs to support our efforts to enhance our security measures.</w:t>
      </w:r>
    </w:p>
    <w:p>
      <w:pPr>
        <w:spacing w:after="0" w:line="16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solutions, platforms, and system, and those of our service providers, may also suffer security incidents as a result of non-technical issues, including intentional or inadvertent acts or omissions by our employees or service providers. With the increase in personnel working remotely during the current COVID-19 pandemic, we and our service providers are at increased risk for security breaches. We are taking steps to monitor and enhance the security of our solutions, cloud platform, and other relevant systems, IT infrastructure, networks, and data; however, the unprecedented scale of remote work may require additional personnel and resources, which nevertheless cannot be guaranteed to fully safeguard our solutions, our cloud platform, or any systems, IT infrastructure networks, or data upon which we rely. Further, because our operations involve providing IT security solutions to our customers, we may be targeted for cyber-attacks and other security incidents. A breach in our data security or an attack against our service availability, or that of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publicly disclosed, altered, lost, or stolen, which could subject us to liability and cause us financial harm. If an actual or perceived disruption in the availability of our solutions or the breach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or alteration of information, litigation, regulatory actions and investigations and possible liability. Any such actual or perceived security breach or disruption could also divert the efforts of our technical and management personnel. We also may incur significant costs and operational consequences of investigating, remediating, eliminating and putting in place additional tools and devices designed to prevent actual or perceived security incidents, as well as the costs to comply with any notification obligations resulting from any security incidents. In addition, any such actual or perceived security breach could impair our ability to operate our business and provide solutions to our customers. If this happens, our reputation could be harmed, our revenues could decline and our business could suffer.</w:t>
      </w:r>
    </w:p>
    <w:p>
      <w:pPr>
        <w:sectPr>
          <w:pgSz w:w="11900" w:h="16838" w:orient="portrait"/>
          <w:cols w:equalWidth="0" w:num="1">
            <w:col w:w="11240"/>
          </w:cols>
          <w:pgMar w:left="320" w:top="125" w:right="339" w:bottom="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timing of sales of subscriptions for our solutions can be difficult to forecast because of the length and unpredictability of our sales cycle, particularly with large transactions.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1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uncertainties related to changes in public policies such as domestic and international regulations, taxes or international trade agreements, as well as geopolitical turmoil and other disruptions to global and regional economies and markets in many parts of the world, have and may continue to put pressure on global economic conditions and overall spending on IT security. We have operations, as well as current and potential customers, throughout most of Europe. If economic conditions in Europe and other key markets for our platform continue to remain uncertain or deteriorate further, many customers may delay or reduce their IT spending.</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IT, security and compliance solutions are delivered from eight data centers, and any disruption of service at these facilities would interrupt or delay our ability to deliver our solutions to our customers which could reduce our revenues and harm our operating results.</w:t>
      </w:r>
    </w:p>
    <w:p>
      <w:pPr>
        <w:spacing w:after="0" w:line="14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currently host substantially all of our solutions from third-party data centers located in the United States, Canada, Switzerland, the Netherlands, United Arab Emirates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Some of our data centers are not currently redundant and we may not be able to rapidly move our customers from one data center to another, which may increase delays in the restoration of our service for our customers if an adverse event occurs. We have added data center 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competition in our markets, and we may lack sufficient financial or other resources to maintain or improve our competitive position.</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compete with large and small public companies, such as Belden (Tripwire), Broadcom (Symantec Enterprise Security), CrowdStrike, F5 Networks, FireEye, International Business Machines, McAfee, Micro Focus International, Palo Alto Networks, Rapid7, SentinelOne, Sumo Logic, Tenable Holdings and VMware, as well as privately held security providers including Barracuda Networks, BeyondTrust Software, Flexera, Forescout Technologies, Imperva, Tanium, Trustwave Holdings, Venafi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77" w:lineRule="exact"/>
        <w:rPr>
          <w:sz w:val="20"/>
          <w:szCs w:val="20"/>
          <w:color w:val="auto"/>
        </w:rPr>
      </w:pPr>
    </w:p>
    <w:p>
      <w:pPr>
        <w:ind w:right="380" w:firstLine="324"/>
        <w:spacing w:after="0" w:line="255" w:lineRule="auto"/>
        <w:rPr>
          <w:sz w:val="20"/>
          <w:szCs w:val="20"/>
          <w:color w:val="auto"/>
        </w:rPr>
      </w:pPr>
      <w:r>
        <w:rPr>
          <w:rFonts w:ascii="Arial" w:cs="Arial" w:eastAsia="Arial" w:hAnsi="Arial"/>
          <w:sz w:val="18"/>
          <w:szCs w:val="18"/>
          <w:color w:val="auto"/>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Japanese Yen and Indian Rupee,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ectPr>
          <w:pgSz w:w="11900" w:h="16838" w:orient="portrait"/>
          <w:cols w:equalWidth="0" w:num="1">
            <w:col w:w="11240"/>
          </w:cols>
          <w:pgMar w:left="320" w:top="125"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solutions fail to help our customers achieve and maintain compliance with regulations and industry standards, our revenues and operating results could be harmed.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our brand and reputation could be harmed, which could have an adverse effect on our business and results of operations.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continue the expansion of our sales force, sales of our solutions and the growth of our business would be harmed.</w:t>
      </w:r>
    </w:p>
    <w:p>
      <w:pPr>
        <w:spacing w:after="0" w:line="23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third-party channel partners to generate a substantial amount of our revenues, and if we fail to expand and manage our distribution channels, our revenues could decline and our growth prospects could suffer.</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success significantly depends upon establishing and maintaining relationships with a variety of channel partners and we anticipate that we will continue to depend on these partners in order to grow our business. For the six months ended June 30, 2021, we derived approximately 41%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7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w:t>
      </w:r>
    </w:p>
    <w:p>
      <w:pPr>
        <w:sectPr>
          <w:pgSz w:w="11900" w:h="16838" w:orient="portrait"/>
          <w:cols w:equalWidth="0" w:num="1">
            <w:col w:w="11240"/>
          </w:cols>
          <w:pgMar w:left="320" w:top="125" w:right="339" w:bottom="0" w:gutter="0" w:footer="0" w:header="0"/>
        </w:sectPr>
      </w:pPr>
    </w:p>
    <w:bookmarkStart w:id="40" w:name="page41"/>
    <w:bookmarkEnd w:id="40"/>
    <w:p>
      <w:pPr>
        <w:spacing w:after="0" w:line="342" w:lineRule="auto"/>
        <w:rPr>
          <w:sz w:val="20"/>
          <w:szCs w:val="20"/>
          <w:color w:val="auto"/>
        </w:rPr>
      </w:pPr>
      <w:r>
        <w:rPr>
          <w:rFonts w:ascii="Arial" w:cs="Arial" w:eastAsia="Arial" w:hAnsi="Arial"/>
          <w:sz w:val="16"/>
          <w:szCs w:val="16"/>
          <w:color w:val="auto"/>
        </w:rPr>
        <w:t>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as a result of increasing tensions between India and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9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as of June 30, 2021, approximately 74% of our employees were located outside of the United States, of which 64% of our employees were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reporting currency is the U.S. dollar and we generate a majority of our revenues in U.S. dollars. However, for the six months ended June 30, 2021, we incurred approximately 24% of our expenses in foreign currencies, primarily Euros, British Pounds, and Indian Rupee, principally with respect to salaries and related personnel expenses associated with our European and Indian operations. Additionally, for the six months ended June 30, 2021, approximately 22%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results of our operations may be adversely affected by foreign exchange fluctuations.</w:t>
      </w:r>
    </w:p>
    <w:p>
      <w:pPr>
        <w:spacing w:after="0" w:line="19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significant growth, and if we do not appropriately manage any future growth, or are unable to improve our systems and processes, our operating results may be negatively affected.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experienced significant growth over the last several years. From 2018 to 2020, our revenues grew from $278.9 million to $363.0 million, and our headcount increased from 869 employees at the beginning of 2018 to 1,626 employees as of June 30, 2021.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depend on the continued services and performance of our senior management and other key employees, the loss of any of whom could adversely affect our business, operating results and financial condition.</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and other key employees, to execute on our business plan and to identify and pursue new opportunities and product innovations. We do not maintain key-man insurance for any member of our senior management team. Our senior management and key employees are generally employed on an at-will basis, which means that they could terminate their employment with us at any time. From time to time, there may be changes in our senior management team resulting from the termination or departure of executives. For example, our former chief executive officer resigned for health reasons in March 2021, and our current chief executive officer was appointed to the role in April 2021. The loss of the services of our senior management or other key employees for any reason could significantly delay or prevent the achievement of our development and strategic objectives and harm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may suffer.</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and Pune, India, locations in which we have a substantial presence and need for highly skilled personnel and we may not be able to compete for these employees.</w:t>
      </w:r>
    </w:p>
    <w:p>
      <w:pPr>
        <w:spacing w:after="0" w:line="1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revenues are generated by sales to government entities, which are subject to a number of challenges and risks.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in acquiring and integrating other businesses, products or technologies could impact our financial position.</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order to remain competitive, we have in the past and may in the future seek to acquire additional businesses, products, services or technologies. For example, we acquired 1Mobility on April 1, 2018, Layered Insight on October 16, 2018, Adya on January 10, 2019, and certain intellectual property of Spell Security on July 24, 2020.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ectPr>
          <w:pgSz w:w="11900" w:h="16838" w:orient="portrait"/>
          <w:cols w:equalWidth="0" w:num="1">
            <w:col w:w="11240"/>
          </w:cols>
          <w:pgMar w:left="320" w:top="125" w:right="339" w:bottom="196"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96"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software-as-a-service vendors to operate certain functions of our business and any failure of such vendors to provide services to us could adversely impact our business and operations.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Delays or interruptions in the manufacturing and delivery of our physical scanner appliances by our sole source manufacturer may harm our business.</w:t>
      </w:r>
    </w:p>
    <w:p>
      <w:pPr>
        <w:spacing w:after="0" w:line="26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Incorrect or improper implementation or use of our solutions could result in customer dissatisfaction and harm our business and reputation.</w:t>
      </w:r>
    </w:p>
    <w:p>
      <w:pPr>
        <w:spacing w:after="0" w:line="2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recognize revenues from subscriptions over the term of the relevant service period, and therefore any decreases or increases in bookings are not immediately reflected in our operating results.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Legal, Tax and 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Undetected software errors or flaws in our solutions could harm our reputation, decrease market acceptance of our solutions or result in liability.</w:t>
      </w:r>
    </w:p>
    <w:p>
      <w:pPr>
        <w:spacing w:after="0" w:line="24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17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could be used to collect and store personal information of our 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employees or customers, and therefore privacy and other data handling concerns could result in additional cost and liability to us or inhibit sales of our solutions.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GDPR. This regulation, which took effect in May of 2018, causes EU data protection requirements to be more stringent and provides for greater penalties. The GDPR may be subject to new or changing interpretations by courts, and our interpretation of the law and efforts to comply with the rules and regulations of the law may be ruled invalid. Noncompliance with the GDPR can trigger fines of up to €20 million or 4% of global annual revenues, whichever is higher. Similarly, California recently enacted the California Consumer Privacy Act (“CCPA”), which, among other things, requires covered companies to provide new disclosures to California consumers and afford such consumers new rights to opt-out of certain sales of personal information. The CCPA creates a private right of action for statutory damages for certain breaches of information. Aspects of the CCPA and its interpretation remain unclear. Additionally, a new privacy law, the California Privacy Rights Act (“CPRA”), was approved by voters in the November 3, 2020 election. The CPRA modifies the CCPA significantly, creating obligations relating to consumer data beginning on January 1, 2022, with implementing regulations expected on or before July 1, 2022, and enforcement beginning July 1, 2023. Passage of the CPRA has resulted in further uncertainty and may require us to incur additional costs and expenses in an effort to comply. In addition, other states have enacted or proposed legislation that regulates the collection, use, and sale of personal information, and such regimes might not be compatible with the GDPR, the CCPA or the CPRA or may require us to undertake additional practices. Accordingly, we cannot yet predict the impact of the CCPA, CRPA or other evolving privacy and data protection obligations on our business or operations, but it may require us to modify our data processing practices and policies and incur substantial costs and expenses in an effort to comply.</w:t>
      </w:r>
    </w:p>
    <w:p>
      <w:pPr>
        <w:spacing w:after="0" w:line="18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privacy, data protection, and information security laws and regulations we must comply with also are subject to change. For example, the United Kingdom enacted a Data Protection Act in May 2018 that substantially implements the GDPR, but the United Kingdom's exit from the European Union, commonly referred to as “Brexit,” could lead to further legislative and regulatory changes. It remains unclear how United Kingdom data protection laws or regulations will develop in the medium to longer term and how data transfers to and from the United Kingdom will be regulated. Additionally, we have joined the EU-U.S. Privacy Shield Framework and a related program, the Swiss-U.S. Privacy Shield Framework and make use of certain model clauses approved by the European Commission (the “SCCs”), with regard to certain transfers of personal data from the European Economic Area (“EEA”) to the U.S. Both the EU-U.S. Privacy Shield Framework and SCCs have been subject to legal challenge, however, and on July 16, 2020, the Court of Justice of the European Union (“CJEU”) issued a decision that invalidated the EU-U.S. Privacy Shield and imposed additional obligations on companies when relying on the SCCs. This CJEU decision may result in European data protection regulators applying differing standards for, and requiring ad hoc verification of, transfers of personal data from Europe to the U.S. We are analyzing the impacts of this decision, and we may find it necessary or appropriate to take different or additional steps with respect to transfers of personal data, which may result in increased costs of compliance and limitations on our customers and us. We may be unsuccessful in maintaining legitimate means for our transfer and receipt of personal data from the EEA or Switzerland. We may experience reluctance or refusal by current or prospective European customers to use our products, and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w:t>
      </w:r>
    </w:p>
    <w:p>
      <w:pPr>
        <w:sectPr>
          <w:pgSz w:w="11900" w:h="16838" w:orient="portrait"/>
          <w:cols w:equalWidth="0" w:num="1">
            <w:col w:w="11240"/>
          </w:cols>
          <w:pgMar w:left="320" w:top="125" w:right="339" w:bottom="412"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12"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contain third-party open source software components, and our failure to comply with the terms of the underlying open source software licenses could restrict our ability to sell our solutions.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use third-party software and data that may be difficult to replace or cause errors or failures of our solutions that could lead to lost customers or harm to our reputation and our operating results.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protect our proprietary technology and intellectual property rights could substantially harm our business and operating results.</w:t>
      </w:r>
    </w:p>
    <w:p>
      <w:pPr>
        <w:spacing w:after="0" w:line="2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could result in significant costs and harm our business and operating results.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adverse outcome of a dispute may require us to:</w:t>
      </w:r>
    </w:p>
    <w:p>
      <w:pPr>
        <w:spacing w:after="0" w:line="23" w:lineRule="exact"/>
        <w:rPr>
          <w:sz w:val="20"/>
          <w:szCs w:val="20"/>
          <w:color w:val="auto"/>
        </w:rPr>
      </w:pP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9"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ectPr>
          <w:pgSz w:w="11900" w:h="16838" w:orient="portrait"/>
          <w:cols w:equalWidth="0" w:num="1">
            <w:col w:w="11240"/>
          </w:cols>
          <w:pgMar w:left="320" w:top="125"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export or import controls could subject us to liability if we violate them or limit our ability to compete in foreign markets.</w:t>
      </w:r>
    </w:p>
    <w:p>
      <w:pPr>
        <w:spacing w:after="0" w:line="2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required to collect higher sales and use or other taxes on the solutions we sell, we may be subject to liability for past sales and our future sales may decrease.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our income tax provision or adverse outcomes resulting from examination of our income tax returns could adversely affect our operating results. We could be subject to additional taxes.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$1.4 million and $0.1 million, respectively, as of December 31, 2020. Increases in our effective tax rate could harm our operating results.</w:t>
      </w:r>
    </w:p>
    <w:p>
      <w:pPr>
        <w:spacing w:after="0" w:line="1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Additionally,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an investment in our common stock and could subject us to litigation.</w:t>
      </w:r>
    </w:p>
    <w:p>
      <w:pPr>
        <w:spacing w:after="0" w:line="225"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color w:val="auto"/>
        </w:rPr>
        <w:t>The trading price of our common stock has been, and may continue to be, subject to significant fluctuations in response to a number of factors, most of which we cannot predict or control, including:</w:t>
      </w:r>
    </w:p>
    <w:p>
      <w:pPr>
        <w:spacing w:after="0" w:line="1" w:lineRule="exact"/>
        <w:rPr>
          <w:sz w:val="20"/>
          <w:szCs w:val="20"/>
          <w:color w:val="auto"/>
        </w:rPr>
      </w:pPr>
    </w:p>
    <w:p>
      <w:pPr>
        <w:ind w:left="460" w:hanging="223"/>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announcements of new solutions, services or technologies, commercial relationships, acquisitions or other events by us or our competitors;</w:t>
      </w:r>
    </w:p>
    <w:p>
      <w:pPr>
        <w:spacing w:after="0" w:line="20" w:lineRule="exact"/>
        <w:rPr>
          <w:rFonts w:ascii="Arial" w:cs="Arial" w:eastAsia="Arial" w:hAnsi="Arial"/>
          <w:sz w:val="17"/>
          <w:szCs w:val="17"/>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executive officers, directors and holders of 10% or more of our outstanding common stock may prevent new investors from influencing significant corporate decisions.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June 30, 2021, our executive officers, directors and holders of 10% or more of our outstanding common stock beneficially owned, in the aggregate, approximately 26.7%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June 30, 2021, we had approximately 39.0 million shares of our common stock outstanding.</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as of June 30, 2021, there were approximately 0.7 million restricted stock units and options to purchase approximately 2.2 million shares of our common stock outstanding. If such options are exercised and restricted stock units are released, these additional shares will become available for sale. As of June 30, 2021, we had an aggregate of 8.6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that our stock repurchase program will be fully consummated or that it will enhance stockholder value, and any stock repurchases we make could affect the price of our common stock.</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2018, we announced a $100.0 million stock repurchase program. On each of October 30, 2018, October 30, 2019, May 7, 2020 and February 10, 2021, we announced that our board of directors had authorized an increase of $100.0 million to the share repurchase program, resulting in an aggregate authorization of $500.0 million.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During the six months ended June 30, 2021, we repurchased 0.6 million shares of our common stock for approximately $63.2 million. As of June 30, 2021, approximately $138.6 million remained available for share repurchases pursuant to our share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and therefore any returns will be limited to the value of our stock.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4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delay or prevent an acquisition of us or a change in our management. These provisions include:</w:t>
      </w:r>
    </w:p>
    <w:p>
      <w:pPr>
        <w:spacing w:after="0" w:line="1" w:lineRule="exact"/>
        <w:rPr>
          <w:sz w:val="20"/>
          <w:szCs w:val="20"/>
          <w:color w:val="auto"/>
        </w:rPr>
      </w:pPr>
    </w:p>
    <w:p>
      <w:pPr>
        <w:jc w:val="both"/>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1"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9"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1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Disruptive technologies could gain wide adoption and supplant our cloud-based IT, security and compliance solutions, thereby weakening our sales and harming our results of operations.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the future.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Forecasts of market growth may prove to be inaccurate, and even if the markets in which we compete achieve the forecasted growth, there can be no assurance that our business will grow at similar rates, or at all.</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“Part I,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fair value measurement and leases.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financial accounting standards may cause adverse and unexpected revenue fluctuations and impact our reported results of operations.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2020,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ectPr>
          <w:pgSz w:w="11900" w:h="16838" w:orient="portrait"/>
          <w:cols w:equalWidth="0" w:num="1">
            <w:col w:w="11240"/>
          </w:cols>
          <w:pgMar w:left="320" w:top="125" w:right="339" w:bottom="628"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28"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repurchases of common stock during the three months ended June 30,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Dollar</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 of Shares</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that</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Total Number of</w:t>
            </w:r>
          </w:p>
        </w:tc>
        <w:tc>
          <w:tcPr>
            <w:tcW w:w="2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Average Price Paid</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Plan or Program</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under the Plan or</w:t>
            </w:r>
          </w:p>
        </w:tc>
      </w:tr>
      <w:tr>
        <w:trPr>
          <w:trHeight w:val="23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Shares Purchased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per Share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Program</w:t>
            </w:r>
          </w:p>
        </w:tc>
        <w:tc>
          <w:tcPr>
            <w:tcW w:w="100" w:type="dxa"/>
            <w:vAlign w:val="bottom"/>
          </w:tcPr>
          <w:p>
            <w:pPr>
              <w:spacing w:after="0"/>
              <w:rPr>
                <w:sz w:val="20"/>
                <w:szCs w:val="20"/>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April 1 - April 30, 2021</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105,000</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105.31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159,714,379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May 1 - May 31, 2021</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101,000</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98.38</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101,000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149,780,015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June 1 - June 30, 2021</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110,000</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138,550,268</w:t>
            </w: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316,000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13"/>
        <w:spacing w:after="0" w:line="254" w:lineRule="auto"/>
        <w:tabs>
          <w:tab w:leader="none" w:pos="6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February 5, 2018, our board of directors authorized a $100.0 million two-year share repurchase program, which was announced on February 12, 2018. On each of October 30, 2018, October 30, 2019, May 7, 2020 and February 10, 2021, we announced that our board of directors had authorized an increase of $100.0 million to the share repurchase program, resulting in an aggregate authorization of $500.0 million to date. Shares may be repurchased from time to time on the open market in accordance with Rule 10b-18 of the Exchange Act of 1934, including pursuant to a pre-set trading plan adopted in accordance with Rule 10b5-1 under the Exchange Act. On February 12, 2021, we entered into a pre-set trading plan adopted in accordance with Rule 10b5-1 to effect repurchases under our share repurchase program. All share repurchases have been made using cash resources. Our share repurchase program will expire on February 14,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20"/>
                <w:szCs w:val="20"/>
                <w:color w:val="auto"/>
              </w:rPr>
            </w:pPr>
          </w:p>
        </w:tc>
        <w:tc>
          <w:tcPr>
            <w:tcW w:w="1010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Description</w:t>
            </w:r>
          </w:p>
        </w:tc>
      </w:tr>
      <w:tr>
        <w:trPr>
          <w:trHeight w:val="385"/>
        </w:trPr>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Qualys, Inc. 2021 Employee Stock Purchase Plan (incorporated herein by reference to Exhibit 10.1 to the Registrant’s Current Report on</w:t>
              </w:r>
            </w:hyperlink>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85"/>
              </w:rPr>
              <w:t>10.1</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Form 8-K filed with the SEC on June 11, 2021).</w:t>
              </w:r>
            </w:hyperlink>
          </w:p>
        </w:tc>
        <w:tc>
          <w:tcPr>
            <w:tcW w:w="2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31.1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Certification of Chief Executive Officer pursuant to Rule 13a-14(a) or Rule 15d-14(a) of the Securities Exchange Act of 1934, as</w:t>
              </w:r>
            </w:hyperlink>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adopted pursuant to Section 302 of The Sarbanes-Oxley Act of 2002.</w:t>
              </w:r>
            </w:hyperlink>
          </w:p>
        </w:tc>
        <w:tc>
          <w:tcPr>
            <w:tcW w:w="800" w:type="dxa"/>
            <w:vAlign w:val="bottom"/>
            <w:gridSpan w:val="4"/>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31.2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Certification of Chief Financial Officer pursuant to Rule 13a-14(a) or Rule 15d-14(a) of the Securities Exchange Act of 1934, as</w:t>
              </w:r>
            </w:hyperlink>
          </w:p>
        </w:tc>
        <w:tc>
          <w:tcPr>
            <w:tcW w:w="840" w:type="dxa"/>
            <w:vAlign w:val="bottom"/>
            <w:gridSpan w:val="5"/>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adopted pursuant to Section 302 of The Sarbanes-Oxley Act of 2002.</w:t>
              </w:r>
            </w:hyperlink>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32.1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8"/>
              </w:rPr>
            </w:pPr>
            <w:hyperlink w:anchor="page57">
              <w:r>
                <w:rPr>
                  <w:rFonts w:ascii="Arial" w:cs="Arial" w:eastAsia="Arial" w:hAnsi="Arial"/>
                  <w:sz w:val="18"/>
                  <w:szCs w:val="18"/>
                  <w:color w:val="0000EE"/>
                  <w:w w:val="98"/>
                </w:rPr>
                <w:t>Certification of Chief Executive Officer pursuant to Rule 13a-14(b) or Rule 15d-14(b) of the Securities Exchange Act of 1934 and</w:t>
              </w:r>
            </w:hyperlink>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18 U.S.C. Section 1350 as adopted pursuant to Section 906 of The Sarbanes-Oxley Act of 2002.</w:t>
              </w:r>
            </w:hyperlink>
          </w:p>
        </w:tc>
        <w:tc>
          <w:tcPr>
            <w:tcW w:w="2440" w:type="dxa"/>
            <w:vAlign w:val="bottom"/>
            <w:tcBorders>
              <w:top w:val="single" w:sz="8" w:color="0000EE"/>
            </w:tcBorders>
            <w:gridSpan w:val="4"/>
          </w:tcPr>
          <w:p>
            <w:pPr>
              <w:spacing w:after="0"/>
              <w:rPr>
                <w:sz w:val="17"/>
                <w:szCs w:val="17"/>
                <w:color w:val="auto"/>
              </w:rPr>
            </w:pPr>
          </w:p>
        </w:tc>
        <w:tc>
          <w:tcPr>
            <w:tcW w:w="720" w:type="dxa"/>
            <w:vAlign w:val="bottom"/>
            <w:gridSpan w:val="2"/>
          </w:tcPr>
          <w:p>
            <w:pPr>
              <w:spacing w:after="0"/>
              <w:rPr>
                <w:sz w:val="17"/>
                <w:szCs w:val="17"/>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32.2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Certification of Chief Financial Officer pursuant to Rule 13a-14(b) or Rule 15d-14(b) of the Securities Exchange Act of 1934 and</w:t>
              </w:r>
            </w:hyperlink>
          </w:p>
        </w:tc>
        <w:tc>
          <w:tcPr>
            <w:tcW w:w="760" w:type="dxa"/>
            <w:vAlign w:val="bottom"/>
            <w:gridSpan w:val="3"/>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18 U.S.C. Section 1350 as adopted pursuant to Section 906 of The Sarbanes-Oxley Act of 2002.</w:t>
              </w:r>
            </w:hyperlink>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gridSpan w:val="3"/>
            <w:shd w:val="clear" w:color="auto" w:fill="0000EE"/>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r>
      <w:tr>
        <w:trPr>
          <w:trHeight w:val="438"/>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INS</w:t>
            </w:r>
          </w:p>
        </w:tc>
        <w:tc>
          <w:tcPr>
            <w:tcW w:w="1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 tags are</w:t>
            </w:r>
          </w:p>
        </w:tc>
      </w:tr>
      <w:tr>
        <w:trPr>
          <w:trHeight w:val="230"/>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0"/>
          </w:tcPr>
          <w:p>
            <w:pPr>
              <w:ind w:left="320"/>
              <w:spacing w:after="0"/>
              <w:rPr>
                <w:sz w:val="20"/>
                <w:szCs w:val="20"/>
                <w:color w:val="auto"/>
              </w:rPr>
            </w:pPr>
            <w:r>
              <w:rPr>
                <w:rFonts w:ascii="Arial" w:cs="Arial" w:eastAsia="Arial" w:hAnsi="Arial"/>
                <w:sz w:val="18"/>
                <w:szCs w:val="18"/>
                <w:color w:val="auto"/>
              </w:rPr>
              <w:t>embedded within the inline XBRL document.</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101 SCH</w:t>
            </w:r>
          </w:p>
        </w:tc>
        <w:tc>
          <w:tcPr>
            <w:tcW w:w="1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CAL</w:t>
            </w:r>
          </w:p>
        </w:tc>
        <w:tc>
          <w:tcPr>
            <w:tcW w:w="1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DEF</w:t>
            </w:r>
          </w:p>
        </w:tc>
        <w:tc>
          <w:tcPr>
            <w:tcW w:w="1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LAB</w:t>
            </w:r>
          </w:p>
        </w:tc>
        <w:tc>
          <w:tcPr>
            <w:tcW w:w="1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PRE</w:t>
            </w:r>
          </w:p>
        </w:tc>
        <w:tc>
          <w:tcPr>
            <w:tcW w:w="1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Cover Page Interactive Data File - formatted in Inline XBRL and included as Exhibit 101</w:t>
            </w:r>
          </w:p>
        </w:tc>
      </w:tr>
    </w:tbl>
    <w:p>
      <w:pPr>
        <w:spacing w:after="0" w:line="202" w:lineRule="exact"/>
        <w:rPr>
          <w:sz w:val="20"/>
          <w:szCs w:val="20"/>
          <w:color w:val="auto"/>
        </w:rPr>
      </w:pPr>
    </w:p>
    <w:p>
      <w:pPr>
        <w:jc w:val="both"/>
        <w:ind w:left="500" w:right="200"/>
        <w:spacing w:after="0" w:line="259" w:lineRule="auto"/>
        <w:rPr>
          <w:sz w:val="20"/>
          <w:szCs w:val="20"/>
          <w:color w:val="auto"/>
        </w:rPr>
      </w:pPr>
      <w:r>
        <w:rPr>
          <w:rFonts w:ascii="Arial" w:cs="Arial" w:eastAsia="Arial" w:hAnsi="Arial"/>
          <w:sz w:val="18"/>
          <w:szCs w:val="18"/>
          <w:color w:val="auto"/>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8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the City of Foster City, State of California on August 9, 2021.</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Joo Mi Kim</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both"/>
        <w:ind w:left="6200"/>
        <w:spacing w:after="0"/>
        <w:tabs>
          <w:tab w:leader="none" w:pos="67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SAIKAT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7" w:lineRule="exact"/>
        <w:rPr>
          <w:sz w:val="20"/>
          <w:szCs w:val="20"/>
          <w:color w:val="auto"/>
        </w:rPr>
      </w:pPr>
    </w:p>
    <w:p>
      <w:pPr>
        <w:jc w:val="right"/>
        <w:ind w:right="3060"/>
        <w:spacing w:after="0"/>
        <w:rPr>
          <w:sz w:val="20"/>
          <w:szCs w:val="20"/>
          <w:color w:val="auto"/>
        </w:rPr>
      </w:pPr>
      <w:r>
        <w:rPr>
          <w:rFonts w:ascii="Arial" w:cs="Arial" w:eastAsia="Arial" w:hAnsi="Arial"/>
          <w:sz w:val="18"/>
          <w:szCs w:val="18"/>
          <w:color w:val="auto"/>
        </w:rPr>
        <w:t>Name: Saikat Paul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Accounting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60"/>
          </w:cols>
          <w:pgMar w:left="320" w:top="125" w:right="41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Sumedh Thakar, certify that:</w:t>
      </w:r>
    </w:p>
    <w:p>
      <w:pPr>
        <w:spacing w:after="0" w:line="225"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482"/>
        <w:spacing w:after="0" w:line="342" w:lineRule="auto"/>
        <w:tabs>
          <w:tab w:leader="none" w:pos="1138"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482"/>
        <w:spacing w:after="0" w:line="263" w:lineRule="auto"/>
        <w:tabs>
          <w:tab w:leader="none" w:pos="113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482"/>
        <w:spacing w:after="0" w:line="308" w:lineRule="auto"/>
        <w:tabs>
          <w:tab w:leader="none" w:pos="1138"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82"/>
        <w:spacing w:after="0" w:line="277" w:lineRule="auto"/>
        <w:tabs>
          <w:tab w:leader="none" w:pos="113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August 9, 2021</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Sumedh Thakar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Joo Mi Kim, certify that:</w:t>
      </w:r>
    </w:p>
    <w:p>
      <w:pPr>
        <w:spacing w:after="0" w:line="225"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482"/>
        <w:spacing w:after="0" w:line="342" w:lineRule="auto"/>
        <w:tabs>
          <w:tab w:leader="none" w:pos="1138"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482"/>
        <w:spacing w:after="0" w:line="263" w:lineRule="auto"/>
        <w:tabs>
          <w:tab w:leader="none" w:pos="11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482"/>
        <w:spacing w:after="0" w:line="308" w:lineRule="auto"/>
        <w:tabs>
          <w:tab w:leader="none" w:pos="1138"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82"/>
        <w:spacing w:after="0" w:line="277" w:lineRule="auto"/>
        <w:tabs>
          <w:tab w:leader="none" w:pos="11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August 9, 2021</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Qualys, Inc. (the “Company”) on Form 10-Q for the quarter ended June 30, 2021, as filed with the Securities and Exchange Commission on the date hereof (the “Report”), I, Sumedh Thakar, President and Chief Executive Officer of the Company, certify, pursuant to 18 U.S.C. § 1350, as adopted pursuant to § 906 of the Sarbanes-Oxley Act of 2002, that, to the best of my knowledge:</w:t>
      </w:r>
    </w:p>
    <w:p>
      <w:pPr>
        <w:spacing w:after="0" w:line="143"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8" w:lineRule="exact"/>
        <w:rPr>
          <w:rFonts w:ascii="Arial" w:cs="Arial" w:eastAsia="Arial" w:hAnsi="Arial"/>
          <w:sz w:val="22"/>
          <w:szCs w:val="22"/>
          <w:color w:val="auto"/>
        </w:rPr>
      </w:pPr>
    </w:p>
    <w:p>
      <w:pPr>
        <w:ind w:left="820" w:hanging="326"/>
        <w:spacing w:after="0" w:line="232" w:lineRule="auto"/>
        <w:tabs>
          <w:tab w:leader="none" w:pos="8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August 9, 2021</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Sumedh Thakar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57" w:name="page58"/>
    <w:bookmarkEnd w:id="57"/>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2021,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spacing w:after="0" w:line="161"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8" w:lineRule="exact"/>
        <w:rPr>
          <w:rFonts w:ascii="Arial" w:cs="Arial" w:eastAsia="Arial" w:hAnsi="Arial"/>
          <w:sz w:val="22"/>
          <w:szCs w:val="22"/>
          <w:color w:val="auto"/>
        </w:rPr>
      </w:pPr>
    </w:p>
    <w:p>
      <w:pPr>
        <w:ind w:left="820" w:hanging="326"/>
        <w:spacing w:after="0" w:line="232" w:lineRule="auto"/>
        <w:tabs>
          <w:tab w:leader="none" w:pos="82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August 9, 2021</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4" Type="http://schemas.openxmlformats.org/officeDocument/2006/relationships/hyperlink" Target="http://www.sec.gov/Archives/edgar/data/1107843/000119312521188846/d57321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2021-08-09T16:35:48Z</dcterms:created>
  <dcterms:modified xsi:type="dcterms:W3CDTF">2021-08-09T16:35:48Z</dcterms:modified>
</cp:coreProperties>
</file>