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39"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001-35662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QUALYS,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57"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77-0534145</w:t>
            </w:r>
          </w:p>
        </w:tc>
      </w:tr>
      <w:tr>
        <w:trPr>
          <w:trHeight w:val="24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E. Hillsdale Boulevard, 4th Floor, Foster City, California 94404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801-6100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QLYS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w:t>
            </w:r>
          </w:p>
        </w:tc>
      </w:tr>
    </w:tbl>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spacing w:after="0"/>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7" w:right="339" w:bottom="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520"/>
        <w:spacing w:after="0"/>
        <w:rPr>
          <w:sz w:val="20"/>
          <w:szCs w:val="20"/>
          <w:color w:val="auto"/>
        </w:rPr>
      </w:pPr>
      <w:r>
        <w:rPr>
          <w:rFonts w:ascii="Wingdings" w:cs="Wingdings" w:eastAsia="Wingdings" w:hAnsi="Wingdings"/>
          <w:sz w:val="17"/>
          <w:szCs w:val="17"/>
          <w:b w:val="1"/>
          <w:bCs w:val="1"/>
          <w:color w:val="auto"/>
        </w:rPr>
        <w:t>o</w:t>
      </w:r>
    </w:p>
    <w:p>
      <w:pPr>
        <w:spacing w:after="0" w:line="63" w:lineRule="exact"/>
        <w:rPr>
          <w:sz w:val="24"/>
          <w:szCs w:val="24"/>
          <w:color w:val="auto"/>
        </w:rPr>
      </w:pPr>
    </w:p>
    <w:p>
      <w:pPr>
        <w:sectPr>
          <w:pgSz w:w="11900" w:h="16838" w:orient="portrait"/>
          <w:cols w:equalWidth="0" w:num="8">
            <w:col w:w="1640" w:space="500"/>
            <w:col w:w="200" w:space="460"/>
            <w:col w:w="1200" w:space="660"/>
            <w:col w:w="160" w:space="480"/>
            <w:col w:w="1520" w:space="640"/>
            <w:col w:w="160" w:space="480"/>
            <w:col w:w="1960" w:space="500"/>
            <w:col w:w="680"/>
          </w:cols>
          <w:pgMar w:left="320" w:top="337" w:right="339" w:bottom="0" w:gutter="0" w:footer="0" w:header="0"/>
          <w:type w:val="continuous"/>
        </w:sectPr>
      </w:pPr>
    </w:p>
    <w:p>
      <w:pPr>
        <w:ind w:left="81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Wingdings" w:cs="Wingdings" w:eastAsia="Wingdings" w:hAnsi="Wingdings"/>
          <w:sz w:val="17"/>
          <w:szCs w:val="17"/>
          <w:b w:val="1"/>
          <w:bCs w:val="1"/>
          <w:color w:val="auto"/>
        </w:rPr>
        <w:t>o</w:t>
      </w:r>
    </w:p>
    <w:p>
      <w:pPr>
        <w:spacing w:after="0" w:line="198" w:lineRule="exact"/>
        <w:rPr>
          <w:sz w:val="24"/>
          <w:szCs w:val="24"/>
          <w:color w:val="auto"/>
        </w:rPr>
      </w:pPr>
    </w:p>
    <w:p>
      <w:pPr>
        <w:sectPr>
          <w:pgSz w:w="11900" w:h="16838" w:orient="portrait"/>
          <w:cols w:equalWidth="0" w:num="2">
            <w:col w:w="10060" w:space="500"/>
            <w:col w:w="680"/>
          </w:cols>
          <w:pgMar w:left="320" w:top="337" w:right="339" w:bottom="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7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market value of voting shares of common stock held by non-affiliates of the registrant was $3,714 million based on the last reported sale price of the registrant's common stock on June 30, 2025.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ectPr>
          <w:pgSz w:w="11900" w:h="16838" w:orient="portrait"/>
          <w:cols w:equalWidth="0" w:num="1">
            <w:col w:w="11240"/>
          </w:cols>
          <w:pgMar w:left="320" w:top="337"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11, 2026 was 35,675,926 shares.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for its 2026 Annual Meeting of Stockholders are incorporated by reference in Part III of this Annual Report on Form 10-K where indicated. Such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2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Risk Factor Summary</w:t>
            </w:r>
          </w:p>
        </w:tc>
        <w:tc>
          <w:tcPr>
            <w:tcW w:w="520" w:type="dxa"/>
            <w:vAlign w:val="bottom"/>
            <w:gridSpan w:val="2"/>
          </w:tcPr>
          <w:p>
            <w:pPr>
              <w:jc w:val="center"/>
              <w:ind w:left="3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Note Regarding Forward-Looking Statements</w:t>
            </w:r>
          </w:p>
        </w:tc>
        <w:tc>
          <w:tcPr>
            <w:tcW w:w="5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88"/>
              </w:rPr>
              <w:t>5</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40" w:type="dxa"/>
            <w:vAlign w:val="bottom"/>
            <w:gridSpan w:val="12"/>
          </w:tcPr>
          <w:p>
            <w:pPr>
              <w:jc w:val="center"/>
              <w:ind w:right="43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580" w:type="dxa"/>
            <w:vAlign w:val="bottom"/>
            <w:gridSpan w:val="16"/>
          </w:tcPr>
          <w:p>
            <w:pPr>
              <w:spacing w:after="0"/>
              <w:rPr>
                <w:sz w:val="21"/>
                <w:szCs w:val="21"/>
                <w:color w:val="auto"/>
              </w:rPr>
            </w:pPr>
          </w:p>
        </w:tc>
        <w:tc>
          <w:tcPr>
            <w:tcW w:w="580" w:type="dxa"/>
            <w:vAlign w:val="bottom"/>
            <w:tcBorders>
              <w:top w:val="single" w:sz="8" w:color="0000FF"/>
            </w:tcBorders>
            <w:gridSpan w:val="2"/>
          </w:tcPr>
          <w:p>
            <w:pPr>
              <w:spacing w:after="0"/>
              <w:rPr>
                <w:sz w:val="21"/>
                <w:szCs w:val="21"/>
                <w:color w:val="auto"/>
              </w:rPr>
            </w:pPr>
          </w:p>
        </w:tc>
        <w:tc>
          <w:tcPr>
            <w:tcW w:w="4360" w:type="dxa"/>
            <w:vAlign w:val="bottom"/>
            <w:gridSpan w:val="10"/>
          </w:tcPr>
          <w:p>
            <w:pPr>
              <w:spacing w:after="0"/>
              <w:rPr>
                <w:sz w:val="21"/>
                <w:szCs w:val="21"/>
                <w:color w:val="auto"/>
              </w:rPr>
            </w:pPr>
          </w:p>
        </w:tc>
        <w:tc>
          <w:tcPr>
            <w:tcW w:w="5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60" w:type="dxa"/>
            <w:vAlign w:val="bottom"/>
            <w:gridSpan w:val="26"/>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20" w:type="dxa"/>
            <w:vAlign w:val="bottom"/>
            <w:gridSpan w:val="20"/>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20" w:type="dxa"/>
            <w:vAlign w:val="bottom"/>
            <w:gridSpan w:val="20"/>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60" w:type="dxa"/>
            <w:vAlign w:val="bottom"/>
            <w:gridSpan w:val="2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4"/>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4"/>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20" w:type="dxa"/>
            <w:vAlign w:val="bottom"/>
            <w:gridSpan w:val="11"/>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700" w:type="dxa"/>
            <w:vAlign w:val="bottom"/>
            <w:gridSpan w:val="3"/>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22"/>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240" w:type="dxa"/>
            <w:vAlign w:val="bottom"/>
            <w:gridSpan w:val="6"/>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40" w:type="dxa"/>
            <w:vAlign w:val="bottom"/>
            <w:gridSpan w:val="6"/>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Borders>
              <w:top w:val="single" w:sz="8" w:color="0000FF"/>
            </w:tcBorders>
            <w:gridSpan w:val="7"/>
          </w:tcPr>
          <w:p>
            <w:pPr>
              <w:spacing w:after="0"/>
              <w:rPr>
                <w:sz w:val="21"/>
                <w:szCs w:val="21"/>
                <w:color w:val="auto"/>
              </w:rPr>
            </w:pPr>
          </w:p>
        </w:tc>
        <w:tc>
          <w:tcPr>
            <w:tcW w:w="4260" w:type="dxa"/>
            <w:vAlign w:val="bottom"/>
            <w:gridSpan w:val="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6"/>
          </w:tcPr>
          <w:p>
            <w:pPr>
              <w:spacing w:after="0"/>
              <w:rPr>
                <w:sz w:val="21"/>
                <w:szCs w:val="21"/>
                <w:color w:val="auto"/>
              </w:rPr>
            </w:pPr>
          </w:p>
        </w:tc>
        <w:tc>
          <w:tcPr>
            <w:tcW w:w="5080" w:type="dxa"/>
            <w:vAlign w:val="bottom"/>
            <w:gridSpan w:val="1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80" w:type="dxa"/>
            <w:vAlign w:val="bottom"/>
            <w:gridSpan w:val="2"/>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20" w:type="dxa"/>
            <w:vAlign w:val="bottom"/>
            <w:gridSpan w:val="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28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00" w:type="dxa"/>
            <w:vAlign w:val="bottom"/>
            <w:gridSpan w:val="1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00" w:type="dxa"/>
            <w:vAlign w:val="bottom"/>
            <w:gridSpan w:val="1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96</w:t>
            </w:r>
          </w:p>
        </w:tc>
        <w:tc>
          <w:tcPr>
            <w:tcW w:w="20" w:type="dxa"/>
            <w:vAlign w:val="bottom"/>
          </w:tcPr>
          <w:p>
            <w:pPr>
              <w:spacing w:after="0"/>
              <w:rPr>
                <w:sz w:val="20"/>
                <w:szCs w:val="20"/>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20"/>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214" w:lineRule="exact"/>
        <w:rPr>
          <w:sz w:val="20"/>
          <w:szCs w:val="20"/>
          <w:color w:val="auto"/>
        </w:rPr>
      </w:pPr>
    </w:p>
    <w:p>
      <w:pPr>
        <w:ind w:left="1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vary from period to period, which could result in our failure to meet expectations with respect to operating results and cause the trading price of our stock to decline.</w:t>
      </w:r>
    </w:p>
    <w:p>
      <w:pPr>
        <w:jc w:val="both"/>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effectively scale and adapt our platform to meet the performance and other requirements of our customers, our operating results and our business would be harmed.</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research and development efforts may not produce successful products or enhancements to our platform that result in significant revenue, cost savings or other benefits in the near future.</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products, website and internal systems may be subject to intentional disruption or other security incidents that could result in liability and adversely impact our reputation and future sales.</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or reduced IT spending may adversely impact our business.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IT, security and compliance solutions are delivered from 15 shared cloud platforms, and any disruption of service at these facilities would interrupt or delay our ability to deliver our solutions to our customers which could reduce our revenues and harm our operating results.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our markets, and we may lack sufficient financial or other resources to maintain or improve our competitive position.</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prices of our solutions are subject to competitive pressures and may decrease, which may reduce our gross profits and adversely impact our financial results.</w:t>
      </w:r>
    </w:p>
    <w:p>
      <w:pPr>
        <w:ind w:left="1300" w:right="2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to detect vulnerabilities or incorrectly detect vulnerabilities, our brand and reputation could be harmed, which could have an adverse effect on our business and results of operations.</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and retain qualified sales personnel, sales of our solutions and the growth of our business would be harmed.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to generate a substantial amount of our revenues, and if we fail to effectively manage our distribution channels, our revenues could decline and our growth prospects could suffer.</w:t>
      </w:r>
    </w:p>
    <w:p>
      <w:pPr>
        <w:jc w:val="both"/>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have continued to grow since inception, and if we do not appropriately manage any future growth, or are unable to improve our systems and processes, our operating results may be negatively affected.</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continued services and performance of our senior management and other key employees, the loss of any of whom could adversely affect our business, operating results and financial condition.</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may suffer.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revenues are generated by sales to government entities, which are subject to a number of challenges and risks.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acquiring and integrating other businesses, products or technologies could impact our financial position.</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errors or flaws in our solutions could harm our reputation, decrease market acceptance of our solutions or result in liability.</w:t>
      </w:r>
    </w:p>
    <w:p>
      <w:pPr>
        <w:ind w:left="1300" w:hanging="320"/>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AI/machine learning technologies in our solutions that could result in harm to our business and operating results.</w:t>
      </w:r>
    </w:p>
    <w:p>
      <w:pPr>
        <w:spacing w:after="0" w:line="27"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contain third-party open source software components, and our failure to comply with the terms of the underlying open source software licenses could restrict our ability to sell our solutions.</w:t>
      </w:r>
    </w:p>
    <w:p>
      <w:pPr>
        <w:ind w:left="130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software and data that may be difficult to replace or cause errors or failures of our solutions that could lead to lost customers or harm to our reputation and our operating results.</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proprietary technology and intellectual property rights could substantially harm our business and operating results.</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or other violations by us of their intellectual property rights could result in significant costs and harm our business and operating results.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00" w:lineRule="exact"/>
        <w:rPr>
          <w:sz w:val="20"/>
          <w:szCs w:val="20"/>
          <w:color w:val="auto"/>
        </w:rPr>
      </w:pPr>
    </w:p>
    <w:p>
      <w:pPr>
        <w:spacing w:after="0" w:line="225" w:lineRule="exact"/>
        <w:rPr>
          <w:sz w:val="20"/>
          <w:szCs w:val="20"/>
          <w:color w:val="auto"/>
        </w:rPr>
      </w:pPr>
    </w:p>
    <w:p>
      <w:pPr>
        <w:ind w:left="1060" w:hanging="517"/>
        <w:spacing w:after="0" w:line="262"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anticipated technology trends, such as the use of cloud solutions, and use of artificial intelligence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adapt to changing market conditions;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line="25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economic and financial conditions, including volatility in foreign exchange rates, inflation concerns, high interest rates, recessionary fears, significant volatility of global markets, reduced spending, budget scrutiny and extended sales cycles, and geopolitical conflicts;</w:t>
      </w:r>
    </w:p>
    <w:p>
      <w:pPr>
        <w:ind w:left="1060" w:right="20" w:hanging="517"/>
        <w:spacing w:after="0" w:line="25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diversify our sources of revenues, including selling additional solutions to our existing customers and our ability to pursue new customers;</w:t>
      </w: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increased competition in our market;</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innovate and enhance our cloud solutions and platform and introduce new solutions;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anticipated investments in sales and marketing, our infrastructure, new solutions, research and development, and acquisitions;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maintaining and enhancing our relationships with channel partners;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protect and enhance our brand and intellectual property;</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defending intellectual property infringement and other claims;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 including sales and marketing personnel;</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enter new markets and manage our international expansion;</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assumptions and conclusions related to our income tax provision, our deferred tax assets and our effective tax rate;</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the performance of, and our future trading activity with respect to, the marketable securities we hold;</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our share repurchase program; and</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line="26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in this Annual Report on Form 10-K in the sections titled “Risk Factors” and “Management's Discussion and Analysis of Financial Condition and Results of Operations.”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on Form 10-K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designations, as applicable, for the trademarks used in this Annual Report on Form 10-K.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leading provider of a cloud-based platform delivering information technology (IT), security and compliance solutions. Our integrated suite of IT, security and compliance solutions delivered on Qualys' Enterprise TruRisk Platform enables our customers to: 1) identify and manage their internal and external IT and operational technology (OT) assets across on-premises, endpoints, cloud, containers, and mobile environments; 2) collect and analyze large amounts of IT security data; 3) discover and prioritize vulnerabilities; 4) quantify cyber risk exposure; 5) recommend and implement remediation actions; and 6) verify the implementation of such actions. This helps organizations protect their systems and applications from ever-evolving cyber-attacks and helps achieve compliance with internal policies and external regulations.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cloud platform addresses the growing IT, security and compliance complexities and risks that are amplified by the dissolving boundaries between IT infrastructures and web environments, the rapid adoption of cloud computing, containers and serverless IT models, and the proliferation of geographically dispersed IT assets.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IT, information security, application security, endpoint, developer security and cloud teams.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IT infrastructures are more complex and globally-distributed today than ever before, as organizations of all sizes increasingly rely upon a myriad of interconnected information systems and related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that detect, measure, prioritize and remediate cyber risk delivered in a single platform.</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designed our cloud platform to transform the way organizations secure and protect their IT infrastructures and applications. Our cloud platform offers an integrated suite of solutions that automates the lifecycle of asset discovery and management, security and compliance assessments, and remediation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our cloud platform provides our customers with unique advantages, including:</w:t>
      </w:r>
    </w:p>
    <w:p>
      <w:pPr>
        <w:spacing w:after="0" w:line="27" w:lineRule="exact"/>
        <w:rPr>
          <w:sz w:val="20"/>
          <w:szCs w:val="20"/>
          <w:color w:val="auto"/>
        </w:rPr>
      </w:pP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hardware to buy or manage. </w:t>
      </w:r>
      <w:r>
        <w:rPr>
          <w:rFonts w:ascii="Times New Roman" w:cs="Times New Roman" w:eastAsia="Times New Roman" w:hAnsi="Times New Roman"/>
          <w:sz w:val="18"/>
          <w:szCs w:val="18"/>
          <w:color w:val="auto"/>
        </w:rPr>
        <w:t>There is no infrastructure or software to buy and maintain thus reducing our customers’ operating costs;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are accessible in the cloud via web interface. Qualys operates and maintains the platform.</w:t>
      </w:r>
    </w:p>
    <w:p>
      <w:pPr>
        <w:jc w:val="both"/>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Real-time visibility in one place, anytime and anywhere</w:t>
      </w:r>
      <w:r>
        <w:rPr>
          <w:rFonts w:ascii="Times New Roman" w:cs="Times New Roman" w:eastAsia="Times New Roman" w:hAnsi="Times New Roman"/>
          <w:sz w:val="18"/>
          <w:szCs w:val="18"/>
          <w:color w:val="auto"/>
        </w:rPr>
        <w:t>. Our customers can conveniently see their security and compliance posture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global IT and OT asset inventory in one browser window, without plugins or a virtual private network (VPN), whenever and wherever Internet access is available.</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Easy global scanning. </w:t>
      </w:r>
      <w:r>
        <w:rPr>
          <w:rFonts w:ascii="Times New Roman" w:cs="Times New Roman" w:eastAsia="Times New Roman" w:hAnsi="Times New Roman"/>
          <w:sz w:val="18"/>
          <w:szCs w:val="18"/>
          <w:color w:val="auto"/>
        </w:rPr>
        <w:t>Our customers can easily perform scans on geographically distributed and segmented networks at the perimeter, behind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firewall, on dynamic cloud environments and on endpoints.</w:t>
      </w:r>
    </w:p>
    <w:p>
      <w:pPr>
        <w:ind w:left="980" w:right="2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scaling. </w:t>
      </w:r>
      <w:r>
        <w:rPr>
          <w:rFonts w:ascii="Times New Roman" w:cs="Times New Roman" w:eastAsia="Times New Roman" w:hAnsi="Times New Roman"/>
          <w:sz w:val="18"/>
          <w:szCs w:val="18"/>
          <w:color w:val="auto"/>
        </w:rPr>
        <w:t>Our cloud platform is a scalable, comprehensive, and end-to-end solution for the IT, security and compliance needs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Our customers can seamlessly add new coverage, users and services after they have deployed our platform.</w:t>
      </w: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 to date resources</w:t>
      </w:r>
      <w:r>
        <w:rPr>
          <w:rFonts w:ascii="Times New Roman" w:cs="Times New Roman" w:eastAsia="Times New Roman" w:hAnsi="Times New Roman"/>
          <w:sz w:val="18"/>
          <w:szCs w:val="18"/>
          <w:color w:val="auto"/>
        </w:rPr>
        <w:t>. Qualys has one of the largest knowledge bases of vulnerability signatures in the industry. All security updates are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real-time.</w:t>
      </w:r>
    </w:p>
    <w:p>
      <w:pPr>
        <w:ind w:left="980" w:hanging="324"/>
        <w:spacing w:after="0" w:line="26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stored securely</w:t>
      </w:r>
      <w:r>
        <w:rPr>
          <w:rFonts w:ascii="Times New Roman" w:cs="Times New Roman" w:eastAsia="Times New Roman" w:hAnsi="Times New Roman"/>
          <w:sz w:val="18"/>
          <w:szCs w:val="18"/>
          <w:color w:val="auto"/>
        </w:rPr>
        <w:t>. Data is securely stored and processed in a multi-tiered architecture of load-balanced servers. Our encrypted databases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physically and logically secured.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cloud platform is currently used by over 10,000 customers worldwide, including a majority of the Forbes Global 100. Our revenues increased to $669.1 million in 2025 from $607.6 million in 2024 and $554.5 million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cloud platform consists of a suite of IT security, compliance, web application security, asset management and cloud security solutions, which we refer to as the Qualys Cloud Apps, that leverage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platform.</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3343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33432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cloud platform is delivered to our customers via our 15 global shared cloud platforms, or via our private platform offering, Qualys Private Cloud Platform (PCP), for customers or partners that want the platform to reside within the customer's shared cloud platform. The PCP is a standalone version of our multi-layer, multi-tenant services architecture and is a fully integrated turnkey solution, making it more scalable, cost effective and faster to deploy within a customer's shared cloud platform.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Qualys Core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core services enable customers to detect vulnerabilities, measure and remediate cyber risk through integrated workflows, and deliver real-time analysis and reporting across on-premises environments, network perimeters, endpoints, and cloud deployments.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core services constitute dynamic and customizable dashboards and centrally managed, self-updating integrated Cloud Apps, through a natively integrated unified platform.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core services include:</w:t>
      </w:r>
    </w:p>
    <w:p>
      <w:pPr>
        <w:spacing w:after="0" w:line="27" w:lineRule="exact"/>
        <w:rPr>
          <w:sz w:val="20"/>
          <w:szCs w:val="20"/>
          <w:color w:val="auto"/>
        </w:rPr>
      </w:pP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Tagging and Management. </w:t>
      </w:r>
      <w:r>
        <w:rPr>
          <w:rFonts w:ascii="Times New Roman" w:cs="Times New Roman" w:eastAsia="Times New Roman" w:hAnsi="Times New Roman"/>
          <w:sz w:val="18"/>
          <w:szCs w:val="18"/>
          <w:color w:val="auto"/>
        </w:rPr>
        <w:t>Enables customers to easily identify, categorize and manage large numbers of assets in highly dynamic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 environments and automates the process of inventory management and hierarchical organization of all internal and external assets. Built on top of this core service is the Qualys GAV framework, which is a global asset inventory service enabling our customers to search for information on any asset, scaling to millions of assets for customers of all sizes, helping IT and security personnel to search assets and maintain an up-to-date inventory on a continuous basis.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and Dashboards. </w:t>
      </w:r>
      <w:r>
        <w:rPr>
          <w:rFonts w:ascii="Times New Roman" w:cs="Times New Roman" w:eastAsia="Times New Roman" w:hAnsi="Times New Roman"/>
          <w:sz w:val="18"/>
          <w:szCs w:val="18"/>
          <w:color w:val="auto"/>
        </w:rPr>
        <w:t>A highly configurable reporting engine that provides customers with reports and dashboards based on their roles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access privileges.</w:t>
      </w:r>
    </w:p>
    <w:p>
      <w:pPr>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Questionnaires and Collaboration. </w:t>
      </w:r>
      <w:r>
        <w:rPr>
          <w:rFonts w:ascii="Times New Roman" w:cs="Times New Roman" w:eastAsia="Times New Roman" w:hAnsi="Times New Roman"/>
          <w:sz w:val="18"/>
          <w:szCs w:val="18"/>
          <w:color w:val="auto"/>
        </w:rPr>
        <w:t>A configurable workflow engine that enables customers to easily build questionnaires and capture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processes and workflows to evaluate controls and gather evidence to validate and document compliance.</w:t>
      </w: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Remediation and Workflow. </w:t>
      </w:r>
      <w:r>
        <w:rPr>
          <w:rFonts w:ascii="Times New Roman" w:cs="Times New Roman" w:eastAsia="Times New Roman" w:hAnsi="Times New Roman"/>
          <w:sz w:val="18"/>
          <w:szCs w:val="18"/>
          <w:color w:val="auto"/>
        </w:rPr>
        <w:t>An integrated workflow engine that allows customers to automatically generate helpdesk tickets for remediation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or other mitigating actions are applied and remediation is verified in subsequent scans.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Big Data Correlation and Analytics Engine. </w:t>
      </w:r>
      <w:r>
        <w:rPr>
          <w:rFonts w:ascii="Times New Roman" w:cs="Times New Roman" w:eastAsia="Times New Roman" w:hAnsi="Times New Roman"/>
          <w:sz w:val="18"/>
          <w:szCs w:val="18"/>
          <w:color w:val="auto"/>
        </w:rPr>
        <w:t>Provides Elasticsearch capabilities for indexing, searching and correlating large amounts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Alerts and Notifications. </w:t>
      </w:r>
      <w:r>
        <w:rPr>
          <w:rFonts w:ascii="Times New Roman" w:cs="Times New Roman" w:eastAsia="Times New Roman" w:hAnsi="Times New Roman"/>
          <w:sz w:val="18"/>
          <w:szCs w:val="18"/>
          <w:color w:val="auto"/>
        </w:rPr>
        <w:t>Creates email notifications to alert customers of new vulnerabilities, malware infections, scan completion,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trouble tickets and system updates.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Qualys Cloud Apps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Qualys’ Enterprise TruRisk Platform and its Cloud Apps help organizations escape this tool-fragmentation dilemma by drastically simplifying their security stacks and regaining unimpeded visibility across their on-premises, endpoints, cloud, container, and mobile environments.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Cloud Apps are self-updating, centrally managed and tightly integrated, and cover a broad range of functionality in areas such as asset management, vulnerability and configuration management, risk remediation, threat detection and response, compliance and cloud security solutions. Qualys' TruRisk scoring capabilities are embedded in many of our Cloud Apps, providing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with a quantitative metric of risk to help prioritize cybersecurity threats based on a combination of severity, exploitability, asset criticality, threat intelligence, and business context.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applications are easy to use and provide our customers with a high level of control because our applications are part of one platform, share a common user interface, utilize the same scanners and agent, access the same collected data, and leverage the same user permissions.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customers can subscribe to one or more of our 20+ Cloud Apps based on their initial needs and expand their subscriptions over time to new areas within their organization or to additional Qualys solutions to develop a more complete understanding of their respective environment's IT, security and compliance posture and remediate cybersecurity risk. Many of our customers use multiple Cloud Apps, some of which are noted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Cybersecurity Asset Management (CSAM): CSAM is an all-in-one solution that leverages the power of our cloud platform with its multiple native sensors and CMDB synchronization to continuously inventory known and unknown assets, discover installed applications, and overlay business and risk context to establish asset criticality. It identifies unauthorized or end-of-life and end-of-service software and the absence of required security tools, and assesses the health of the attack surface. Further, CSAM enables response options with threat alerts and software removal and delivers regulatory reporting in support of the Federal Risk and Authorization Management Program (FedRAMP), Payment Card Industry Data Security Standard (PCI-DSS) and other mandates. CSAM includes External Attack Surface Management (EASM), which allows discovery of internet facing unknown assets.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Enterprise TruRisk Management (ETM): ETM provides a unified view of cyber risk across an organization’s entire attack surface, including on-premises infrastructure, cloud environments, and applications, through a consolidated inventory of assets. The solution ingests and analyzes security telemetry from Qualys and third-party sensors, applying normalization, deduplication, and correlation of threat signals across more than 25 threat intelligence feeds to enhance risk severity and exploitability assessment. Leveraging the Qualys TruRisk score, ETM incorporates configurable business and risk parameters to quantify cyber risk in financial terms specific to an organization’s risk tolerance, supporting risk-based prioritization and decision-making. ETM further enables automated remediation through policy-based response rules and AI-driven workflows that integrate with Qualys’ TruRisk Eliminate solutions, IT service management platforms, and other third-party systems. These capabilities provide organizations with a vendor-agnostic solution to holistically centralize their response to cyber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Vulnerability and Configuration Management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VMDR automatically detects the latest superseding patch for the vulnerable asset and easily deploys it for remediation. Finally, VMDR quantifies risk across vulnerabilities, assets and groups of assets helping organizations proactively reduce cyber risk exposure and track cyber risk reduction over time. By delivering all this in a single app workflow, VMDR automates the entire process and significantly accelerates an organization’s ability to respond to threats, thus preventing possible exploitation across on-premises, endpoints, cloud, containers, and mobile environments.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Total Application Security (TotalAppSec, TAS): TAS continuously discovers and catalogs web applications and APIs – including new and unknown ones – and detects vulnerabilities and misconfigurations in web apps and APIs. Scaling to thousands of scans, it conducts incisive, thorough and precise testing of browser-based web apps, mobile app backends, and APIs. TAS' powerful API enables integration with other systems and allows teams to detect issues within DevOps environments early in the application development process. Bundled malware detection capability with TAS uses reputational, behavioral, antivirus, and heuristic analyses to identify and alert on malware infecting a user's websites. By Integrating TAS with manual testing tools and bug bounty solutions, customers can build a comprehensive application security testing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Remediation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Patch Management (PM): PM provides automated patch deployment capabilities for Windows, Linux, Mac and third party software by correlating vulnerabilities and the right set of remediation including patches and configuration fixes. It continuously gathers and uploads telemetry about installed software, open vulnerabilities and missing patches to our cloud platform. The resulting shared visibility of assets and their posture enables IT and security teams to collaborate using common vulnerability-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centric terminology and provides a consistent data set to analyze, prioritize, deploy and verify patches more efficiently. Patch Management is a component of Qualys' TruRisk Eliminate suite of remediation solutions. TruRisk Eliminate encompasses a broad range of remediation capabilities for organizations when patches are not yet available or feasible to deploy.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Custom Assessment and Remediation (CAR): CAR enables security architects to create custom scripts in popular scripting languages, user-defined controls and automation, all seamlessly integrated within existing programs to quickly assess, respond to and remediate threats across global hybrid environments.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Threat Detection and Response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Our highly scalable platform fills the gaps by bringing a new multi-vector approach and the unifying power to EDR, providing vital context and comprehensive visibility to the entire attack chain, from prevention to detection to response. EDR unifies different context vectors like asset discovery, rich normalized software inventory, end-of-life visibility, vulnerabilities and exploits, misconfigurations, in-depth endpoint telemetry, and network reachability with a powerful backend to correlate it all for accurate assessment, detection and response.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w:t>
      </w:r>
    </w:p>
    <w:p>
      <w:pPr>
        <w:spacing w:after="0" w:line="22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Policy Audit (PA): PA automates security configuration assessments across IT systems spanning on-premises, cloud, and hybrid environments. PA provides real-time visibility into compliance status and helps prevent configuration drift by continuously monitoring against multiple standards for operating systems, network devices, databases, and server applications. PA includes a robust library of 900+ pre-built policies, 20,000 controls, and 350 supported technologies, covering over 90 regulations and frameworks such as PCI DSS, HIPAA, SOX, and NIST. With built-in CIS 18 management and actionable remediation guidance, Qualys’ PA solution simplifies compliance by enabling organizations to identify security issues, prioritize fixes, and track exceptions from a single, unified workflow. By leveraging industry-recommended best practices and a repeatable, auditable process, Qualys’ PA empowers organizations to reduce risk, automate compliance assessments, and ensure adherence to both internal policies and external regulations.</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Security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TotalCloud (TC): TC is a Cloud-Native Application Protection Platform (CNAPP), which provides an integrated suite of security capabilities designed for multi-cloud environments. It provides complete visibility and cyber-risk exposure assessment across cloud assets, enabling continuous discovery and monitoring of the cloud landscape to identify risks and maintain compliance. With its FlexScan technology, TC offers comprehensive assessment features that include no-touch, agentless, API, and snapshot-based scanning, along with agent and network-based scanning for thorough vulnerability detection. The TruRisk component allows for a unified risk view, correlating vulnerabilities, security controls, and compliance across resources to prioritize and reduce cyber risks effectively. For real-time defense, TC's InstaProtect continuously monitors all cloud assets to detect and protect against evolving and unknown threats. Remediation is streamlined through our QFlow technology, which provides no-code, drag-and-drop workflows for efficient vulnerability management. TC provides organizations with an all-encompassing solution, delivering fast, agentless, real-time security and compliance across a variety of use cases, including Cloud Workload Protection (CWP), Cloud Detection and Response (CDR), Cloud Security Posture Management (CSPM), Infrastructure as Code (IaC), SaaS Security Posture Management (SSPM), Cloud Infrastructure and Entitlement Management (CIEM),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Kubernetes and Container Security (KCS) to offer organizations a single unified solution for comprehensively securing their cloud and hybrid-cloud environments.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Services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also offer organizations of all sizes free security and compliance services based on our cloud platform:</w:t>
      </w:r>
    </w:p>
    <w:p>
      <w:pPr>
        <w:spacing w:after="0" w:line="27" w:lineRule="exact"/>
        <w:rPr>
          <w:sz w:val="20"/>
          <w:szCs w:val="20"/>
          <w:color w:val="auto"/>
        </w:rPr>
      </w:pPr>
    </w:p>
    <w:p>
      <w:pPr>
        <w:jc w:val="both"/>
        <w:ind w:left="900" w:hanging="325"/>
        <w:spacing w:after="0" w:line="25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Global AssetView app automatically creates a continuous, real-time inventory of known and unknown assets throughout a user's global IT footprint across on-premises, endpoints, cloud, containers, and mobile environments.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2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Certificate Inventory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intend to strengthen our leadership position as a trusted provider of cloud-based IT, security and compliance solutions. The key elements of our growth strategy are:</w:t>
      </w:r>
    </w:p>
    <w:p>
      <w:pPr>
        <w:jc w:val="both"/>
        <w:ind w:left="900" w:hanging="325"/>
        <w:spacing w:after="0" w:line="255"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innovate and enhance our cloud platform and suite of solutions. </w:t>
      </w:r>
      <w:r>
        <w:rPr>
          <w:rFonts w:ascii="Times New Roman" w:cs="Times New Roman" w:eastAsia="Times New Roman" w:hAnsi="Times New Roman"/>
          <w:sz w:val="18"/>
          <w:szCs w:val="18"/>
          <w:color w:val="auto"/>
        </w:rPr>
        <w:t>We intend to continue to make significant investments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to extend our cloud platform’s functionality by developing new security solutions and capabilities and further enhancing our existing suite of solutions.</w:t>
      </w:r>
    </w:p>
    <w:p>
      <w:pPr>
        <w:spacing w:after="0" w:line="19" w:lineRule="exact"/>
        <w:rPr>
          <w:rFonts w:ascii="Times New Roman" w:cs="Times New Roman" w:eastAsia="Times New Roman" w:hAnsi="Times New Roman"/>
          <w:sz w:val="18"/>
          <w:szCs w:val="18"/>
          <w:color w:val="auto"/>
        </w:rPr>
      </w:pPr>
    </w:p>
    <w:p>
      <w:pPr>
        <w:jc w:val="both"/>
        <w:ind w:left="900" w:hanging="325"/>
        <w:spacing w:after="0" w:line="257"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use of our suite of solutions by our large and diverse customer base. </w:t>
      </w:r>
      <w:r>
        <w:rPr>
          <w:rFonts w:ascii="Times New Roman" w:cs="Times New Roman" w:eastAsia="Times New Roman" w:hAnsi="Times New Roman"/>
          <w:sz w:val="18"/>
          <w:szCs w:val="18"/>
          <w:color w:val="auto"/>
        </w:rPr>
        <w:t>With more than 10,000 customers, across many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enhance our sales execution and marketing functions to increase adoption of our newly developed solutions among our existing customers.</w:t>
      </w:r>
    </w:p>
    <w:p>
      <w:pPr>
        <w:spacing w:after="0" w:line="20" w:lineRule="exact"/>
        <w:rPr>
          <w:rFonts w:ascii="Times New Roman" w:cs="Times New Roman" w:eastAsia="Times New Roman" w:hAnsi="Times New Roman"/>
          <w:sz w:val="18"/>
          <w:szCs w:val="18"/>
          <w:color w:val="auto"/>
        </w:rPr>
      </w:pPr>
    </w:p>
    <w:p>
      <w:pPr>
        <w:jc w:val="both"/>
        <w:ind w:left="900" w:hanging="325"/>
        <w:spacing w:after="0" w:line="255"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new customer growth and broaden our global reach. </w:t>
      </w:r>
      <w:r>
        <w:rPr>
          <w:rFonts w:ascii="Times New Roman" w:cs="Times New Roman" w:eastAsia="Times New Roman" w:hAnsi="Times New Roman"/>
          <w:sz w:val="18"/>
          <w:szCs w:val="18"/>
          <w:color w:val="auto"/>
        </w:rPr>
        <w:t>We are pursuing new customers by targeting key accounts, releasing free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and compliance services and enhancing both our sales and marketing organization and network of channel partners. We will continue to seek to make significant investments to encourage organizations to replace their existing security products with our cloud solutions. We intend to enhance our relationships with key security consulting organizations, leading cloud service providers, managed security service providers, leading cloud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shared cloud platforms, helping us expand our reach in new markets and new geographies.</w:t>
      </w:r>
    </w:p>
    <w:p>
      <w:pPr>
        <w:spacing w:after="0" w:line="22" w:lineRule="exact"/>
        <w:rPr>
          <w:rFonts w:ascii="Times New Roman" w:cs="Times New Roman" w:eastAsia="Times New Roman" w:hAnsi="Times New Roman"/>
          <w:sz w:val="18"/>
          <w:szCs w:val="18"/>
          <w:color w:val="auto"/>
        </w:rPr>
      </w:pPr>
    </w:p>
    <w:p>
      <w:pPr>
        <w:jc w:val="both"/>
        <w:ind w:left="900" w:hanging="325"/>
        <w:spacing w:after="0" w:line="259"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technology acquisitions to bolster our capabilities and leadership position. </w:t>
      </w:r>
      <w:r>
        <w:rPr>
          <w:rFonts w:ascii="Times New Roman" w:cs="Times New Roman" w:eastAsia="Times New Roman" w:hAnsi="Times New Roman"/>
          <w:sz w:val="18"/>
          <w:szCs w:val="18"/>
          <w:color w:val="auto"/>
        </w:rPr>
        <w:t>We may explore acquisitions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complementary to and can expand the functionality of our cloud platform. We may also seek to acquire development teams to supplement our own personnel and acquire technology to increase the breadth of our cloud-based IT, security and compliance solutions, deep learning AI, and machine learning (ML) technologies to uncover behavior patterns including active vulnerability exploitation, identification of advanced network threats, and adaptive risk mitigation across all assets and applications.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2025, we had over 10,000 customers worldwide, including a majority of the Forbes Global 100. In each of 2025, 2024 and 2023, no one customer accounted for more than 10% of our revenues. In 2025, 2024 and 2023, 56%, 58% and 60%,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including managed security service providers, value-added resellers and consulting firms in the United States and internationally.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and sell our IT, security and compliance solutions to customers directly through our sales teams as well as indirectly through our network of channel partners.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leading cloud providers, managed service providers and resellers.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retaining the margin between the price they purchase from us and the price they sell to the end user.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2025, 2024 and 2023, 49%, 46% and 43%, respectively, of our revenues were generated by channel partners.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devote significant resources to maintain, enhance and add new functionality to our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France and India, which gives us access to some of the best research and engineering talent in the world. Our focus remains to attract engineering talent as we continue to add new solutions and improve existing ones.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Cloud Platform Agreements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shared cloud platform operations are provided by large third-party vendors and are located in the United States, Canada, Switzerland, the Netherlands, United Arab Emirates, Australia, United Kingdom, Italy, the Kingdom of Saudi Arabia and India. Our shared cloud platform agreements have varying terms through 2030.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compete with large and small public companies, such as CrowdStrike, Palo Alto Networks, Rapid7, and Tenable Holdings, as well as privately held security providers including Invicti, Tanium, and Wiz (which has announced a pending acquisition by Google). We also seek to replace IT, security and compliance solutions that organizations have developed internally. As we continue to extend our cloud platform’s functionality by further developing IT, security and compliance solutions, such as Cybersecurity Asset Management, Patch Management, and Enterprise TruRisk Management, we expect to face additional competition in these new markets. Our competitors may also attempt to further expand their presence in the IT, security and compliance market and compete more directly against one or more of our solutions.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combination of trade secrets, copyrights, patents and trademarks, as well as contractual protections, to establish and protect our intellectual property rights and protect our proprietary technology. As of December 31, 2025, we have 52 issued patents, which expire from 2029 to 2044, several pending U.S. patent applications and an exclusive license to four U.S. patents. The inbound license remains in effect until the licensed patents are no longer enforceable, unless the applicable license agreement is first terminated by us or terminated by the licensor for a breach of the agreement or if we undergo certain bankruptcy events.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cloud platform, which we believe differentiates us from our competitors.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 As of December 31, 2025, we had 2,625 full-time employees, including 1,262 in research and development, 524 in sales and marketing, 592 in operations and customer support, and 247 in general and administrative. As of December 31, 2025, approximately 78% of our employees were located outside of the United States, with 70% of our employees located in India. 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Competitive Compensation and Benefits Policy. </w:t>
      </w:r>
      <w:r>
        <w:rPr>
          <w:rFonts w:ascii="Times New Roman" w:cs="Times New Roman" w:eastAsia="Times New Roman" w:hAnsi="Times New Roman"/>
          <w:sz w:val="18"/>
          <w:szCs w:val="18"/>
          <w:color w:val="auto"/>
        </w:rPr>
        <w:t>We understand that providing competitive compensation and benefits plays a critical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w:t>
      </w:r>
    </w:p>
    <w:p>
      <w:pPr>
        <w:spacing w:after="0" w:line="180"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Qualys maintains a Compensation and Talent Committee of the Board of Directors to oversee our compensation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our principal human resources executive, and any other corporate officers as it deems appropriate.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Supporting our Team and Community</w:t>
      </w:r>
    </w:p>
    <w:p>
      <w:pPr>
        <w:spacing w:after="0" w:line="22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and Safety. </w:t>
      </w:r>
      <w:r>
        <w:rPr>
          <w:rFonts w:ascii="Times New Roman" w:cs="Times New Roman" w:eastAsia="Times New Roman" w:hAnsi="Times New Roman"/>
          <w:sz w:val="18"/>
          <w:szCs w:val="18"/>
          <w:color w:val="auto"/>
        </w:rPr>
        <w:t>We take a holistic approach to our social strategy, striving to create a culture where talented people want to come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develop their careers, become leaders, and make a difference for all our stakeholders and communities. We believe every employee makes a difference, so we empower them in their roles and support them for professional growth. We assist employees in achieving their career goals by helping them improve their skillsets and transition to increasingly challenging roles.</w:t>
      </w:r>
    </w:p>
    <w:p>
      <w:pPr>
        <w:spacing w:after="0" w:line="180"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take pride in our cultural diversity with offices and employees all over the world. Our objective is to continue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hiring, development, advancement, and retention of diverse talent and to foster an inclusive environment. In addition to having more than 50% of the executive team from underrepresented communities, we are also continuing to improve diversity among our growing workforce, with over half of our US-based employees from underrepresented communities.</w:t>
      </w:r>
    </w:p>
    <w:p>
      <w:pPr>
        <w:spacing w:after="0" w:line="182"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Qualys searches the globe for top talent in an effort to recruit and hire diverse individuals with a variety of skills, experiences, and backgrounds. Our company holiday calendar includes events and festivals from many regions and religions, and we include diverse cultural initiatives throughout the year.</w:t>
      </w:r>
    </w:p>
    <w:p>
      <w:pPr>
        <w:spacing w:after="0" w:line="160"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Promoting a Healthy Work-life Balance. </w:t>
      </w:r>
      <w:r>
        <w:rPr>
          <w:rFonts w:ascii="Times New Roman" w:cs="Times New Roman" w:eastAsia="Times New Roman" w:hAnsi="Times New Roman"/>
          <w:sz w:val="18"/>
          <w:szCs w:val="18"/>
          <w:color w:val="auto"/>
        </w:rPr>
        <w:t>Qualys aims to maintain a healthy work-life balance and provide resources to support our employees’ well-being. During 2022, our workforce gradually transitioned into a hybrid work schedule, which resulted in a significant portion of our workforce working either in-person on a part-time basis, or remotely. During 2025, we continued to offer this hybrid work schedule to our workforce. Our top priority remains providing support for our employees, partners, and customers.</w:t>
      </w:r>
    </w:p>
    <w:p>
      <w:pPr>
        <w:spacing w:after="0" w:line="180"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value the communities that support our operations and have several company and employee-led initiatives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in which we operate. In 2025, our efforts were centered on advancing education, technology, local communities, and environmental initiatives. For example, we provided training, mobility solutions, and job placements for people with disabilities, established a Clinic on Wheels program and brought doctors, medicines, and essential care to areas where access is limited, partnered with nonprofit organizations to provide back-to-school backpacks and computer cyber labs to educate youth in our community, supported by a coursework developed by our own employees, and donated to food drives and holiday fundraisers to support local families in need, among other initiatives. Our employees further participated in environmental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initiatives such as World Environment Day that encourage awareness and action for the protection of the environment, in addition to taking part in local clean-up activities across the world.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7"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Training. </w:t>
      </w:r>
      <w:r>
        <w:rPr>
          <w:rFonts w:ascii="Times New Roman" w:cs="Times New Roman" w:eastAsia="Times New Roman" w:hAnsi="Times New Roman"/>
          <w:sz w:val="18"/>
          <w:szCs w:val="18"/>
          <w:color w:val="auto"/>
        </w:rPr>
        <w:t>We require our employees and managers to participate in myriad training programs directed at maintaining a harassment-free,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8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Development. </w:t>
      </w:r>
      <w:r>
        <w:rPr>
          <w:rFonts w:ascii="Times New Roman" w:cs="Times New Roman" w:eastAsia="Times New Roman" w:hAnsi="Times New Roman"/>
          <w:sz w:val="18"/>
          <w:szCs w:val="18"/>
          <w:color w:val="auto"/>
        </w:rPr>
        <w:t>Investing in employees is critical to our success. Qualys employees participate in an onboarding program to integrate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hires into role-specific functions and company culture. Qualys offers managers and employees various training courses as needed. To support career growth inside and outside Qualys, we offer free self-paced and instructor-led certified training on core Qualys topics, giving employees and non-employees an opportunity to achieve certifications and job-related courses free of charge.</w:t>
      </w:r>
    </w:p>
    <w:p>
      <w:pPr>
        <w:spacing w:after="0" w:line="18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To allow for open dialogue between employees and managers, we conduct formal employee reviews each year. Corrective action plans are developed for employees who may be struggling to meet his or her job responsibilities. Employee performance is considered during compensation reviews. In addition to formal reviews, our Human Resources team regularly meets with managers to check in with teams and conducts exit interviews globally.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Business Operations</w:t>
      </w:r>
    </w:p>
    <w:p>
      <w:pPr>
        <w:spacing w:after="0" w:line="22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Sustainable Solutions. </w:t>
      </w:r>
      <w:r>
        <w:rPr>
          <w:rFonts w:ascii="Times New Roman" w:cs="Times New Roman" w:eastAsia="Times New Roman" w:hAnsi="Times New Roman"/>
          <w:sz w:val="18"/>
          <w:szCs w:val="18"/>
          <w:color w:val="auto"/>
        </w:rPr>
        <w:t>Qualys products, delivered via our multi-tenant cloud platform, enable improved environmental sustainability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180"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Eco-Friendly Operations. </w:t>
      </w:r>
      <w:r>
        <w:rPr>
          <w:rFonts w:ascii="Times New Roman" w:cs="Times New Roman" w:eastAsia="Times New Roman" w:hAnsi="Times New Roman"/>
          <w:sz w:val="18"/>
          <w:szCs w:val="18"/>
          <w:color w:val="auto"/>
        </w:rPr>
        <w:t>Our environmental, health and safety systems, processes and tools in place across our footprint enable Qualys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exceed governmental and industry requirements. We strive to consistently improve how we operate our platforms in energy-efficient networks and data centers as well as pursue sustainability initiatives that reduce energy, waste and materials consumption. We have 15 multi-tenant platforms across the world, six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w:t>
      </w:r>
    </w:p>
    <w:p>
      <w:pPr>
        <w:spacing w:after="0" w:line="182"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Environmental Standards Within Supply Chain</w:t>
      </w:r>
      <w:r>
        <w:rPr>
          <w:rFonts w:ascii="Times New Roman" w:cs="Times New Roman" w:eastAsia="Times New Roman" w:hAnsi="Times New Roman"/>
          <w:sz w:val="18"/>
          <w:szCs w:val="18"/>
          <w:color w:val="auto"/>
        </w:rPr>
        <w:t>. We are committed to advancing supply chain responsibility and strive to enhance transparency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 greater accountability in our own operations and with our suppliers. Qualys outsources product manufacturing and recycling to suppliers and vendors that follow the highest environmental standards in the industry, such as ISO 14001. We also seek to prohibit our suppliers from profiting from the sale of tantalum, tin, tungsten, and gold (also known as “conflict minerals”) that funds conflict in the Democratic Republic of the Congo (DRC) and adjoining countries, and we seek to require that our suppliers source these minerals from socially responsible suppliers.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Times New Roman" w:cs="Times New Roman" w:eastAsia="Times New Roman" w:hAnsi="Times New Roman"/>
          <w:sz w:val="18"/>
          <w:szCs w:val="18"/>
          <w:i w:val="1"/>
          <w:iCs w:val="1"/>
          <w:color w:val="auto"/>
        </w:rPr>
        <w:t>www.qualys.com</w:t>
      </w:r>
      <w:r>
        <w:rPr>
          <w:rFonts w:ascii="Times New Roman" w:cs="Times New Roman" w:eastAsia="Times New Roman" w:hAnsi="Times New Roman"/>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Times New Roman" w:cs="Times New Roman" w:eastAsia="Times New Roman" w:hAnsi="Times New Roman"/>
          <w:sz w:val="18"/>
          <w:szCs w:val="18"/>
          <w:i w:val="1"/>
          <w:iCs w:val="1"/>
          <w:color w:val="auto"/>
        </w:rPr>
        <w:t xml:space="preserve">www.qualys.com </w:t>
      </w:r>
      <w:r>
        <w:rPr>
          <w:rFonts w:ascii="Times New Roman" w:cs="Times New Roman" w:eastAsia="Times New Roman" w:hAnsi="Times New Roman"/>
          <w:sz w:val="18"/>
          <w:szCs w:val="18"/>
          <w:color w:val="auto"/>
        </w:rPr>
        <w:t>as soon as reasonably practicable after they are electronically filed with or furnished to the SEC. Additionally, copies of materials filed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 with the SEC may be accessed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vary from period to period, which could result in our failure to meet expectations with respect to operating results and cause the trading price of our stock to decline.</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54" w:lineRule="exact"/>
        <w:rPr>
          <w:sz w:val="20"/>
          <w:szCs w:val="20"/>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solutions, from both existing and new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customers subscribe for additional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renewals of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deals signed within the applicable fiscal period;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invoicing or changes in billing terms of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 for our products and services;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117"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adoption of new technologies that compete with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IT, security and compliance products or services from other vendors;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 the foreign markets in which we sell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other non-tariff trade barriers;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IT, security and compliance market;</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breaches and incidents, technical difficulties or interruptions with our service;</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and services to operate as designed;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security breaches and incidents generally and the level of perceived threats to IT security;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adoption of new regulations and policy mandates or changes to existing regulations and policy mandates;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and cost of hiring employees;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existing and new products and services;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sales commissions relative to the recognition of revenues;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products or services that we have acquired or may acquire in the future into our product suite or migrate existing customers of any companies that we have acquired or may acquire in the future to our products and services;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changes in tax rules, tax effects of infrequent or unusual transactions, and tax audit settlements;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income tax that we recognize resulting from stock-based compensation;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services or businesses;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associated with acquired businesses.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solution enhancements or new solutions could fail to attain sufficient market acceptance for many reasons, including:</w:t>
      </w:r>
    </w:p>
    <w:p>
      <w:pPr>
        <w:spacing w:after="0" w:line="117"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meet market demand for product functionality;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provide intelligence regarding the attacks or techniques used by cyber-attackers;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database technologies, file systems or web applications of our prospective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enhancements or new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products by our competitors;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causing customers to delay IT, security and compliance purchases;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or changing of external regulations related to IT, security and compliance;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cloud solutions for IT, security and compliance.</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offer our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products, website and internal systems may be subject to intentional disruption or other security incidents that could result in liability and adversely impact our reputation and future sales.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and our service providers and suppliers face threats from a variety of sources, including attacks on our networks and systems from numerous sources, including but not limited to traditional “hackers,” sophisticated nation-state and nation-state supported actors, other sources of malicious code (such as viruses and worms), ransomware, social engineering, denial of service attacks, and phishing attempts. We and our service providers and suppliers could be a target of cyber-attacks or other malfeasance designed to impede the performance of our solutions, penetrate our network security or the security of our cloud platform, products, or our internal systems, misappropriate proprietary information, gain access to our customers' systems and data, and/or cause interruptions to our services. We and our service providers and suppliers have experienced and may continue to experience security incidents and attacks of varying degrees from time to time. We have incurred costs to respond to such incidents and may continue to incur costs to support our efforts to enhance our security measures. Additionally, due to political uncertainty and military actions in parts of Eastern Europe and the Middle East, we and our service providers and suppliers are vulnerable to heightened risks of cybersecurity incidents and security and privacy breaches and incidents caused or initiated by nation-state or affiliated actors, including attacks that could materially disrupt our systems, operations and services, or impact our customers systems, operations, and services.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solutions, platforms, and system, and those of our service providers and suppliers, may be, and have in the past been, subject to security incidents as a result of technical and non-technical issues, including as a result of intentional or inadvertent acts or omissions by our employees or service providers. With the level of personnel working remotely, at least part-time in our case, we and our service providers and suppliers are at increased risk for security breaches and incidents. We have taken and intend to continue to take steps to monitor and enhance the security of our solutions, cloud platform, and other relevant systems, IT infrastructure, networks, and data; however, the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and have in the past been, targeted for cyber-attacks and other security incidents. We also have incorporated AI/machine learning technologies into our technology, and may continue to incorporate additional AI/machine learning technologies in the future. Our use of such technologies may create additional cybersecurity risks or increase cybersecurity risks, including risks of technical error, security breaches and other incidents. Further, AI/machine learning technologies may be used in connection with certain cybersecurity attacks, resulting in heightened risks of security breaches and incidents.</w:t>
      </w:r>
    </w:p>
    <w:p>
      <w:pPr>
        <w:spacing w:after="0" w:line="19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 breach in or incident impacting our data security, an attack against our service availability, or any breach, incident, or attack impacting our third-party service providers and suppliers, or a technical error or outage, could impact our networks or networks secured by our solutions, creating system disruptions or slowdowns and exploiting security vulnerabilities of our solutions, and the information stored on our networks or those of our third-party service providers could be accessed, used, disclosed publicly or to unauthorized persons, altered, lost, destroyed, or stolen, which could subject us to liability and cause us financial harm. If an actual or perceived disruption in the availability of our solutions or the breach or other compromise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unavailability or alteration of information, claims, demands and litigation, regulatory investigations, actions and other proceedings, possible liability, and the potential loss of our authorization under the Federal Risk and Authorization Management Program (“FedRAMP”). Any such actual or perceived security breach or incident or disruption could also divert the efforts of our technical and management personnel. We and our service providers may face difficulties or delays in identifying and responding to any security breach or incident. We also may incur significant costs and operational consequences of investigating, remediating, eliminating and putting in place additional tools and devices designed to prevent actual or perceived security incidents, as well as costs to respond to and otherwise address any breach or incident, including any to comply with any notification obligations resulting from any security incidents. In addition, any such actual or perceived security breach or incident could impair our ability to operate our business and provide solutions to our customers. If this happens, our reputation could be harmed, our revenues could decline and our business could suffer.</w:t>
      </w:r>
    </w:p>
    <w:p>
      <w:pPr>
        <w:spacing w:after="0" w:line="19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timing of sales of subscriptions for our solutions can be difficult to forecast because of the length and unpredictability of our sales cycle, particularly with large transactions and in the current macroeconomic environment.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IT spending may adversely impact our business.</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business depends to a significant extent on the overall demand for IT and on the economic health of our current and prospective customers. Economic weakness, customer financial difficulties, change in interest rates, inflationary pressures and potential for a recession, economic and regulatory uncertainty, and constrained spending on IT security, as well as longer sales cycles, which factors we have experienced since 2023, have resulted and may in the future result in decreased revenue and earnings. In addition, continued governmental budgetary challenges in the United States and Europe, inflationary pressures and potential for a recession, and geopolitical turmoil in many parts of the world, including the ongoing military conflicts in parts of Eastern Europe and the Middle East, and other disruptions to global and regional economies and markets in many parts of the world, as well as uncertainties related to changes in public policies such as domestic and international regulations, taxes, tariffs and non-tariff trade barriers,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For example, uncertainty as to the impact of the imposition of tariffs on certain countries by the current U.S. administration, as well as any potential retaliatory measures by impacted trade partners, could adversely impact trade relations, result in higher costs, and thereby decrease the purchasing power of our customers.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9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IT, security and compliance solutions are delivered from 15 shared cloud platforms, and any disruption of service at these facilities would interrupt or delay our ability to deliver our solutions to our customers which could reduce our revenues and harm our operating results.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currently host substantially all of our solutions from third-party shared cloud platforms located in the United States, Canada, Switzerland, the Netherlands, United Arab Emirates, Australia, United Kingdom, Italy, the Kingdom of Saudi Arabia and India. These facilities are vulnerable to damage or interruption from earthquakes, hurricanes, floods, fires, cybersecurity attacks, terrorist attacks, employee negligence, power losses, technical errors, telecommunications failures and similar events. The facilities also could be subject to break-ins, sabotage, acts of war, intentional acts of vandalism and other misconduct. The occurrence of a natural disaster, an act of war, an act of terrorism or misconduct, a decision to close the facilities without adequate notice or other unanticipated problems could result in interruptions in our services.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in our markets, and we may lack sufficient financial or other resources to maintain or improve our competitive position.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compete with large and small public companies, such as CrowdStrike, Palo Alto Networks, Rapid7, and Tenable Holdings, as well as privately held security providers including Invicti, Tanium, and Wiz (which has announced a pending acquisition by Google). We also seek to replace IT, security and compliance solutions that organizations have developed internally. As we continue to extend our cloud platform’s functionality by further developing IT, security and compliance solutions, such as Cybersecurity Asset Management, Patch Management, and Enterprise TruRisk Management, we expect to face additional competition in these new markets. Our competitors may also attempt to further expand their presence in the IT, security and compliance market and compete more directly against one or more of our solutions.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Many of our existing and potential competitors have competitive advantages, including:</w:t>
      </w:r>
    </w:p>
    <w:p>
      <w:pPr>
        <w:spacing w:after="0" w:line="176" w:lineRule="exact"/>
        <w:rPr>
          <w:sz w:val="20"/>
          <w:szCs w:val="20"/>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name recognition;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networks and more established relationships with distributors and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develop and introduce products that compete with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meet relevant regulatory requirements;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Indian Rupees, Australian Dollars and Singapore Dollar,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 actual or perceived security breach or incident or loss, theft, unavailability or other compromise of the sensitive data of one of our customers, regardless of whether the breach is attributable to the failure of our solutions, could adversely affect the market’s perception of our security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qualified sales personnel, sales of our solutions and the growth of our business would be harmed.</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growth will depend, to a significant extent, on our success in recruiting and retaining a sufficient number of qualified sales personnel and their ability to, whether directly or indirectly in collaboration with channel partners, obtain new customers, manage our existing customer base and expand the sales of our newer solutions. We plan to continue to recruit and retain a team of qualified sales personnel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a substantial amount of our revenues, and if we fail to effectively manage our distribution channels, our revenues could decline and our growth prospects could suffer.</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extent on establishing and maintaining relationships with a variety of channel partners and we anticipate that we will continue to depend on these partners in order to grow our business. For the years ended December 31, 2025, 2024 and 2023, we derived approximately 49%, 46% and 43%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effectively manage our relationship with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72"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(including U.S. taxes on foreign subsidiaries);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and limitation of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laws and regulations and the risks and costs of non-compliance with such laws and regulations;</w:t>
      </w:r>
    </w:p>
    <w:p>
      <w:pPr>
        <w:spacing w:after="0" w:line="11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line="28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acts of terrorism, hostilities or war;</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2025, approximately 78% of our employees were located outside of the United States, with 70% of our employees located in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we generate a majority of our revenues in U.S. dollars. However, for the year ended December 31, 2025, we incurred approximately 31% of our expenses in foreign currencies, primarily the Euro, British Pound, and Indian Rupee, principally with respect to salaries and related personnel expenses associated with our European and Indian operations. Additionally, for the year ended December 31, 2025, approximately 22%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continued to grow since inception, and if we do not appropriately manage any future growth, or are unable to improve our systems and processes, our operating results may be negatively affected.</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continued to grow over the last several years, with revenues increasing from $554.5 million in 2023 to $669.1 million in 2025, and headcount increasing from 2,143 employees at the beginning of 2023 to 2,625 employees as of December 31,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2025.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80"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may suffer.</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are generated by sales to government entities, which are subject to a number of challenges and risks.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We have obtained authorization under FedRAMP,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sector contracts obtained on the basis of such authorization. This could subject us to liability, result in reputational harm, and adversely impact our financial condition or operating results.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acquiring and integrating other businesses, products or technologies could impact our financial position.</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which could impact the demand for or value of our solutions.</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solutions could result in customer dissatisfaction and harm our business and reputation.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unavailability, or unauthorized processing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service providers and suppliers prove to be inadequate. To the extent that any of the above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in delays of customer subscriptions or commercialization of our solutions, our business, financial condition and results of operations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Tax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software errors or flaws in our solutions could harm our reputation, decrease market acceptance of our solutions or result in liability.</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could be used to collect and store personal information of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collect certain personal and confidential information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and we may collect, store and otherwise process personal or confidential information more generally in connection with our business and operations. Privacy, data protection, and cybersecurity have become significant issues and the subject of extensive regulation in the United States and in many other countries where we offer our solutions. The regulatory frameworks for these matters worldwide are evolving and are likely to remain uncertain for the foreseeable future. Many federal, state and foreign government bodies and agencies have adopted or are considering adopting laws and regulations regarding the collection, use, disclosure, retention, transfer, and other processing of personal information. In the United States, these include, for example, rules and regulations promulgated under the authority of the Federal Trade Commission, the Health Insurance Portability and Accountability Act of 1996, the Gramm-Leach-Bliley Act, state privacy laws, and state breach notification laws. Internationally, virtually every jurisdiction in which we operate has established its own data security and privacy legal framework with which we or our customers must comply.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These privacy, data protection, and cybersecurity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Union's General Data Protection Regulation (“GDPR”), which took effect in May of 2018, provides for substantial obligations relating to the handling, storage, and other processing of data relating to individuals and administrative fines for violations, which can be up to the greater of four percent of the previous year’s annual revenue or €20 million. Additionally, Europe’s Network and Information System Directive (“NIS2”) and its implementing laws regulate cybersecurity risk-management and incident response capabilities of entities operating in a number of sectors. Non-compliance with NIS2 may lead to administrative fines of a maximum of €10 million or up to 2% of the total worldwide revenue of the preceding fiscal year. Similarly, the California Consumer Privacy Act (“CCPA”) requires covered companies to, among other things, provide certain disclosures to California consumers and affords such consumers rights to opt-out of certain sales of personal information. The CCPA also creates a private right of action for statutory damages for certain breaches of information. Additionally, the California Privacy Rights Act (“CPRA”) was approved by voters in the November 3, 2020 election. The CPRA modified the CCPA significantly, creating obligations relating to consumer data beginning on January 1, 2022, with enforcement authorized as of July 1, 2023. In addition, other states have enacted or proposed legislation that regulates the collection, use, and sale of personal information, including, for example, Washington's My Health, My Data Act and legislation similar to the CCPA adopted in Virginia, Colorado, Utah, Connecticut, Iowa, Indiana, Montana, Tennessee, Oregon, Florida, Delaware, Texas, Kentucky, New Jersey, New Hampshire, Maryland, Minnesota, Nebraska, and Rhode Island. Aspects of the CCPA, CPRA, and these other new and evolving state laws, as well their interpretation and enforcement, remain uncertain. The GDPR, CCPA, and other laws and regulations relating to privacy, data protection, and cybersecurity may be subject to new or changing interpretations by courts, and our interpretation of the law and efforts to comply with the rules and regulations of the law may be ruled invalid. We cannot predict the impact of the CCPA, CPRA, or other evolving privacy, data protection and cybersecurity obligations on our business or operations, but they may require us to modify our data processing practices and policies and incur substantial costs and expenses in an effort to comply.</w:t>
      </w:r>
    </w:p>
    <w:p>
      <w:pPr>
        <w:spacing w:after="0" w:line="191"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The privacy, data protection, and cybersecurity laws and regulations we must comply with also are subject to change. For example, the United Kingdom has enacted a Data Protection Act, and has implemented legislation referred to as the “UK GDPR,” which substantially implement the GDPR in the United Kingdom. This legislation, which was modified in the Data (Use and Access) Bill, which received Royal Assent on June 19, 2025, provides for substantial penalties for noncompliance of up to the greater of £17.5 million or four percent of the previous year’s annual revenues. While the European Union has deemed the United Kingdom an "adequate country" to which personal data could be exported from the European Economic Area (“EEA”), this decision is subject to renewal and may be modified, revoked, or challenged, creating uncertainty regarding transfers of personal data to the United Kingdom from the EEA. It remains unclear how United Kingdom data protection laws or regulations will develop in the medium to longer term and how data transfers to and from the United Kingdom will be regulated. Additionally, we have self-certified under the EU-U.S. Data Privacy Framework, the Swiss-U.S. Data Privacy Framework, and the United Kingdom extension to the EU-U.S. Data Privacy Framework, and have adopted certain standard contractual clauses approved by the European Commission (“SCCs”) as part of our data processing agreements with regard to certain transfers of personal data from the EEA to the U.S. Both the EU-U.S. Data Privacy Framework and SCCs have, however, been subject to legal challenge. In its July 16, 2020 opinion, the CJEU imposed additional obligations on companies when relying on SCCs to transfer personal data. The European Commission has published revised SCCs addressing the CJEU concerns on June 4, 2021, that are required to be implemented. The United Kingdom has adopted new standard contractual clauses (“UK SCCs”), that became effective as of March 21, 2022, and which also are required to be implemented. The EU-U.S. Data Privacy Framework, Swiss-U.S. Data Privacy Framework, United Kingdom extension to the EU-U.S. Data Privacy Framework, revised SCCs and UK SCCs, guidance and opinions of regulators, and other developments relating to cross-border data transfer may require us to implement additional contractual and technical safeguards for any personal data transferred out of Europe, which may increase compliance costs, lead to increased regulatory scrutiny or liability, and which may adversely impact our business, financial condition and operating results. We may be unsuccessful in maintaining legitimate means for our transfer and receipt of personal data from the EEA, United Kingdom, Switzerland, or other jurisdictions. We may experience reluctance or refusal by current or prospective customers in these or other jurisdictions to use our products, and we and our customers may face a risk of regulatory enforcement actions or other proceedings relating to personal data transfers to us and by us from the EEA, United Kingdom, and Switzerland. Any such proceedings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 Further, the European Union’s Data Act (the “Data Act”) became applicable on September 12, 2025. Compliance with the Data Act may require us to adjust contract terms with customers and develop technical measures for data portability. These changes may impact the duration of customer relationships and result in additional compliance and operational costs, which may affect our business.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privacy advocacy and industry groups or other private parties may propose new and different standards relating to privacy, data protection, and cybersecurity that apply, or are alleged to apply, to us. The interpretation and application of laws, regulations, standards and contractual obligations relating to these matters are uncertain, and it is possible that they may be interpreted and applied in a manner that is, or perceived to be, inconsistent with our data management practices or the features of our solutions. If so, in addition to the possibility of regulatory investigations and enforcement actions or other proceedings,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concerns relating to privacy, data protection, or cybersecurity, even if unfounded, or any actual or perceived inability to comply with applicable laws, regulations, standards, or other obligations relating to these matters, could result in cost and liability to us, damage our reputation, inhibit sales of subscriptions and harm our business.</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standards relating to privacy, data protection, or cybersecurity that are applicable to the businesses of our customers may limit the use and adoption of, and reduce the overall demand for, our solutions. Privacy and data protection concerns, whether valid or not valid, may inhibit market adoption of our solutions particularly in certain industries and foreign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AI/machine learning technologies in our solutions that could result in harm to our business and operating results.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AI/machine learning solutions and features into our solutions, and these solutions and features may become more important to our operations or to our future growth over time. We expect to rely on AI/machine learning solutions and features to help drive future growth in our business, but there can be no assurance that we will realize the desired or anticipated benefits from AI/machine learning or at all. We may also fail to properly implement or market our AI/machine learning solutions and features. Our competitors or other third parties may incorporate AI/machine learning into their products, offerings, and solutions more quickly or more successfully than us, which could impair our ability to compete effectively and adversely affect our results of operations. Additionally, our offerings based on AI/machine learning may expose us to additional claims, demands and proceedings by private parties and regulatory authorities and subject us to legal liability as well as brand and reputational harm. The legal, regulatory, and policy environments around AI/machine learning are evolving rapidly, including the European Union's enactment of its Artificial Intelligence Act and legislative efforts in various other jurisdictions, and we may become subject to new and evolving legal and other obligations. These and other developments may require us to make significant changes to our use of AI/machine learning, including by limiting or restricting our use of AI/machine learning, and which may require us to make significant changes to our policies and practices, which may necessitate expenditure of significant time, expense, and other resources, AI/machine learning also presents emerging ethical issues that could harm our reputation and business if our use of AI/machine learning becomes controversial.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5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9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Although we monitor our use of open source software in an effort both to comply with the terms of the applicable open source licenses and to avoid subjecting our solutions to conditions we do not intend, the terms of many open source licenses have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operating results.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 adverse outcome of a dispute may require us to:</w:t>
      </w:r>
    </w:p>
    <w:p>
      <w:pPr>
        <w:spacing w:after="0" w:line="117" w:lineRule="exact"/>
        <w:rPr>
          <w:sz w:val="20"/>
          <w:szCs w:val="20"/>
          <w:color w:val="auto"/>
        </w:rPr>
      </w:pPr>
    </w:p>
    <w:p>
      <w:pPr>
        <w:ind w:left="1140" w:hanging="5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if we are found to have willfully infringed a third party’s patents or copyrights;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making, licensing or using solutions that are alleged to infringe or misappropriate the intellectual property of others;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solutions or otherwise develop non-infringing technology, which may not be successful;</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partners and other third parties.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export or import controls could subject us to liability if we violate them or limit our ability to compete in foreign markets.</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Furthermore, certain jurisdictions, such as the U.K. and France, have enacted a digital services tax, which is generally a tax on gross revenue generated from users or customers located in those jurisdictions, and other jurisdictions are considering enacting similar laws.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income tax provision or adverse outcomes resulting from examination of our income tax returns could adversely affect our operating results, in which case we could be subject to additional taxes.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(“TCJA”)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they could impact our financial results in future periods. The Organization for Economic Cooperation and Development (OECD) has issued model rules in connection with the Base Erosion and Profit Shifting integrated framework that determine multi-jurisdictional taxing rights (Pillar One) and the minimum rate of tax applicable to certain types of income (Pillar Two). Many countries have enacted legislation to apply the Pillar Two directive for tax years beginning in January 2024, which generally provides for a minimum effective tax rate of 15% on the income arising in certain jurisdictions where the Company operates. However, on January 5, 2026, the OECD announced a “side-by-side” elective safe harbor that exempts U.S. multinational entities from certain provisions of Pillar Two for fiscal years beginning on or after January 1, 2026. We may be audited in various jurisdictions, and such jurisdictions may assess additional taxes, including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an investment in our common stock and could subject us to litigation.</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54" w:lineRule="exact"/>
        <w:rPr>
          <w:sz w:val="20"/>
          <w:szCs w:val="20"/>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services or technologies, commercial relationships, acquisitions or other events by us or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securities of similar companies;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or the operating results of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any of our key personnel;</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legal or regulatory developments in the United States and other countries;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2025, we had approximately 35.7 million shares of our common stock outstanding.</w:t>
      </w:r>
    </w:p>
    <w:p>
      <w:pPr>
        <w:spacing w:after="0" w:line="18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addition, as of December 31, 2025, there were approximately 1.2 million options and 1.1 million restricted stock units outstanding. If such options are exercised and restricted stock units are released, these additional shares will become available for sale. As of December 31, 2025, we had an aggregate of 1.7 million shares of our common stock reserved for future issuance under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2012 Equity Incentive Plan and 0.4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May 4, 2022, February 7, 2024, and February 6, 2025, we announced that our board of directors had authorized an increase of $200.0 million to the share repurchase program. On February 5, 2026 we announced that our board of directors had authorized an increase of $200.0 million to the share repurchase program, resulting in an aggregate authorization of $1.6 billion to date ($1.4 billion as of December 31, 2025).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net share repurchases are subject to the 1% excise tax introduced in the Inflation Reduction Act, which could increase the cost to us of share repurchases. During the year ended December 31, 2025, we repurchased 1.4 million shares of our common stock for approximately $182.9 million. As of December 31, 2025, approximately $160.5 million remained available for share repurchases pursuant to our share repurchase program (excluding the $200.0 million increase to our share repurchase program announced on February 5,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therefore any returns will be limited to the value of our stock.</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54" w:lineRule="exact"/>
        <w:rPr>
          <w:sz w:val="20"/>
          <w:szCs w:val="20"/>
          <w:color w:val="auto"/>
        </w:rPr>
      </w:pPr>
    </w:p>
    <w:p>
      <w:pPr>
        <w:ind w:left="1140" w:right="180" w:hanging="565"/>
        <w:spacing w:after="0" w:line="266"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can only be dismissed for cause;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actions by written consent of our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who may call a special meeting of stockholders;</w:t>
      </w:r>
    </w:p>
    <w:p>
      <w:pPr>
        <w:spacing w:after="0" w:line="117" w:lineRule="exact"/>
        <w:rPr>
          <w:rFonts w:ascii="Times New Roman" w:cs="Times New Roman" w:eastAsia="Times New Roman" w:hAnsi="Times New Roman"/>
          <w:sz w:val="18"/>
          <w:szCs w:val="18"/>
          <w:color w:val="auto"/>
        </w:rPr>
      </w:pPr>
    </w:p>
    <w:p>
      <w:pPr>
        <w:ind w:left="1140" w:right="80" w:hanging="565"/>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advance notice requirements for nominations for election to our board of directors or for proposing matters that can be acted upon at stockholder meetings;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maintain profitability in the future.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and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and unexpected revenue fluctuations and impact our reported results of operations.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2025,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Information Security Officer (“CISO”) who reports to our Chief Executive Officer, to manage the risk assessment and mitigation process.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a Computer Security Incident Response Team (“CSIRT”) that identifies security incidents, characterizes the nature and severity of incidents, and provides diagnostic and corrective actions when appropriate. The CSIRT is responsible for identifying, managing, and responding to security incidents against Qualys' infrastructure and corporate IT systems. The security measures the CSIRT employs are consistent with relevant requirements of the National Institute of Standards and Technology (“NIST”), Federal Risk and Authorization Management Program (“FedRAMP”), International Organization for Standardization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(“ISO”), and Federal Information Security Management Act (“FISMA”). We have also adopted certain guidelines from NIST and the United States Computer Emergency Readiness Team.</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Incident Response Program and Plan describes the major phases of an incident management lifecycle which includes the preparation, detection and analysis, containment, eradication and recovery, and post-incident activity. Qualys' 24x7 Cybersecurity Fusion Center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Cybersecurity Fusion Center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established a Product Security Incident Response Team (“PSIRT”) that identifies, assesses, and responds to security incidents, risks, and vulnerabilities associated with Qualys’ commercial products. The Qualys PSIRT investigates vulnerabilities and incidents across the entire Qualys product portfolio. PSIRT coordinates product impact assessments and fixes based on industry standards such as the Common Vulnerabilities and Exposure (“CVE”) and Common Vulnerability Scoring System (“CVSS”). PSIRT operates in alignment with relevant requirements and industry standards and coordinates its activities with the CSIRT.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routinely evaluate the risks posed by third-party providers and engage with those who fail to comply with our relevant contract requirements, or when we feel further action is needed to keep our risk levels within approved tolerance levels.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annual report on Form 10-K, including the risk factor entitled “Our platform, products, website and internal systems may be subject to intentional disruption or other security incidents that could result in liability and adversely impact our reputation and future sales.” We have not currently encountered any cybersecurity threats that have materially impaired our operations or financial standing.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with assistance from management, monitors and assesses strategic risk exposure, and our management team is responsible for the day-to-day management of the material risks we face. Our board of directors administers its cybersecurity risk oversight function directly as a whole, as well as through the Audit and Risk Committee of our board of directors (“Audit and Risk Committee”).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CISO and our Security Steering Committee, which includes members from management across all company functions such as security, IT, human resources, sales and marketing, engineering, legal, and finance, are primarily responsible for assessing and managing cybersecurity threats. Our CISO is a cybersecurity industry expert with over two decades of experience in cybersecurity, including work at multi-national technology companies and for a U.S. state government. He holds a degree in computer science and has held industry certifications including CISSP, OSCP, CCSP, and GCFA and is also a graduate of the Carnegie Mellon University’s Chief Information Security Officer Executive Program. Our CEO is also a cybersecurity industry expert who has deep insight and over two decades of experience in cybersecurity, technology and information security.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CISO and our Security Steering Committee, along with other senior executives including the CEO and CTO, review and manage our cybersecurity policies and processes, including those described in “Risk Management and Strategy” above. The processes by which our CISO is informed about and monitors the prevention, detection, mitigation, and remediation of cybersecurity incidents, include prompt communication from the CSIRT and PSIRT describing the severity and impact of the incident and status throughout the incident handling lifecycle and routine monitoring of key risk indicators.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CISO provides briefings to the Audit and Risk Committee along with our CEO and other members of our senior management team, both on a quarterly basis via the Qualys Security Steering Committee and as needed, regarding our cybersecurity risks and activities, including, if any, critical and high impact cybersecurity incidents and related responses,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systems testing, activities of third parties, and the emerging threat landscape. Our Audit and Risk Committee provides regular updates to the board of directors on such reports. In addition, our CISO and management team provide periodic briefings to the board of directors on cybersecurity risks and activities. Management is required to notify the Audit and Risk Committee, and the full Board in the event of a cyber incident that is confirmed to have a material effect on Qualys, or in the event that Qualys has identified a cyber risk that is likely to have a high probability of having a material impact on Qualys if not mitigated.</w:t>
      </w:r>
    </w:p>
    <w:p>
      <w:pPr>
        <w:spacing w:after="0" w:line="1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Foster City, California, where we occupy a 76,922 square-foot facility under a lease expiring on April 30, 2034. We also have 321,333 square feet of office space in Pune, India under non-cancellable lease arrangements, with contractual lease expirations extending through June 2031. We have an additional U.S. office in North Carolina and other offices in France, United Arab Emirates and United Kingdom. We believe our facilities are adequate for our current needs and for the foreseeable future.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shared cloud platforms at third-party facilities in United States, Canada, Switzerland, the Netherlands, United Arab Emirates, Australia, United Kingdom, Italy, the Kingdom of Saudi Arabia and India. Our shared cloud platform agreements have varying terms through 2030.</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As of December 31, 2025, there has not been at least a reasonable possibility that we have incurred a material loss from any ongoing legal proceedings, individually or taken together. However, litigation is inherently unpredictable and is subject to significant uncertainties, some of which are beyond our control. Should any of these estimates and assumptions change or prove to have been incorrect, we could incur significant charges related to legal matters which could have a material impact on its results of operations, financial position and cash flows. For more information, please refer to Note 8 in the accompanying notes to the consolidated financial statements, which is hereby incorporated by reference.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under the symbol “QLYS”.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11, 2026, there were approximately 40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December 31, 2020 through December 31, 2025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Qualys, Inc., NASDAQ-Global Select Market Composite Index, and NASDAQ Computer Index and S&amp;P 500 Index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December 31, 2020 in stock or index, including reinvestment of dividends. Fiscal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54625" cy="3257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Inc.</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Computer</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258.44</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bl>
    <w:p>
      <w:pPr>
        <w:spacing w:after="0" w:line="3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91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 summary of our repurchases of common stock during the three months ended December 31, 2025 is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64"/>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 that May Yet</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1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Plan or</w:t>
            </w:r>
          </w:p>
        </w:tc>
      </w:t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Program</w:t>
            </w:r>
          </w:p>
        </w:tc>
      </w:tr>
      <w:tr>
        <w:trPr>
          <w:trHeight w:val="27"/>
        </w:trPr>
        <w:tc>
          <w:tcPr>
            <w:tcW w:w="3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r>
      <w:tr>
        <w:trPr>
          <w:trHeight w:val="243"/>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187,571,436</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175,038,494</w:t>
            </w:r>
          </w:p>
        </w:tc>
        <w:tc>
          <w:tcPr>
            <w:tcW w:w="38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160,520,569 (2)</w:t>
            </w:r>
          </w:p>
        </w:tc>
      </w:tr>
      <w:tr>
        <w:trPr>
          <w:trHeight w:val="26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328,162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1"/>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54" w:lineRule="auto"/>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May 4, 2022, February 7, 2024, and February 6, 2025, we announced that our board of directors had authorized an increase of $200.0 million to the share repurchase program, resulting in an aggregate authorization of $1.4 billion as of December 31, 2025. On February 5, 2026, we announced that our board of directors authorized an increase of $200.0 million to the share repurchase program, resulting in an aggregate authorization of $1.6 billion.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$200.0 million increase to our share repurchase program announced on February 5, 2026.</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the related notes included elsewhere in this Annual Report on Form 10-K. You should carefully review and consider the information regarding our financial condition and results of operations set forth under Part II-Item 7 (Management’s Discussion and Analysis of Financial Condition and Results of Operations) in our Annual Report on Form 10-K for the fiscal year ended December 31, 2024, filed with the SEC on February 21, 2025, for an understanding of our results of operations and liquidity discussions and analysis comparing fiscal year 2024 to fiscal year 2023, which information is hereby incorporated by reference.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platform addresses the growing security and compliance complexities and risks that are amplified by the dissolving boundaries between IT infrastructures and web environments, the rapid adoption of cloud computing, containers and serverless IT models, and the proliferation of geographically dispersed IT assets. Our integrated suite of IT, security and compliance solutions delivered on Qualys' Enterprise TruRisk Platform enables our customers to identify and manage their IT and operational technology (OT) assets, collect and analyze large amounts of IT security data, discover and prioritize vulnerabilities, quantify cyber risk exposure, recommend and implement remediation actions and verify the implementation of such actions.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IT, information security, application security, endpoint, developer security and cloud teams.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2025, 2024 and 2023, 56%, 58% and 60%,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leading cloud providers, value-added resellers and consulting firms in the United States and internationally.</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Impacts of Current Macroeconomic Environment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uncertainty surrounding macroeconomic factors in the U.S. and globally characterized by inflationary pressure, high interest rates, significant volatility of global markets, reduced spending and extended sales cycles, tariff and non-tariff trade barriers, economic and regulatory uncertainty,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cloud platform into our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invest in our customer support and operations teams to support our customers and operations, which in turn, is expected to increase the cost of revenues in absolute dollars.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which in turn, is expected to increase the research and development expenses in absolute dollars.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sales and marketing teams and also in more marketing programs to support new solutions on our platform, which in turn, is expected to increase sales and marketing expenses in absolute dollars.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to continue to invest in our people and incur professional services to support our growth and compliance with legal and regulatory requirements, which in turn, is expected to increase general and administrative expenses in absolute dollars.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other income (expense), net consists primarily of interest and returns from our cash equivalent, short-term and long-term marketable securities, non-marketable securities gains and losses, and foreign exchange gains and losses.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We regularly assess the realizability of our net deferred tax assets. As of December 31, 2025, valuation allowances remain in certain jurisdictions where we believe it is necessary to see positive evidence, such as sustained achievement of sufficient profits, to meet a more likely than not stance that the valuation allowance should be reversed. The exact timing and amount of the valuation allowance release is subject to change based on the level of profitability achieved in future periods. Release of the valuation allowance would result in the recognition of deferred tax assets and a corresponding decrease to income tax expense in the period the release is recorded.</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permanently extends and modifies certain domestic and international provisions from the 2017 TCJA and phases out certain provisions from the 2022 Inflation Reduction Act. Beginning in 2025, the OBBBA provides an elective deduction for domestic research and development expenses and a reinstatement of elective 100% first-year bonus depreciation. Some international provisions of the OBBBA will not be effective until 2026 and forward. We have recognized the effects of the OBBBA provisions in our financial results to the extent they are applicable to the year ended December 31, 2025. We will continue to monitor the impact of the OBBBA and the range of potential outcomes, which will depend on facts in each year and anticipated guidance from the U.S. Department of the Treasury.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presented as a percentage of revenues:</w:t>
      </w:r>
    </w:p>
    <w:p>
      <w:pPr>
        <w:spacing w:after="0" w:line="27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199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gridSpan w:val="2"/>
          </w:tcPr>
          <w:p>
            <w:pPr>
              <w:ind w:left="8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4"/>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Revenues increased by $61.6 million in 2025 compared to 2024, driven by increased demand for our subscription services by our end customers. Of the total increase of $61.6 million in revenues, 76% was from customers existing at or prior to December 31, 2024, and the remaining 24% was from new customers added in 2025. Of the total increase of $61.6 million, 37% was from customers in the United States and the remaining 63% was from customers in foreign countries. In 2025, 51% of total revenues were direct and 49% of total revenues were through partners. Of the total increase of $61.6 million, 20% was direct and the remaining 80% was from partners.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our strong market position driving further demand for our solutions, we expect revenue growth from new and existing customers to continue.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$3.3 million in 2025 compared to 2024, primarily due to an increase in personnel costs of $4.7 million, driven by additional employees hired to support the growth of our business and an increase in incentive compensation, an increase in license expenses of $1.9 million, partially offset by a decrease in depreciation and amortization expense of $3.3 million resulting from certain of our assets becoming fully depreciated or amortized.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$5.4 million in 2025 compared to 2024, primarily due to an increase in personnel costs of $4.4 million, driven by additional employees hired to support the growth of our business and an increase in incentive compensation, an increase in overhead allocations of $1.8 million, and an increase in shared cloud platform costs of $1.0 million, partially offset by a decrease in stock-based compensation of $1.1 million driven by lower average grant-date fair value and geographic mix, and a decrease in professional service expense of $0.7 million.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$15.2 million in 2025 compared to 2024, primarily due to an increase in personnel costs of $8.8 million, driven by an increase in headcount and higher sales commissions and incentive compensation, an increase in marketing expenses of $4.2 million, primarily related to digital advertising, sales event and sponsorship, an increase in travel expenses of $1.5 million, and an increase in overhead allocations of $0.7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in 2025 compared to 2024, primarily due to an increase in personnel costs, including stock-based compensation, of $4.1 million, driven by an increase in headcount and higher incentive compensation due to higher achievement rates compared to 2024, and an increase in license expenses of $0.9 million, partially offset by an increase in overhead allocations to other expense categories of $2.1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other income, net increased by $2.3 million in 2025 compared to 2024, primarily due to favorable changes in foreign currency of $2.8 million, partially offset by a decrease in interest income of $0.5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provision increased by $12.4 million in 2025 compared to 2024, primarily due to the tax effect of a decrease in the benefit from FDII deduction as a result of the enactment of the OBBBA, along with a decrease in excess tax benefits from stock-based compensation and a decrease in tax benefits from other discrete adjustments compared to the prior year.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Performance Metrics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Dollar Expansion Rate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Numerator: We measure the ARR for that same cohort of customers representing all active subscriptions as of the end of the reporting period, using the same foreign exchange rate from the prior year.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dollar expansion rate was 103% for both the years ended December 31, 2025 and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62" w:lineRule="exact"/>
        <w:rPr>
          <w:sz w:val="20"/>
          <w:szCs w:val="20"/>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cash and non-cash charges that are recurring;</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225" w:lineRule="exact"/>
        <w:rPr>
          <w:rFonts w:ascii="Times New Roman" w:cs="Times New Roman" w:eastAsia="Times New Roman" w:hAnsi="Times New Roman"/>
          <w:sz w:val="18"/>
          <w:szCs w:val="18"/>
          <w:color w:val="auto"/>
        </w:rPr>
      </w:pPr>
    </w:p>
    <w:p>
      <w:pPr>
        <w:ind w:left="740" w:right="240" w:hanging="327"/>
        <w:spacing w:after="0" w:line="282"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spacing w:after="0" w:line="161" w:lineRule="exact"/>
        <w:rPr>
          <w:rFonts w:ascii="Times New Roman" w:cs="Times New Roman" w:eastAsia="Times New Roman" w:hAnsi="Times New Roman"/>
          <w:sz w:val="18"/>
          <w:szCs w:val="18"/>
          <w:color w:val="auto"/>
        </w:rPr>
      </w:pPr>
    </w:p>
    <w:p>
      <w:pPr>
        <w:ind w:left="740" w:right="120" w:hanging="327"/>
        <w:spacing w:after="0" w:line="282"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or not at all, which reduces its usefulness as a comparative measure.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unaudited table presents the reconciliation of net income to Adjusted EBITDA for the years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4"/>
                <w:szCs w:val="24"/>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198,320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173,680</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percentage of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15,610</w:t>
            </w:r>
          </w:p>
        </w:tc>
      </w:tr>
      <w:tr>
        <w:trPr>
          <w:trHeight w:val="24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2,903</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48,508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36,142</w:t>
            </w:r>
          </w:p>
        </w:tc>
      </w:tr>
      <w:tr>
        <w:trPr>
          <w:trHeight w:val="24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76,966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77,133</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(24,876)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(22,626)</w:t>
            </w:r>
          </w:p>
        </w:tc>
      </w:tr>
      <w:tr>
        <w:trPr>
          <w:trHeight w:val="26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313,409</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282,842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revenues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our principal source of liquidity was cash, cash equivalents and marketable securities of $696.8 million, including $155.3 million of cash held outside of the United States. The following summary of cash flows for the periods indicated has been derived from our consolidated financial statements included elsewhere in this report: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244,094</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(71,427)</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w:t>
            </w:r>
          </w:p>
        </w:tc>
      </w:tr>
      <w:tr>
        <w:trPr>
          <w:trHeight w:val="26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2025, we generated $296.0 million of cash from our net income, as adjusted for non-cash items mainly related to stock-based compensation expense, depreciation and amortization expense and deferred taxes, as compared to $243.9 million in 2024. In addition, we also generated $13.4 million of cash from working capital change in 2025, of which $14.0 million was related to the net favorable change in accounts receivable and deferred revenue due to the growth in billings and collections, partially offset by an $0.6 million net unfavorable change in prepaid expenses and payables and accrued liabilities due to the timing of payments. In 2024, we generated $243.9 million of cash from our net income, as adjusted for non-cash items mainly related to stock-based compensation expense, depreciation and amortization expense and deferred taxes. In addition, we also generated $0.2 million of cash from working capital change in 2024, of which $11.7 million was related to the increases in accounts receivable and deferred revenue due to the timing of collections and growth in billings, a $3.2 million increase in payables and accrued liabilities driven by the timing of payment, partially offset by a $14.7 million increase in prepaid expenses.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2025, we used $100.9 million of cash for purchases of marketable securities net of sales and maturities, and used $5.0 million of cash in capital expenditures mainly related to computer equipment to support our growth and development and leasehold improvement for expansion of our office spaces, as compared to the use of $59.1 million of cash for purchases of marketable securities net of sales and maturities, and the use of $12.3 million of cash in capital expenditures mainly related to computer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to support our growth and development and leasehold improvement for expansion of our office spaces and shared cloud platform facilities in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2025, we used $183.4 million of cash for share repurchases and $25.0 million of cash in payment of employee withholding taxes upon vesting of restricted stock units, partially offset by $16.3 million of proceeds from employee exercise of stock options and $6.8 million of proceeds from issuance of common stock through our employee stock purchase plan (ESPP), as compared to $139.9 million of cash for share repurchase and $28.4 million of cash in payment of employee withholding taxes upon vesting of restricted stock units and $1.5 million payment of cash held in escrow as part of the Blue Hexagon acquisition on October 4, 2022, partially offset by $17.3 million of proceeds from employee exercise of stock options and $6.9 million of proceeds from issuance of common stock through our ESPP in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cash equivalents, marketable securities and our expected cash flow generated from operations will be sufficient to fund our operations for the next twelve months and beyond. If we repatriate funds from our foreign subsidiaries, we could be subject to foreign withholding taxes.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material cash requirements mainly include the following contractual and other obligations:</w:t>
      </w:r>
    </w:p>
    <w:p>
      <w:pPr>
        <w:spacing w:after="0" w:line="225" w:lineRule="exact"/>
        <w:rPr>
          <w:sz w:val="20"/>
          <w:szCs w:val="20"/>
          <w:color w:val="auto"/>
        </w:rPr>
      </w:pPr>
    </w:p>
    <w:p>
      <w:pPr>
        <w:jc w:val="both"/>
        <w:ind w:left="1140" w:hanging="322"/>
        <w:spacing w:after="0" w:line="257"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obligations to make payments under our non-cancelable lease agreements for our facilities and shared cloud platforms. We had fixed operating lease payment obligations of $69.0 million as of December 31, 2025, with $11.4 million expected to be paid within the next 12 months.</w:t>
      </w:r>
    </w:p>
    <w:p>
      <w:pPr>
        <w:spacing w:after="0" w:line="1" w:lineRule="exact"/>
        <w:rPr>
          <w:rFonts w:ascii="Times New Roman" w:cs="Times New Roman" w:eastAsia="Times New Roman" w:hAnsi="Times New Roman"/>
          <w:sz w:val="18"/>
          <w:szCs w:val="18"/>
          <w:color w:val="auto"/>
        </w:rPr>
      </w:pPr>
    </w:p>
    <w:p>
      <w:pPr>
        <w:jc w:val="both"/>
        <w:ind w:left="1140" w:hanging="322"/>
        <w:spacing w:after="0" w:line="250"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 for capital expenditures in 2026 is expected to be in a range of $8.0 million to $12.0 million. Our future capital requirements will depend on many factors, including our rate of revenue growth, the expansion of our sales and marketing activities, the timing, type and extent of our spending on research and development efforts, international expansion and investment in shared cloud platforms and cloud infrastructures. We may also seek to invest in or acquire complementary businesses or technologies.</w:t>
      </w:r>
    </w:p>
    <w:p>
      <w:pPr>
        <w:spacing w:after="0" w:line="1" w:lineRule="exact"/>
        <w:rPr>
          <w:rFonts w:ascii="Times New Roman" w:cs="Times New Roman" w:eastAsia="Times New Roman" w:hAnsi="Times New Roman"/>
          <w:sz w:val="18"/>
          <w:szCs w:val="18"/>
          <w:color w:val="auto"/>
        </w:rPr>
      </w:pPr>
    </w:p>
    <w:p>
      <w:pPr>
        <w:ind w:left="1140" w:hanging="322"/>
        <w:spacing w:after="0" w:line="260"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non-cancelable purchase obligations related to cloud infrastructures and other service providers totaled $60.2 million, of which $13.2 million is expected to be paid within the next 12 months.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to continue to use cash to repurchase shares in 2026 under our share repurchase program authorized by our board of directors on February 5, 2018. As of December 31, 2025, approximately $160.5 million remained available under our share repurchase program. Shares will be repurchased from time to time in privately negotiated transactions or on the open market in accordance with Rule 10b-18 of the Exchange Act of 1934, including pursuant to a pre-set trading plan adopted in accordance with Rule 10b5-1 under the Exchange Act. On February 5, 2026, we announced that our board of directors authorized an additional $200.0 million under the share repurchase program, increasing the total amount of authorized repurchase to $1.6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GAAP requires us to make estimates and assumptions that affect the reported amounts of assets, liabilities, revenues, expenses and related disclosures. Our significant accounting policies are described in Note 1 - The Company and Summary of Significant Accounting Policies in the accompanying notes to the consolidated financial statements included in Part II, Item 8, "Financial Statements and Supplementary Data" of this Annual Report on Form 10-K. On an ongoing basis, we evaluate our estimates and assumptions based on historical and anticipated results and trends that we believe represent our best estimate under the circumstances. However, as accounting estimates are subject to inherent uncertainty, our actual results may differ from these estimates under different assumptions or conditions.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Significant assumptions, judgments and estimates are involved in determining our provision for (benefit from) income taxes, our deferred tax assets and liabilities, and any valuation allowance to be recorded against our deferred tax assets. Our judgments, assumptions and estimates relating to the current provision for income taxes include the geographic mix and amount of income (loss), expectations of future income, our interpretation of current tax laws, our business, and possible outcomes of current and future audits conducted by foreign and domestic tax authorities. Our judgments also include anticipating the tax positions we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record in the financial statements before preparing and filing the tax returns. Our estimates and assumptions may differ from the actual results as reflected in our income tax returns and we record the required adjustments when they are identified or resolved. Changes in our business and tax laws or our interpretation of those, and developments in current and future tax audits, could significantly impact the amounts provided for income taxes in our results of operations, financial position, or cash flows.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assessment of tax effects of our uncertain tax positions in our financial statements involves significant judgment in interpreting complex and ambiguous tax laws, regulations, and administrative practices, determining the probability of various possible settlement outcomes, evaluating the litigation process based on tax authority behaviors in similar cases, and estimating the likelihood that another taxing authority could review the respective tax position. These judgments are inherently challenging and subjective because a taxing authority may change its behavior at any time. We must also determine when it is reasonably possible that the amount of unrecognized tax benefits will significantly increase or decrease in the 12 months after each fiscal year-end. We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 that could be material in the future.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recognize the fair value of our employee stock options and restricted stock units (RSU), including performance-based restricted stock units (PRSU), over the requisite service period. The fair value of each stock option is estimated on date of grant using the Black-Scholes-Merton option pricing model. Determining the appropriate fair value model and calculating the fair value of employee stock options requires the use of subjective assumptions, including the expected life of the stock option and stock price volatility. The recognition of expenses for performance based restricted stock units requires us to estimate the probability that the performance condition will be achieved and the number of awards that will vest are adjusted accordingly at each reporting period. The assumptions used in calculating the fair value of employee stock options and estimating the probability of achievement of performance metrics represent management’s best estimates, which require significant judgment and involve inherent uncertainties. If factors change and we use different assumptions, our stock-based compensation expense could be materially different in the future.</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have been and will continue to be subject to fluctuations because of changes in foreign currency exchange rates, particularly changes in exchange rates between the U.S. Dollar and the EUR, GBP, INR and Canadian Dollar (“C$” or “CAD”),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December 31, 2025, we had designated cash flow hedge forward contracts with notional amounts of €54.3 million, £24.1 million and Rs.5,526.0 million and non-designated forward contracts with notional amounts of €24.4 million, £6.8 million, Rs.2,723.0 million and C$2.5 million. With our hedging strategy applied, the effect of an immediate 10% adverse change in foreign exchange rates would not be material to our financial condition, operating results or cash flows.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had $696.8 million in cash, cash equivalents and short-term and long-term marketable securities as of December 31, 2025.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of our securities. As of December 31, 2025, a hypothetical 100 basis point increase in interest rate would not result in a material decrease in the fair value of our marketable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7"/>
        </w:trPr>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 248)</w:t>
            </w:r>
          </w:p>
        </w:tc>
        <w:tc>
          <w:tcPr>
            <w:tcW w:w="10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4140" w:type="dxa"/>
            <w:vAlign w:val="bottom"/>
            <w:gridSpan w:val="6"/>
          </w:tcPr>
          <w:p>
            <w:pPr>
              <w:spacing w:after="0"/>
              <w:rPr>
                <w:sz w:val="21"/>
                <w:szCs w:val="21"/>
                <w:color w:val="auto"/>
              </w:rPr>
            </w:pPr>
          </w:p>
        </w:tc>
        <w:tc>
          <w:tcPr>
            <w:tcW w:w="3880" w:type="dxa"/>
            <w:vAlign w:val="bottom"/>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300" w:type="dxa"/>
            <w:vAlign w:val="bottom"/>
            <w:gridSpan w:val="6"/>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3"/>
          </w:tcPr>
          <w:p>
            <w:pPr>
              <w:spacing w:after="0"/>
              <w:rPr>
                <w:sz w:val="21"/>
                <w:szCs w:val="21"/>
                <w:color w:val="auto"/>
              </w:rPr>
            </w:pPr>
          </w:p>
        </w:tc>
        <w:tc>
          <w:tcPr>
            <w:tcW w:w="6380" w:type="dxa"/>
            <w:vAlign w:val="bottom"/>
            <w:gridSpan w:val="2"/>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0" w:type="dxa"/>
            <w:vAlign w:val="bottom"/>
          </w:tcPr>
          <w:p>
            <w:pPr>
              <w:spacing w:after="0"/>
              <w:rPr>
                <w:sz w:val="21"/>
                <w:szCs w:val="21"/>
                <w:color w:val="auto"/>
              </w:rPr>
            </w:pPr>
          </w:p>
        </w:tc>
        <w:tc>
          <w:tcPr>
            <w:tcW w:w="6600" w:type="dxa"/>
            <w:vAlign w:val="bottom"/>
            <w:gridSpan w:val="3"/>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c>
          <w:tcPr>
            <w:tcW w:w="20" w:type="dxa"/>
            <w:vAlign w:val="bottom"/>
          </w:tcPr>
          <w:p>
            <w:pPr>
              <w:spacing w:after="0"/>
              <w:rPr>
                <w:sz w:val="21"/>
                <w:szCs w:val="21"/>
                <w:color w:val="auto"/>
              </w:rPr>
            </w:pPr>
          </w:p>
        </w:tc>
      </w:tr>
      <w:tr>
        <w:trPr>
          <w:trHeight w:val="952"/>
        </w:trPr>
        <w:tc>
          <w:tcPr>
            <w:tcW w:w="20" w:type="dxa"/>
            <w:vAlign w:val="bottom"/>
          </w:tcPr>
          <w:p>
            <w:pPr>
              <w:spacing w:after="0"/>
              <w:rPr>
                <w:sz w:val="24"/>
                <w:szCs w:val="24"/>
                <w:color w:val="auto"/>
              </w:rPr>
            </w:pPr>
          </w:p>
        </w:tc>
        <w:tc>
          <w:tcPr>
            <w:tcW w:w="3160" w:type="dxa"/>
            <w:vAlign w:val="bottom"/>
            <w:tcBorders>
              <w:top w:val="single" w:sz="8" w:color="0000FF"/>
            </w:tcBorders>
            <w:gridSpan w:val="5"/>
          </w:tcPr>
          <w:p>
            <w:pPr>
              <w:spacing w:after="0"/>
              <w:rPr>
                <w:sz w:val="24"/>
                <w:szCs w:val="24"/>
                <w:color w:val="auto"/>
              </w:rPr>
            </w:pPr>
          </w:p>
        </w:tc>
        <w:tc>
          <w:tcPr>
            <w:tcW w:w="308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auto"/>
                <w:w w:val="99"/>
              </w:rPr>
              <w:t>52</w:t>
            </w:r>
          </w:p>
        </w:tc>
        <w:tc>
          <w:tcPr>
            <w:tcW w:w="3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Qualys,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Qualys, Inc. (a Delaware corporation)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20, 2026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Qualys,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Qualys, Inc. (a Delaware corporation) and subsidiaries (the “Company”)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February 20,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232,182</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$1,581 and $1,064 as of December 31, 2025 and 2024,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164,551</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39,717</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585,691</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193,887</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81,307</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r>
      <w:tr>
        <w:trPr>
          <w:trHeight w:val="26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1,095,081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973,537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371,457</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428,390</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496,421</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5"/>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20,000 shares authorized, no shares issued and outstanding as of</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 shares authorized, 35,730 and 36,503 shares issued and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December 31, 2025 and 2024,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664,879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(189,217)</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561,153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477,116</w:t>
            </w:r>
          </w:p>
        </w:tc>
      </w:tr>
      <w:tr>
        <w:trPr>
          <w:trHeight w:val="264"/>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1,095,081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973,537</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107,485</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446,973</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w:t>
            </w:r>
          </w:p>
        </w:tc>
        <w:tc>
          <w:tcPr>
            <w:tcW w:w="0" w:type="dxa"/>
            <w:vAlign w:val="bottom"/>
          </w:tcPr>
          <w:p>
            <w:pPr>
              <w:spacing w:after="0"/>
              <w:rPr>
                <w:sz w:val="1"/>
                <w:szCs w:val="1"/>
                <w:color w:val="auto"/>
              </w:rPr>
            </w:pPr>
          </w:p>
        </w:tc>
      </w:tr>
      <w:tr>
        <w:trPr>
          <w:trHeight w:val="237"/>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283,904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163,069</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178,651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151,595</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gains on available-for-sale debt securities,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 net of tax</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151,838</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198,320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173,680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151,595</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non-marketable securities</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69,079</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marketable securities,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0" w:type="dxa"/>
            <w:vAlign w:val="bottom"/>
          </w:tcPr>
          <w:p>
            <w:pPr>
              <w:spacing w:after="0"/>
              <w:rPr>
                <w:sz w:val="1"/>
                <w:szCs w:val="1"/>
                <w:color w:val="auto"/>
              </w:rPr>
            </w:pPr>
          </w:p>
        </w:tc>
      </w:tr>
      <w:tr>
        <w:trPr>
          <w:trHeight w:val="233"/>
        </w:trPr>
        <w:tc>
          <w:tcPr>
            <w:tcW w:w="6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0" w:type="dxa"/>
            <w:vAlign w:val="bottom"/>
          </w:tcPr>
          <w:p>
            <w:pPr>
              <w:spacing w:after="0"/>
              <w:rPr>
                <w:sz w:val="1"/>
                <w:szCs w:val="1"/>
                <w:color w:val="auto"/>
              </w:rPr>
            </w:pPr>
          </w:p>
        </w:tc>
      </w:tr>
      <w:tr>
        <w:trPr>
          <w:trHeight w:val="233"/>
        </w:trPr>
        <w:tc>
          <w:tcPr>
            <w:tcW w:w="6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liabilities and other noncurrent liabilities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46"/>
        </w:trPr>
        <w:tc>
          <w:tcPr>
            <w:tcW w:w="6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47,720</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244,094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244,605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(306,812)</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309,184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242,432</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(73,166)</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(170,800)</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45,576</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(22,346)</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through employee stock purchase plan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0" w:type="dxa"/>
            <w:vAlign w:val="bottom"/>
          </w:tcPr>
          <w:p>
            <w:pPr>
              <w:spacing w:after="0"/>
              <w:rPr>
                <w:sz w:val="1"/>
                <w:szCs w:val="1"/>
                <w:color w:val="auto"/>
              </w:rPr>
            </w:pPr>
          </w:p>
        </w:tc>
      </w:tr>
      <w:tr>
        <w:trPr>
          <w:trHeight w:val="24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acquisition-related holdback</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(185,400)</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(145,650)</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(141,493)</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29,946</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206,365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176,419</w:t>
            </w:r>
          </w:p>
        </w:tc>
        <w:tc>
          <w:tcPr>
            <w:tcW w:w="0" w:type="dxa"/>
            <w:vAlign w:val="bottom"/>
          </w:tcPr>
          <w:p>
            <w:pPr>
              <w:spacing w:after="0"/>
              <w:rPr>
                <w:sz w:val="1"/>
                <w:szCs w:val="1"/>
                <w:color w:val="auto"/>
              </w:rPr>
            </w:pPr>
          </w:p>
        </w:tc>
      </w:tr>
      <w:tr>
        <w:trPr>
          <w:trHeight w:val="26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206,365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0" w:type="dxa"/>
            <w:vAlign w:val="bottom"/>
          </w:tcPr>
          <w:p>
            <w:pPr>
              <w:spacing w:after="0"/>
              <w:rPr>
                <w:sz w:val="1"/>
                <w:szCs w:val="1"/>
                <w:color w:val="auto"/>
              </w:rPr>
            </w:pPr>
          </w:p>
        </w:tc>
      </w:tr>
      <w:tr>
        <w:trPr>
          <w:trHeight w:val="23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 recorded in accounts payable and accrued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Accrual for repurchase of common stock</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2140" w:type="dxa"/>
            <w:vAlign w:val="bottom"/>
            <w:gridSpan w:val="4"/>
            <w:vMerge w:val="restart"/>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21"/>
                <w:szCs w:val="21"/>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7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289,129</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(171,219)</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597,921</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(228,080)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368,174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664,879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477,116</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(183,931)</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77,052</w:t>
            </w:r>
          </w:p>
        </w:tc>
        <w:tc>
          <w:tcPr>
            <w:tcW w:w="0" w:type="dxa"/>
            <w:vAlign w:val="bottom"/>
          </w:tcPr>
          <w:p>
            <w:pPr>
              <w:spacing w:after="0"/>
              <w:rPr>
                <w:sz w:val="1"/>
                <w:szCs w:val="1"/>
                <w:color w:val="auto"/>
              </w:rPr>
            </w:pPr>
          </w:p>
        </w:tc>
      </w:tr>
      <w:tr>
        <w:trPr>
          <w:trHeight w:val="26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561,153</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w:t>
        <w:tab/>
        <w:t>The Company and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Qualys, Inc. (the “Company”, "we", "us", "our") was incorporated in the state of Delaware on December 30, 1999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headquartered in Foster City, California and has wholly-owned subsidiaries throughout the world. The Company is a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Qualys' Enterprise TruRisk Platform to cost-effectively obtain a unified view of their security and compliance posture across globally-distributed IT infrastructures.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U.S. GAAP as well as the instructions to Form 10-K and the rules and regulations of the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Credit risk with respect to accounts receivable is dispersed due to the large number of customers. Collateral is not required for accounts receivable. As of December 31, 2025 and 2024, no customer or channel partner accounted for more than 10% of the Company's revenues and accounts receivable balance.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Short-Term and Long-Term Marketable Securities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cash held in banks, highly liquid money market funds, commercial paper and fixed-income U.S. Treasury and government agency securities, all with original maturities of three months or less when acquired. The Company’s short-term and long-term marketable securities consist of fixed-income U.S. Treasury and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a restricted cash balance of $1.2 million in the form of a letter of credit issued to the landlord of the Company's California headquarter office lease as security deposit.</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determined on a collective basis where similar risk characteristics exist and on an individual basis when the Company identifies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2025 and 2024. The balance of accounts receivable, net of allowance for credit losses was $171.0 million, $164.6 million and $146.2 million as of December 31, 2025, December 31, 2024 and December 31, 2023, respectively.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Non-marketable securities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2018, the Company invested $2.5 million in preferred stock of a privately-held company (the “Investee”).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fair value of the investment is less than carrying value. The investment is included in other noncurrent assets in the consolidated balance sheets. The Company has not received any dividends from the investment. During the second quarter of 2023, the Company identified an observable price change in the investment and recognized an immaterial unrealized loss in other income (expense), net of the consolidated statement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purchases physical scanner appliances and other computer equipment that are provided to some customers on a subscription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equipment is recorded within property and equipment and the depreciation is recorded in cost of revenues over an estimated useful life of three years.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offices, computer equipment and its shared cloud platform facilities under finance leases and non-cancelable operating leases. For both operating and finance leases, the Company recognizes a right-of-use asset, which represents the Company's right to use the underlying asset for the lease term, and a lease liability, which represents the present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 of the Company's obligation to make payments arising over the lease term. Many of the Company's leases include rental escalation clauses, renewal options and/or termination options that are factored into the Company's determination of lease payments and lease terms when appropriate. The present value of the lease payments is calculated using the incremental borrowing rate of the underlying leases determined at lease commencement. As most of the Company's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Where the Company is the lessee, the Company elects to account for non-lease components associated with its leases (e.g., common area maintenance costs) and lease components separately for substantially all of its asset classes, except for shared cloud platforms, for which the Company elected to combine lease and non-lease components. For leases with a term of one year or less, the Company has elected not to record the right-of-use asset or liability.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arrangements where the Company is the lessor, the Company elected to apply the practical expedient to account for lease components (e.g., customer premise equipment) and non-lease components (e.g., service revenue) as combined components as revenue 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service revenues are the predominant components in the arrangements.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For the years ended December 31, 2025, 2024 and 2023, there was no impairment of long-lived assets.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Goodwill and indefinite-lived intangible assets are not amortized but tested for impairment at least annually or more frequently if certain circumstances indicate a possible impairment may exist. The goodwill impairment tests are performed at the reporting unit level. The Company’s operations are organized as one reporting unit.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testing for a potential impairment of goodwill and the indefinite-lived intangible assets, the Company first performs a qualitative assessment to determine if it is more likely than not (a more than 50% likelihood) that the fair value of the reporting unit or the indefinite-lived intangible assets is less than their carrying amount. If the fair value is not considered to be less than the carrying amount, no further evaluation is necessary. Otherwise, the Company will perform a quantitative test. Goodwill impairment is measured as the amount by which the carrying value of the reporting unit or the indefinite-lived intangible assets exceeds their fair value. The Company performed the annual assessments on December 1, 2025 and 2024 and concluded there was no impairment of goodwill or the indefinite-lived intangible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Costs related to software developed, acquired or modified for internal use are capitalized and included in other noncurrent assets on the consolidated balance sheets. Costs incurred during the preliminary planning and evaluation stage of the project and during the post implementation stages of the project are expensed as incurred. Costs incurred during the application development stage of the project are capitalized. These capitalized costs consist of internal compensation related costs and external direct costs. Costs related to software developed for internal use are amortized over an estimated useful life of three years and recorded in cost of revenues. Management evaluates the useful lives of these assets on an annual basis and tests for impairment whenever events or changes in circumstances occur that could impact the recoverability of these assets. As of December 31, 2025 and 2024, unamortized balances related to the Company's internally developed software costs were immaterial for both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Costs related to cloud computing arrangements that are service contracts and the related implementation activities are accounted for consistent with internal-used software. Qualifying implementation costs incurred in cloud computing arrangement incurred during the application development stage are capitalized and included in other noncurrent assets or prepaid expense and other current assets on the consolidated balance sheets, as appropriate. When the component of the cloud computing arrangement is ready for its intended use, the capitalized costs are amortized on a straight-line basis over the term of the associated hosting arrangement and reported in the same expense category as the related hosting fees in the consolidated statement of operations. As of December 31, 2025 and 2024, the unamortized balances related to the Company’s capitalized cloud computing implementation costs were $3.4 million and $1.2 million,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accounting for its acquisitions. To determine whether transactions should be accounted for as asset acquisition or business combination, the Company evaluates whether substantially all of the fair value of gross assets included in a transaction is concentrated in a single asset (or a group of similar assets), resulting in an asset acquisition, if not, resulting in a business combination. In an asset acquisition, the cost of acquiring the asset group, including transaction costs, is allocated to the acquired assets or assumed liabilities based on their relative fair values without giving rise to goodwill. In a business combination, the Company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the Company's consolidated statements of cash flows in the same manner as the underlying hedged transaction within cash flows from operating activities.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the fair value of its stock options, restricted stock units (“RSUs”) and stock purchase rights under the employee stock purchase plan (“ESPP”) on a straight-line basis over the requisite service periods. The fair value of each stock option or stock purchase right is estimated on the date of grant using the Black-Scholes-Merton option pricing model and the fair value of each RSU is based on the Company's common stock price on the date of grant. Compensation expenses for performance-based restricted stock units (“PRSUs”) are recorded based on expected achievement of the performance metrics specified in the grant, which are assessed on a quarterly basis. Forfeitures are estimated on the date of grant and revised if actual or expected forfeiture materially differs from original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derives revenues from subscriptions that require customers to pay a fee in order to access the Company’s cloud solutions. Contract period with customers generally are one year with occasional contracts ranging up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Qualys' Enterprise TruRisk Platform into its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1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Most of the Company’s revenue contracts are subscription based and contain a single performance obligation. The subscription contracts typically do not offer to the customers any future rights that would constitute material rights.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 A cumulative catch-up adjustment is made when there is a change in the estimate of variable consideration.</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the Company's cloud-based subscription services are delivered to customers electronically and over time, revenue is generally recognized ratably over the contract terms. When physical equipment is provided to the customers as part of the subscription service contract, the Company applies the practical expedient allowed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Contract modifications happen when there is an upsell, where the customers subsequently enter into contract with the Company to purchase additional product offerings or additional scans for additional devices. Contract modifications related to upsells are accounted for prospectively.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 in the consolidated statements of operations. The Company incurred advertising costs of $5.5 million, $2.9 million and $3.0 million for the years ended December 31, 2025, 2024 and 2023,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income tax provision (benefit), its deferred tax assets and liabilities, and any valuation allowance to be recorded against its deferred tax assets. The Company's estimates and assumptions may differ from the actual results as reflected on its income tax returns and will record the required adjustments when they are identified or resolved.</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comprehensive income (loss) consists of unrealized gains (losses) on marketable securities, net of tax, and derivative financial instruments designated as cash flow hedges, net of tax, which are not included in the Company’s net income. Total comprehensive income includes net income and other comprehensive income (loss) and is included in the consolidated statements of comprehensive income.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outstanding during the period. Diluted net income per share is computed by dividing net income by the weighted-average number of shares outstanding plus potentially dilutive shares outstanding during the period. The potentially dilutive shares are computed by applying the treasury stock method to the Company's stock options, RSUs and the stock purchase rights under the ESPP. Any potential shares that would be anti-dilutive are excluded from the computation of diluted net income per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 </w:t>
      </w:r>
      <w:r>
        <w:rPr>
          <w:rFonts w:ascii="Times New Roman" w:cs="Times New Roman" w:eastAsia="Times New Roman" w:hAnsi="Times New Roman"/>
          <w:sz w:val="18"/>
          <w:szCs w:val="18"/>
          <w:i w:val="1"/>
          <w:iCs w:val="1"/>
          <w:color w:val="auto"/>
        </w:rPr>
        <w:t>Income Taxes (Topic 740): 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requiring improvements to income tax disclosures. The new ASU requires disclosure of disaggregated information about the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and income taxes paid. ASU 2023-09 should be applied prospectively, although retrospective application is permitted. The requirements of the ASU are effective for annual periods beginning after December 15, 2024, with early adoption permitted. The Company's annual reporting requirements will be effective for fiscal year 2025. The Company adopted this ASU during fiscal year 2025 on a prospective basis. See Note 11, "Income Taxes" for the additional required disclosures.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requiring more detailed information about the types of expenses included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 The requirements of the ASU are effective for annual periods beginning after December 15, 2026, and for interim periods within fiscal years beginning after December 15, 2027 and are to be applied on a retrospective or prospective basis, with early adoption permitted. The Company's annual reporting requirements will be effective for fiscal year 2027. The Company is in the process of analyzing the impact of the ASU on related disclosures.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amends ASC 326-20 to provide a practical expedient (for all entities) and an accounting policy election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Company's interim and annual reporting requirements will be effective for the Company beginning in the first quarter of fiscal year 2026. The Company does not expect the adoption of guidance to have a material impact on its consolidated financial statements and related disclosures.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simplifies the capitalization guidance by removing references to software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stage so that the guidance is neutral to different software development methods. The requirements of the ASU are effective for annual periods beginning after December 15, 2027, and interim reporting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periods within those annual reporting periods and are to be applied on a prospective, modified retrospective or retrospective basis, with early adoption permitted. The Company's interim and annual reporting requirements will be effective for the Company beginning in the first quarter of fiscal year 2028. The Company is in the process of analyzing the impact of the ASU on its consolidated financial statements.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believe any other new accounting pronouncements issued by the FASB that have not become effective will have a material impact on its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w:t>
      </w:r>
    </w:p>
    <w:p>
      <w:pPr>
        <w:spacing w:after="0" w:line="22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other than quoted prices in active markets for identical assets and liabilities, including quoted prices for identical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73"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inputs that are generally unobservable and typically reflect management’s estimates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fair value of the Company's financial assets and liabilities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330,163</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478,767</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6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233,279</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131,812</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7"/>
        </w:trPr>
        <w:tc>
          <w:tcPr>
            <w:tcW w:w="6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382,033</w:t>
            </w: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6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the years ended December 31, 2025 and 2024.</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 and 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cash equivalents and marketable securities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2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195,180</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477,425</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(1) Excludes cash of $218.1 million.</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2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w:t>
            </w: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148,952</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193,887</w:t>
            </w:r>
          </w:p>
        </w:tc>
        <w:tc>
          <w:tcPr>
            <w:tcW w:w="0" w:type="dxa"/>
            <w:vAlign w:val="bottom"/>
          </w:tcPr>
          <w:p>
            <w:pPr>
              <w:spacing w:after="0"/>
              <w:rPr>
                <w:sz w:val="1"/>
                <w:szCs w:val="1"/>
                <w:color w:val="auto"/>
              </w:rPr>
            </w:pP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378,952</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379,458</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 Excludes cash of $195.9 million.</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the Company's marketable securities that were in an unrealized loss position aggregated by length of time: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12 months or longer</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10,735</w:t>
            </w:r>
          </w:p>
        </w:tc>
        <w:tc>
          <w:tcPr>
            <w:tcW w:w="9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government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92,419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103,154</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41"/>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7"/>
        </w:trPr>
        <w:tc>
          <w:tcPr>
            <w:tcW w:w="2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6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96,135</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considered the extent to which any unrealized losses on its marketable securities were driven by credit risk and other factors, including market risk, and if it is more-likely-than-not that the Company would have to sell the security before the recovery of the amortized cost basis. At December 31, 2025 and 2024, the unrealized losses related to its marketable securities were due to market factors other than credit. The Company does not believe the unrealized losses represent credit risk, and the Company does not intend to sell any of the securities in an unrealized loss position and it is not likely that the Company would be required to sell these securities before recovery of their amortized cost basis, which may be at maturity. Thus, no credit loss was recognized for the Company's marketable securities for the years ended December 31, 2025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summarizes the fair value of marketable securities by contractual maturity:</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83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227,841</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249,628</w:t>
            </w:r>
          </w:p>
        </w:tc>
      </w:tr>
      <w:tr>
        <w:trPr>
          <w:trHeight w:val="27"/>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6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478,709</w:t>
            </w:r>
          </w:p>
        </w:tc>
      </w:tr>
      <w:tr>
        <w:trPr>
          <w:trHeight w:val="20"/>
        </w:trPr>
        <w:tc>
          <w:tcPr>
            <w:tcW w:w="8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Designated cash flow hedges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reduce the risk of variability in future cash flow due to foreign currency exchange rate fluctuation from certain forecasted subscription revenue orders billed in GBP and EUR and operating expenses incurred in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designated cash flow hedge forward contracts with notional amounts of €54.3 million, £24.1 million and Rs.5,526.0 million. As of December 31, 2024, the Company had designated cash flow hedge forward contracts with notional amounts of €51.4 million, £20.3 million and Rs.4,381.0 million.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the amount of net unrealized loss of $4.3 million before tax on the foreign currency forward contracts for GBP and EUR reported in AOCI is expected to be reclassified into revenue within the next 12 months. As of December 31, 2025, the amount of net unrealized loss of $1.6 million before tax on the foreign currency forward contracts for INR reported in AOCI is expected to be reclassified into operating expenses within the next 12 months.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Non-designated forward contracts</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non-designated forward contracts with notional amounts of €24.4 million, £6.8 million, Rs.2,723.0 million, and C$2.5 million. As of December 31, 2024, the Company had non-designated forward contracts with notional amounts of €27.0 million, £8.0 million, Rs.1,252.0 million, and C$1.0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fair value of derivative financial instruments as of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presents its derivative assets and derivative liabilities at gross fair values in the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are immaterial as of December 31, 2025 and 2024.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 institutions that the Company believes are creditworthy, and therefore, it does not consider the risk of counterparty nonperformance to be material.</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summarizes the gains (losses) recognized from forward contracts and other foreign currency transactions in other income (expense), net in the consolidated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from non-designated forward contracts</w:t>
            </w:r>
          </w:p>
        </w:tc>
        <w:tc>
          <w:tcPr>
            <w:tcW w:w="2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currency transactions gains (losses)</w:t>
            </w: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(4,637)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foreign exchange losses, net</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(3,192)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Accumulated Other Comprehensive Income (Loss)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83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components and changes in accumulated other comprehensive income (loss) were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4"/>
        </w:trPr>
        <w:tc>
          <w:tcPr>
            <w:tcW w:w="6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 Debt</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7"/>
        </w:trPr>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1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7"/>
        </w:trPr>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7"/>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7"/>
        </w:trPr>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7"/>
        </w:trPr>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effects on income before income taxes of amounts reclassified from AOCI to the consolidated statements of operations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AOCI - Available-for-sale debt securities</w:t>
            </w: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AOCI - Cash flow hedges</w:t>
            </w: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86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net, which includes assets under finance leases, consists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86"/>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187,281</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Scanner appliances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(230,772)</w:t>
            </w:r>
          </w:p>
        </w:tc>
      </w:tr>
      <w:tr>
        <w:trPr>
          <w:trHeight w:val="26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30,349</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and 2024, physical scanner appliances and other computer equipment that are or will be subject to leases by customers had a net carrying value of $8.6 million and $11.2 million, respectively, including assets that had not been placed in service of $4.2 million and $7.4 million, respectively.</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relating to property and equipment were $11.9 million, $15.6 million and $23.9 million for the years ended December 31, 2025, 2024 and 2023, respectively, which were mainly recorded in cost of revenues in the consolidated statements of operations.</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its performance obligations offset by revenue recognized in the period. Revenues of $369.9 million and $332.3 million were recognized during the years ended December 31, 2025 and December 31, 2024, respectively, which amounts were included in the deferred revenue balances of $395.7 million and $364.9 million as of December 31, 2024 and December 31, 2023,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expected revenue from all remaining performance obligations as of December 31, 2025:</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322,984</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142,494</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Revenues by sales channel are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314,988</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239,470</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and Geographic Area Information" for disaggregation of revenue by geographic area.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costs to obtain contracts are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86"/>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$8.6 million, $7.2 million and $6.0 million, respectively, of amortization expense relating to deferred costs to obtain contracts in sales and marketing expense in the consolidated statements of operations. During the same periods, there was no impairment loss related to the deferred costs to obtain contracts.</w:t>
      </w:r>
    </w:p>
    <w:p>
      <w:pPr>
        <w:spacing w:after="0" w:line="3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6.</w:t>
        <w:tab/>
        <w:t>Intangible Assets,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carrying values of intangible assets are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gridSpan w:val="2"/>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63"/>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gridSpan w:val="2"/>
            <w:shd w:val="clear" w:color="auto" w:fill="CCEEFF"/>
          </w:tcPr>
          <w:p>
            <w:pPr>
              <w:jc w:val="right"/>
              <w:ind w:right="2180"/>
              <w:spacing w:after="0"/>
              <w:rPr>
                <w:sz w:val="20"/>
                <w:szCs w:val="20"/>
                <w:color w:val="auto"/>
              </w:rPr>
            </w:pPr>
            <w:r>
              <w:rPr>
                <w:rFonts w:ascii="Times New Roman" w:cs="Times New Roman" w:eastAsia="Times New Roman" w:hAnsi="Times New Roman"/>
                <w:sz w:val="18"/>
                <w:szCs w:val="18"/>
                <w:color w:val="auto"/>
                <w:w w:val="99"/>
              </w:rPr>
              <w:t>Intangible assets not subject to amortization</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gridSpan w:val="2"/>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63"/>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gridSpan w:val="2"/>
            <w:shd w:val="clear" w:color="auto" w:fill="CCEEFF"/>
          </w:tcPr>
          <w:p>
            <w:pPr>
              <w:jc w:val="right"/>
              <w:ind w:right="2180"/>
              <w:spacing w:after="0"/>
              <w:rPr>
                <w:sz w:val="20"/>
                <w:szCs w:val="20"/>
                <w:color w:val="auto"/>
              </w:rPr>
            </w:pPr>
            <w:r>
              <w:rPr>
                <w:rFonts w:ascii="Times New Roman" w:cs="Times New Roman" w:eastAsia="Times New Roman" w:hAnsi="Times New Roman"/>
                <w:sz w:val="18"/>
                <w:szCs w:val="18"/>
                <w:color w:val="auto"/>
                <w:w w:val="99"/>
              </w:rPr>
              <w:t>Intangible assets not subject to amortization</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assets amortization expenses were $2.6 million, $2.9 million and $3.1 million for the years ended December 31, 2025, 2024 and 2023, respectively, which were recorded in the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December 31, 2025, the Company expects amortization expense in future periods to be as follows: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future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7.</w:t>
        <w:tab/>
        <w:t>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offices, computer equipment and its shared cloud platform facilities under non-cancelable operating leases for varying periods through 2034.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$14.8 million, $16.6 million and $16.1 million for the years ended December 31, 2025, 2024 and 2023,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of the Company's operating leases were as follows:</w:t>
      </w:r>
    </w:p>
    <w:p>
      <w:pPr>
        <w:spacing w:after="0" w:line="27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1997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gridSpan w:val="2"/>
          </w:tcPr>
          <w:p>
            <w:pPr>
              <w:ind w:left="8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553"/>
        </w:trPr>
        <w:tc>
          <w:tcPr>
            <w:tcW w:w="9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as of December 31, 2025 are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8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w:t>
            </w:r>
          </w:p>
        </w:tc>
      </w:tr>
      <w:tr>
        <w:trPr>
          <w:trHeight w:val="27"/>
        </w:trPr>
        <w:tc>
          <w:tcPr>
            <w:tcW w:w="91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r>
      <w:tr>
        <w:trPr>
          <w:trHeight w:val="27"/>
        </w:trPr>
        <w:tc>
          <w:tcPr>
            <w:tcW w:w="91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52,274</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7"/>
        </w:trPr>
        <w:tc>
          <w:tcPr>
            <w:tcW w:w="910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4"/>
        </w:trPr>
        <w:tc>
          <w:tcPr>
            <w:tcW w:w="9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operating lease payments in the table above exclude approximately $3.2 million of legally binding minimum lease payments for a lease signed during the year ended December 31, 2025 that has yet to commence.</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Commitment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to purchase goods and services in the ordinary course of business. As of December 31, 2025, these remaining purchase commitments for future periods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r>
      <w:tr>
        <w:trPr>
          <w:trHeight w:val="243"/>
        </w:trPr>
        <w:tc>
          <w:tcPr>
            <w:tcW w:w="9620" w:type="dxa"/>
            <w:vAlign w:val="bottom"/>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2027</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43"/>
        </w:trPr>
        <w:tc>
          <w:tcPr>
            <w:tcW w:w="9620" w:type="dxa"/>
            <w:vAlign w:val="bottom"/>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2029</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shd w:val="clear" w:color="auto" w:fill="CCEEFF"/>
          </w:tcPr>
          <w:p>
            <w:pPr>
              <w:jc w:val="right"/>
              <w:ind w:right="727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maintains director and officer insurance, which may cover certain liabilities arising from its obligation to indemnify its directors.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the Company's business. The Company records a provision for a liability when it is both probable that a liability has been incurred and the amount can be reasonably estimated. Legal expenses related to such matters are expensed as incurred. The Company provides disclosure if it is reasonably possible that a loss has been incurred and a range of loss or possible loss can be reasonably estimated. Significant judgment is required to determine both probability and the estimated amount. The Company reviews these provisions at least quarterly and adjust these provisions to reflect the impact of negotiations, settlements, rulings, advice of legal counsel, and updated information.</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3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Stockholders' Equity and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October 3, 2012, the Company is authorized to issue 20.0 million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of directors. As of December 31, 2025, and 2024, there were no issued or outstanding shares of preferred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Restated 2012 Equity Incentive Plan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2012 Equity Incentive Plan (“Previous 2012 Plan”) was adopted and approved in September 2012 and became effective on September 26, 2012. Under the Previous 2012 Plan, the Company is authorized to grant to eligible participant’s incentive stock options (“ISOs”), nonstatutory stock options (“NSOs”), stock appreciation rights (“SARs”), restricted stock awards, restricted stock units (“RSUs”), performance units and performance shares. The number of shares of common stock available for issuance under the Previous 2012 Plan is subject to an annual increase on January 1 of each year by an amount equal to the least of 3,050 thousand shares, 5% of the outstanding shares of stock as of the last day of the immediately preceding fiscal year or an amount determined by the board of directors.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8, 2022 (“Effective Date”), the Company's stockholders approved the Amended and Restated 2012 Equity Incentive Plan (the “Restated 2012 Plan”). Under the Restated 2012 Plan, the Company is authorized to grant to eligible participants ISOs, NSOs, restricted stock, RSUs, SARs, performance units and performance shares. Pursuant to the relevant plan provisions, 3,072 thousand shares were available for grant under the Restated 2012 Plan on the Effective Date. In addition, any outstanding awards or options granted under the Previous 2012 Plan will be added back to the shares available for grant under the Restated 2012 Plan if they expire unexercised or are otherwise forfeited after the Effective Date. Any remaining shares of 9,689 thousand available for grant under the Previous 2012 Plan as of the Effective Date were no longer available for future grants under the Restated 2012 Plan.</w:t>
      </w:r>
    </w:p>
    <w:p>
      <w:pPr>
        <w:spacing w:after="0" w:line="200" w:lineRule="exact"/>
        <w:rPr>
          <w:sz w:val="20"/>
          <w:szCs w:val="20"/>
          <w:color w:val="auto"/>
        </w:rPr>
      </w:pPr>
    </w:p>
    <w:p>
      <w:pPr>
        <w:spacing w:after="0" w:line="20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June 12, 2024, the Company's stockholders approved an amendment and restatement to the Restated 2012 Plan to increase the number of shares of the Company's common stock reserved for issuance by 1,092 thousand shares.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1,681 thousand shares are available for future grants under the Restated 2012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Options may be granted with an exercise price that is at least equal to the fair market value of the Company's stock at the date of grant and are exercisable when vested. Options and RSU's granted generally vest over a period of up 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2021, the Company’s stockholders approved the 2021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64 thousand shares were issued in connection with the purchase of common stock by participating employees. As of December 31, 2025, 371 thousand shares were available for future purchase.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the Company’s stock options granted for the years ended December 31, 2025, 2024 and 2023 was $46.84, $56.37 and $49.08, respectively, using the Black-Scholes-Merton option-pricing model based on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300" w:type="dxa"/>
            <w:vAlign w:val="bottom"/>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 to 4.1</w:t>
            </w:r>
          </w:p>
        </w:tc>
        <w:tc>
          <w:tcPr>
            <w:tcW w:w="18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 to 3.7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to 3.9</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 to 40%</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 to 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to 43%</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 to 4.3%</w:t>
            </w:r>
          </w:p>
        </w:tc>
        <w:tc>
          <w:tcPr>
            <w:tcW w:w="18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 to 4.7%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to 4.9%</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expected term of the options is based on evaluations of historical and expected future employee exercise behavior.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64"/>
        </w:trPr>
        <w:tc>
          <w:tcPr>
            <w:tcW w:w="5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53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20" w:type="dxa"/>
            <w:vAlign w:val="bottom"/>
          </w:tcPr>
          <w:p>
            <w:pPr>
              <w:spacing w:after="0"/>
              <w:rPr>
                <w:sz w:val="20"/>
                <w:szCs w:val="20"/>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7"/>
        </w:trPr>
        <w:tc>
          <w:tcPr>
            <w:tcW w:w="5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0"/>
                <w:szCs w:val="20"/>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r>
      <w:tr>
        <w:trPr>
          <w:trHeight w:val="24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w:t>
            </w:r>
          </w:p>
        </w:tc>
      </w:tr>
      <w:tr>
        <w:trPr>
          <w:trHeight w:val="27"/>
        </w:trPr>
        <w:tc>
          <w:tcPr>
            <w:tcW w:w="5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for the years ended December 31, 2025, 2024 and 2023 was $22.2 million, $24.0 million and $41.7 million, respectively. Intrinsic value of an option is the difference between the fair value of the Company’s common stock at the time of exercise and the exercise price paid.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summary of the Company’s RSU activity, inclusive of PRSU activity, is as follows:</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4"/>
        </w:trPr>
        <w:tc>
          <w:tcPr>
            <w:tcW w:w="8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8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80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Per</w:t>
            </w:r>
          </w:p>
        </w:tc>
      </w:tr>
      <w:tr>
        <w:trPr>
          <w:trHeight w:val="238"/>
        </w:trPr>
        <w:tc>
          <w:tcPr>
            <w:tcW w:w="80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7"/>
        </w:trPr>
        <w:tc>
          <w:tcPr>
            <w:tcW w:w="80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r>
      <w:tr>
        <w:trPr>
          <w:trHeight w:val="27"/>
        </w:trPr>
        <w:tc>
          <w:tcPr>
            <w:tcW w:w="8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r>
      <w:tr>
        <w:trPr>
          <w:trHeight w:val="27"/>
        </w:trPr>
        <w:tc>
          <w:tcPr>
            <w:tcW w:w="8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w:t>
            </w:r>
          </w:p>
        </w:tc>
      </w:tr>
      <w:tr>
        <w:trPr>
          <w:trHeight w:val="21"/>
        </w:trPr>
        <w:tc>
          <w:tcPr>
            <w:tcW w:w="8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71" w:lineRule="exact"/>
        <w:rPr>
          <w:sz w:val="20"/>
          <w:szCs w:val="20"/>
          <w:color w:val="auto"/>
        </w:rPr>
      </w:pPr>
    </w:p>
    <w:p>
      <w:pPr>
        <w:ind w:left="400" w:hanging="230"/>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161 thousand PRSUs granted to certain executive officers in 2024, 2023, 2022 and 2021.</w:t>
      </w:r>
    </w:p>
    <w:p>
      <w:pPr>
        <w:spacing w:after="0" w:line="2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164 thousand PRSUs granted to certain executive officers in 2025.</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90 thousand PRSUs granted to certain executive officers in 2024, 2023, 2022 and 2021.</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70 thousand PRSUs granted to certain executive officers in 2024, 2023, 2022 and 2021.</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165 thousand PRSUs granted to certain executive officers in 2025, 2024, 2023 and 2022.</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fair value of RSUs vested for the years ended December 31, 2025, 2024 and 2023 was $45.5 million, $56.2 million and $55.7 million, respectively.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fair value of PRSUs vested for the years ended December 31, 2025, 2024 and 2023 was $12.5 million, $10.7 million and $3.0 million,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at times, grants PRSU under the Plans, to its executive officers and certain other members of its senior leadership team. These PRSUs include both service-based and performance-based vesting conditions. During the fourth quarter each year, the Company’s board of directors (the “Board”) or the Compensation and Talent Committee (“CTC”) approves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target value for the PRSUs. The target PRSUs are scheduled to vest in three equal annual installments over a three-year period, beginning the year after approval. The performance-based vesting condition is satisfied upon the achievement of certain Company annual performance metrics, including revenue growth and adjusted EBITDA margin, which are approved annually by the Board or the CTC. Each annual installments at 200% of the annual target will be considered granted when the performance metrics for the corresponding performance year is determined and approved. The actual number of the PRSUs earned and eligible to vest ranges from 0% to 200% of the annual target, based on the weighted-average achievement of such Company annual performance metrics set for the corresponding annual performance period. Up to 100% of the first and second installment will vest and be released upon completion of the respective performance period following the certification by the Audit and Risk Committee (“ARC”), with cumulative achievement over 100%, if any, to be vested and released at the end of the third year performance period, along with the third installment, following the certification by the ARC. Under the Plan, any unvested PRSU award may be accelerated in part or in full upon the occurrence of certain events, such as death or disability, or a change in control, as defined in the grant agreement.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the Company’s ESPP for the year ended December 31, 2025, 2024 and 2023 was $35.79, $35.67 and $34.50 respectively, using the Black-Scholes-Merton option-pricing model based on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420" w:type="dxa"/>
            <w:vAlign w:val="bottom"/>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 to 40.5%</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32.6% to 32.7%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to 43.8%</w:t>
            </w:r>
          </w:p>
        </w:tc>
      </w:tr>
      <w:tr>
        <w:trPr>
          <w:trHeight w:val="27"/>
        </w:trPr>
        <w:tc>
          <w:tcPr>
            <w:tcW w:w="6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 to 4.3%</w:t>
            </w:r>
          </w:p>
        </w:tc>
        <w:tc>
          <w:tcPr>
            <w:tcW w:w="18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 to 5.3%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to 5.5%</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term of the ESPP represents the six-month offering period.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the stock-based compensation expenses included in the consolidated statements of operations for the years ended December 31, 2025,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amounts capitalized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Total stock-based compensation expense capitalized was de minimis during the years ended December 31, 2025, 2024 and 2023.</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Of the total stock-based compensation expense in the table above, the Company recognized stock-based compensation expenses related to all PRSUs of $13.8 million, $12.4 million and $7.4 million for the years ended December 31, 2025, 2024 and 2023, respectively.</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income tax benefit related to the stock-based compensation expenses was $11.8 million, $11.6 million and $11.0 million for the years ended December 31, 2025, 2024 and 2023, respectively. The tax benefit realized from stock-based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vested or exercised was $3.6 million, $5.2 million, and $5.9 million for the years ended December 31, 2025, 2024 and 2023, respectively. As of December 31, 2025, the Company had unrecognized stock-based compensation expenses of $15.4 million, $95.0 million, $3.0 million, and $0.3 million related to options, RSUs, PRSUs, and ESPP, respectively, which are expected to be recognized over weighted-average periods of 2.4 years, 2.9 years, 1.1 years, and 0.1 years,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Company's share repurchase program was authorized by the board of directors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62"/>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6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Announcement Date</w:t>
            </w:r>
          </w:p>
        </w:tc>
        <w:tc>
          <w:tcPr>
            <w:tcW w:w="140" w:type="dxa"/>
            <w:vAlign w:val="bottom"/>
          </w:tcPr>
          <w:p>
            <w:pPr>
              <w:spacing w:after="0"/>
              <w:rPr>
                <w:sz w:val="23"/>
                <w:szCs w:val="23"/>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Dollar Value</w:t>
            </w:r>
            <w:r>
              <w:rPr>
                <w:rFonts w:ascii="Times New Roman" w:cs="Times New Roman" w:eastAsia="Times New Roman" w:hAnsi="Times New Roman"/>
                <w:sz w:val="23"/>
                <w:szCs w:val="23"/>
                <w:b w:val="1"/>
                <w:bCs w:val="1"/>
                <w:color w:val="auto"/>
                <w:w w:val="94"/>
                <w:vertAlign w:val="superscript"/>
              </w:rPr>
              <w:t>(1)</w:t>
            </w:r>
          </w:p>
        </w:tc>
      </w:tr>
      <w:tr>
        <w:trPr>
          <w:trHeight w:val="237"/>
        </w:trPr>
        <w:tc>
          <w:tcPr>
            <w:tcW w:w="9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12,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30, 2018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30, 2019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2020</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10, 2021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4, 2022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9, 2023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6, 2025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 of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Does not reflect the $200.0 million increase to the share repurchase program announced on February 5, 2026.</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original cost of additional paid-in capital per share of identified issuances. The remaining amount is allocated to accumulated deficit.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5, 2026, the Company announced that its board of directors authorized an additional $200.0 million under the share repurchase program, increasing the total amount of authorized repurchase to $1.6 billion.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repurchased 1.4 million shares, 1.0 million shares and 1.3 million shares of its common stock for $182.9 million, $140.3 million and $170.8 million, respectively. As of December 31, 2025, $160.5 million remained available for share repurchases pursuant to the Company's share repurchase program.</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Excise tax on stock repurchases net of issue was immaterial to the Company's financial results and cash flows for the years ended December 31, 2025 and 2024 and the Company's financial position as of December 31, 2025 and 2024.</w:t>
      </w:r>
    </w:p>
    <w:p>
      <w:pPr>
        <w:spacing w:after="0" w:line="3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Employee Benefits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For the years ended December 31, 2025, 2024 and 2023, the Company made contributions to the 401(k) Plan of $4.5 million, $4.4 million and $4.1 million,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For the years ended December 31, 2025, 2024 and 2023, the Company contributed $4.0 million, $3.2 million and $2.3 million, respectively, to those plans.</w:t>
      </w:r>
    </w:p>
    <w:p>
      <w:pPr>
        <w:spacing w:after="0" w:line="3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permanently extends and modifies certain domestic and international provisions from the 2017 Tax Cuts and Jobs Act (“TCJA”) and phases out certain provisions from the 2022 Inflation Reduction Act. Beginning in 2025, the OBBBA provides an elective deduction for domestic research and development expenses and a reinstatement of elective 100% first-year bonus depreciation. Some international provisions of the OBBBA will not be effective until 2026 and forward. The Company has recognized the effects of the OBBBA provisions in its financial results to the extent they are applicable to the year ended December 31, 2025. The Company will continue to monitor the impact of the OBBBA and the range of potential outcomes, which will depend on facts in each year and anticipated guidance from the U.S. Department of the Treasury.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geographical breakdown of income before income taxes is as follows:</w:t>
      </w:r>
    </w:p>
    <w:p>
      <w:pPr>
        <w:spacing w:after="0" w:line="275"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7340"/>
        <w:spacing w:after="0"/>
        <w:tabs>
          <w:tab w:leader="none" w:pos="882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2343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Domestic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374"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Income tax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164,958</w:t>
            </w:r>
          </w:p>
        </w:tc>
      </w:tr>
      <w:tr>
        <w:trPr>
          <w:trHeight w:val="270"/>
        </w:trPr>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w:t>
            </w:r>
          </w:p>
        </w:tc>
      </w:tr>
      <w:tr>
        <w:trPr>
          <w:trHeight w:val="27"/>
        </w:trPr>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178,651</w:t>
            </w:r>
          </w:p>
        </w:tc>
      </w:tr>
      <w:tr>
        <w:trPr>
          <w:trHeight w:val="27"/>
        </w:trPr>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-213995</wp:posOffset>
            </wp:positionV>
            <wp:extent cx="712343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000" w:val="left"/>
          <w:tab w:leader="none" w:pos="35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79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36830</wp:posOffset>
            </wp:positionV>
            <wp:extent cx="712343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6100" w:space="720"/>
            <w:col w:w="44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2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8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adopted ASU 2023-09 to enhance the income taxes disclosures regarding income taxes paid and the rate reconciliation disclosure. See Note 1, "The Company and Summary of Significant Accounting Policies - Recently Adopted Accounting Pronouncements" for additional details on the adoption of ASU 2023-09.</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income taxes paid by the Company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9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9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 India</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 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r>
      <w:tr>
        <w:trPr>
          <w:trHeight w:val="264"/>
        </w:trPr>
        <w:tc>
          <w:tcPr>
            <w:tcW w:w="9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paid during the period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40,886</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cash paid for income taxes was $60.6 million and $34.9 million,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effective income tax rate for the year ended December 31, 2025 differs from the statutory federal income tax rate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7"/>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3"/>
          </w:tcPr>
          <w:p>
            <w:pPr>
              <w:spacing w:after="0"/>
              <w:rPr>
                <w:sz w:val="2"/>
                <w:szCs w:val="2"/>
                <w:color w:val="auto"/>
              </w:rPr>
            </w:pPr>
          </w:p>
        </w:tc>
      </w:tr>
      <w:tr>
        <w:trPr>
          <w:trHeight w:val="277"/>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 (1)</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 border tax effects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740" w:right="20" w:hanging="246"/>
        <w:spacing w:after="0" w:line="282" w:lineRule="auto"/>
        <w:tabs>
          <w:tab w:leader="none" w:pos="7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New York City, New York, Illinois, New Jersey, and Pennsylvania made up the majority (greater than 50 percent) of the tax effect in this category.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reconciliation of the statutory federal income tax rate to the Company’s effective tax rate is as follows:</w:t>
      </w:r>
    </w:p>
    <w:p>
      <w:pPr>
        <w:spacing w:after="0" w:line="21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19970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86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source income</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research and development credit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to return adjustments and Other</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107,046</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94,592</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81,307</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2025. Additionally, due to a lack of sufficient future income of the appropriate character, certain U.S. federal and state deferred tax assets are not more-likely-than-not to be realized. Accordingly, the Company has recorded a valuation allowance of $12.9 million and $12.5 million against such deferred tax assets as of December 31, 2025 and 2024, respectively. The increase in valuation allowance was mainly associated with the California research and development credits generated during the year ended December 31, 2025.</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$19.5 million and $18.4 million, respectively, of California research and development credit carryforwards. California research and development credits are carried forward indefinitely. As of December 31, 2025 and 2024, the Company had zero foreign tax credit carryforwards for both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prior years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 for tax positions of prior years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current year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unrecognized tax benefits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unrecognized tax benefits, if recognized, would impact the income tax provision by $4.6 million, $5.3 million and $6.1 million as of December 31, 2025, 2024 and 2023, respectively. The remaining amount would result in the recognition of a corresponding deferred tax asset that is then offset by a full valuation allowance. The Company has elected to include interest and penalties as a component of income tax expense. The amounts were not material for the years ended December 31, 2025, 2024 and 2023.</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including various state jurisdictions. The Company’s subsidiaries file tax returns in India and various other foreign jurisdictions. The tax years 2001 through 2024 still remain open to examination by certain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income tax provision in the period such resolution occurs.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undistributed earnings in certain foreign subsidiaries that the Company has indefinitely reinvested outside the United States. Due to U.S. tax rules related to taxation of foreign earnings, the unrecorded deferred tax liability is immaterial. The Company may be required to pay additional foreign withholding taxes if the Company repatriates those earnings in the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Segment and Geographic Area Information</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ASC 280 </w:t>
      </w:r>
      <w:r>
        <w:rPr>
          <w:rFonts w:ascii="Times New Roman" w:cs="Times New Roman" w:eastAsia="Times New Roman" w:hAnsi="Times New Roman"/>
          <w:sz w:val="18"/>
          <w:szCs w:val="18"/>
          <w:i w:val="1"/>
          <w:iCs w:val="1"/>
          <w:color w:val="auto"/>
        </w:rPr>
        <w:t>Segment Reportin</w:t>
      </w:r>
      <w:r>
        <w:rPr>
          <w:rFonts w:ascii="Times New Roman" w:cs="Times New Roman" w:eastAsia="Times New Roman" w:hAnsi="Times New Roman"/>
          <w:sz w:val="18"/>
          <w:szCs w:val="18"/>
          <w:color w:val="auto"/>
        </w:rPr>
        <w:t>g, operating segments are defined as components of an entity about which separate financial information is evaluated regularly by the chief operating decision maker (“CODM”) in deciding how to allocate resources and in assessing performance. The Company operates in one operating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in assessing performance is the Company’s consolidated net income, as reported on the Consolidated Statements of Operations. The CODM uses net income to monitor actual results against budgeted and prior period operating results for the purpose of evaluating operational efficiency, and to evaluate income generated from the assets in making strategic decisions on organizational resource allocation, as well as to benchmark segment performance against industry competitors.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CODM manages the business using consolidated expense information. The following table sets forth the Company's reported segment revenue, segment profit or loss, and significant segment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(exclusive of stock-based compensation and amortization of intangible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97,198</w:t>
            </w:r>
          </w:p>
        </w:tc>
      </w:tr>
      <w:tr>
        <w:trPr>
          <w:trHeight w:val="225"/>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(exclusive of stock-based compensation and amortization of</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89,281</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(exclusive of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99,457</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(exclusive of 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Other segment items (1)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69,079</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740" w:right="880" w:hanging="246"/>
        <w:spacing w:after="0" w:line="282" w:lineRule="auto"/>
        <w:tabs>
          <w:tab w:leader="none" w:pos="7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income includes interest expense, realized and unrealized gain/loss on foreign exchange transactions, and unrealized loss on non-marketable securities.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 by geographic area, based on the customer's billing address, is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332,315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222,143</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Long-lived assets, which consist of Property and equipment, net and Operating leases - right of use asset, by geographic area,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71,317</w:t>
            </w: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Net Income Per Share</w:t>
            </w: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6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computations for basic and diluted net income per share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potentially dilutive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Potentially dilutive shares not included in the calculation of diluted net income per share because doing so would be anti-dilutive are as follows:</w:t>
      </w:r>
    </w:p>
    <w:p>
      <w:pPr>
        <w:spacing w:after="0" w:line="2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ind w:left="7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87</w:t>
            </w: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2025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2025.</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Grant Thornton LLP, an independent registered public accounting firm, as stated in its report, which is included in Item 8 of this Annual Report on Form 10-K.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fourth quarter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Proxy Statement for our 2026 Annual Meeting of Stockholders to be filed with the SEC within 120 days after the end of the fiscal year ended December 31,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Codes of Business Conduct and Ethics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at www.qualys.com.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1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to be filed with the SEC within 120 days after the end of the fiscal year ended December 31, 2025.</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403 of Regulation S-K regarding security ownership of certain beneficial owners and management is incorporated by reference to our Proxy Statement for our 2026 Annual Meeting of Stockholders to be filed with the SEC within 120 days after the end of the fiscal year ended December 31, 2025.</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2025. All outstanding awards relate to our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 Number of</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 Number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(b) Weighted-</w:t>
            </w: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3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20" w:type="dxa"/>
            <w:vAlign w:val="bottom"/>
          </w:tcPr>
          <w:p>
            <w:pPr>
              <w:spacing w:after="0"/>
              <w:rPr>
                <w:sz w:val="20"/>
                <w:szCs w:val="20"/>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Column (a))</w:t>
            </w:r>
          </w:p>
        </w:tc>
      </w:tr>
      <w:tr>
        <w:trPr>
          <w:trHeight w:val="27"/>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3"/>
                <w:szCs w:val="23"/>
                <w:color w:val="auto"/>
                <w:vertAlign w:val="superscript"/>
              </w:rPr>
              <w:t>(1)</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2,334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127.50 (3)</w:t>
            </w: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 (4)</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Amended and Restated 2012 Equity Incentive Plan (Restated 2012 Plan) and 2021 Employee Stock Purchase Plan (ESPP).</w:t>
      </w:r>
    </w:p>
    <w:p>
      <w:pPr>
        <w:spacing w:after="0" w:line="2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1,148 thousand restricted stock units and 1,186 thousand shares underlying stock options.</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hanging="250"/>
        <w:spacing w:after="0" w:line="282" w:lineRule="auto"/>
        <w:tabs>
          <w:tab w:leader="none" w:pos="4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1,681 thousand shares reserved for issuance under our Amended and Restated 2012 Plan and 371 thousand shares reserved for issuance under our ESPP.</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to be filed with the SEC within 120 days after the end of the fiscal year ended December 31, 2025.</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to be filed with the SEC within 120 days after the end of the fiscal year ended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(a)(1) Financial Statements - The financial statements filed as part of this Annual Report on Form 10-K are listed on the Index to Consolidated Financial Statements in Item 8.</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 All financial statement schedules have been omitted since the required information is not applicable or has been included in the consolidated financial statements and accompanying notes included in this Form 10-K.</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760" w:type="dxa"/>
            <w:vAlign w:val="bottom"/>
            <w:tcBorders>
              <w:bottom w:val="single" w:sz="8" w:color="auto"/>
            </w:tcBorders>
          </w:tcPr>
          <w:p>
            <w:pPr>
              <w:spacing w:after="0"/>
              <w:rPr>
                <w:sz w:val="20"/>
                <w:szCs w:val="20"/>
                <w:color w:val="auto"/>
              </w:rPr>
            </w:pPr>
          </w:p>
        </w:tc>
      </w:tr>
      <w:tr>
        <w:trPr>
          <w:trHeight w:val="198"/>
        </w:trPr>
        <w:tc>
          <w:tcPr>
            <w:tcW w:w="1340" w:type="dxa"/>
            <w:vAlign w:val="bottom"/>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760" w:type="dxa"/>
            <w:vAlign w:val="bottom"/>
          </w:tcPr>
          <w:p>
            <w:pPr>
              <w:spacing w:after="0"/>
              <w:rPr>
                <w:sz w:val="17"/>
                <w:szCs w:val="17"/>
                <w:color w:val="auto"/>
              </w:rPr>
            </w:pPr>
          </w:p>
        </w:tc>
      </w:tr>
      <w:tr>
        <w:trPr>
          <w:trHeight w:val="255"/>
        </w:trPr>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Number</w:t>
            </w:r>
          </w:p>
        </w:tc>
        <w:tc>
          <w:tcPr>
            <w:tcW w:w="42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File No.</w:t>
            </w: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No.</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r>
      <w:tr>
        <w:trPr>
          <w:trHeight w:val="405"/>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Certificate of Incorporation of</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8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Qualys, Inc.</w:t>
              </w:r>
            </w:hyperlink>
          </w:p>
        </w:tc>
        <w:tc>
          <w:tcPr>
            <w:tcW w:w="34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12,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Certificate of Amendment to the Amended and Restated</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04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Certificate of Incorporation of Qualys, Inc.</w:t>
              </w:r>
            </w:hyperlink>
          </w:p>
        </w:tc>
        <w:tc>
          <w:tcPr>
            <w:tcW w:w="180" w:type="dxa"/>
            <w:vAlign w:val="bottom"/>
            <w:gridSpan w:val="7"/>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16, 2025</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Bylaws of Qualys, Inc.</w:t>
              </w:r>
            </w:hyperlink>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 2022</w:t>
            </w: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336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common stock certificate.</w:t>
              </w:r>
            </w:hyperlink>
          </w:p>
        </w:tc>
        <w:tc>
          <w:tcPr>
            <w:tcW w:w="86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4.2</w:t>
            </w:r>
          </w:p>
        </w:tc>
        <w:tc>
          <w:tcPr>
            <w:tcW w:w="2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Description of Registrant’s securities</w:t>
              </w:r>
            </w:hyperlink>
          </w:p>
        </w:tc>
        <w:tc>
          <w:tcPr>
            <w:tcW w:w="1560" w:type="dxa"/>
            <w:vAlign w:val="bottom"/>
            <w:gridSpan w:val="15"/>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2020</w:t>
            </w: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w:t>
            </w:r>
          </w:p>
        </w:tc>
        <w:tc>
          <w:tcPr>
            <w:tcW w:w="4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2000 Equity Incentive Plan, as amended, and the form of</w:t>
              </w:r>
            </w:hyperlink>
          </w:p>
        </w:tc>
        <w:tc>
          <w:tcPr>
            <w:tcW w:w="12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stock option agreement thereunder.</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10.2*</w:t>
            </w:r>
          </w:p>
        </w:tc>
        <w:tc>
          <w:tcPr>
            <w:tcW w:w="4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Qualys, Inc. 2012 Equity Incentive Plan, as amended and</w:t>
              </w:r>
            </w:hyperlink>
          </w:p>
        </w:tc>
        <w:tc>
          <w:tcPr>
            <w:tcW w:w="10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29">
              <w:r>
                <w:rPr>
                  <w:rFonts w:ascii="Times New Roman" w:cs="Times New Roman" w:eastAsia="Times New Roman" w:hAnsi="Times New Roman"/>
                  <w:sz w:val="18"/>
                  <w:szCs w:val="18"/>
                  <w:color w:val="0000FF"/>
                  <w:w w:val="96"/>
                </w:rPr>
                <w:t>restated</w:t>
              </w:r>
            </w:hyperlink>
          </w:p>
        </w:tc>
        <w:tc>
          <w:tcPr>
            <w:tcW w:w="3660" w:type="dxa"/>
            <w:vAlign w:val="bottom"/>
            <w:gridSpan w:val="22"/>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13, 2024</w:t>
            </w: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10.3*</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Qualys, Inc. 2021 Employee Stock Purchase Plan</w:t>
              </w:r>
            </w:hyperlink>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2021</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4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Offer Letter, between Qualys, Inc. and Sumedh S. Thakar,</w:t>
              </w:r>
            </w:hyperlink>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dated January 20, 2003.</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10.5*</w:t>
            </w:r>
          </w:p>
        </w:tc>
        <w:tc>
          <w:tcPr>
            <w:tcW w:w="41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Offer Letter, between Qualys, Inc. and Joo Mi Kim, dated</w:t>
              </w:r>
            </w:hyperlink>
          </w:p>
        </w:tc>
        <w:tc>
          <w:tcPr>
            <w:tcW w:w="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May 21, 2020.</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26, 2020</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10.6*</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Offer Letter, between Qualys, Inc. and Bruce K. Posey,</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9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dated May 8, 2012.</w:t>
              </w:r>
            </w:hyperlink>
          </w:p>
        </w:tc>
        <w:tc>
          <w:tcPr>
            <w:tcW w:w="26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10.7*</w:t>
            </w:r>
          </w:p>
        </w:tc>
        <w:tc>
          <w:tcPr>
            <w:tcW w:w="4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Form of Stock Option Agreement under the 2012 Equity</w:t>
              </w:r>
            </w:hyperlink>
          </w:p>
        </w:tc>
        <w:tc>
          <w:tcPr>
            <w:tcW w:w="14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Incentive Plan, as amended and restated</w:t>
              </w:r>
            </w:hyperlink>
          </w:p>
        </w:tc>
        <w:tc>
          <w:tcPr>
            <w:tcW w:w="134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6, 2024</w:t>
            </w:r>
          </w:p>
        </w:tc>
      </w:tr>
      <w:tr>
        <w:trPr>
          <w:trHeight w:val="520"/>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10.8*</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Stock Unit Agreement under the 2012</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Equity Incentive Plan, as amended and restated</w:t>
              </w:r>
            </w:hyperlink>
          </w:p>
        </w:tc>
        <w:tc>
          <w:tcPr>
            <w:tcW w:w="740" w:type="dxa"/>
            <w:vAlign w:val="bottom"/>
            <w:tcBorders>
              <w:top w:val="single" w:sz="8" w:color="0000FF"/>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6, 2024</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Number</w:t>
            </w:r>
          </w:p>
        </w:tc>
        <w:tc>
          <w:tcPr>
            <w:tcW w:w="422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rPr>
              <w:t>Description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File No.</w:t>
            </w: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No.</w:t>
            </w:r>
          </w:p>
        </w:tc>
        <w:tc>
          <w:tcPr>
            <w:tcW w:w="1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459"/>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10.9*</w:t>
            </w:r>
          </w:p>
        </w:tc>
        <w:tc>
          <w:tcPr>
            <w:tcW w:w="3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of Performance-Based Restricted Stock Unit</w:t>
              </w:r>
            </w:hyperlink>
          </w:p>
        </w:tc>
        <w:tc>
          <w:tcPr>
            <w:tcW w:w="58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Agreement for Executives under the 2012 Equity</w:t>
              </w:r>
            </w:hyperlink>
          </w:p>
        </w:tc>
        <w:tc>
          <w:tcPr>
            <w:tcW w:w="6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5"/>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Incentive Plan, dated October 28, 2021</w:t>
              </w:r>
            </w:hyperlink>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February 22, 2022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10.10*</w:t>
            </w:r>
          </w:p>
        </w:tc>
        <w:tc>
          <w:tcPr>
            <w:tcW w:w="422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director and executive officer indemnification</w:t>
              </w:r>
            </w:hyperlink>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92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w:t>
              </w:r>
            </w:hyperlink>
          </w:p>
        </w:tc>
        <w:tc>
          <w:tcPr>
            <w:tcW w:w="3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August 10, 2012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10.11*#</w:t>
            </w:r>
          </w:p>
        </w:tc>
        <w:tc>
          <w:tcPr>
            <w:tcW w:w="4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Qualys, Inc. Executive Severance Policy, effective as of</w:t>
            </w:r>
          </w:p>
        </w:tc>
        <w:tc>
          <w:tcPr>
            <w:tcW w:w="200" w:type="dxa"/>
            <w:vAlign w:val="bottom"/>
            <w:gridSpan w:val="2"/>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4220" w:type="dxa"/>
            <w:vAlign w:val="bottom"/>
            <w:gridSpan w:val="2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October 30, 2025</w:t>
            </w: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40" w:type="dxa"/>
            <w:vAlign w:val="bottom"/>
          </w:tcPr>
          <w:p>
            <w:pPr>
              <w:spacing w:after="0"/>
              <w:rPr>
                <w:sz w:val="5"/>
                <w:szCs w:val="5"/>
                <w:color w:val="auto"/>
              </w:rPr>
            </w:pPr>
          </w:p>
        </w:tc>
        <w:tc>
          <w:tcPr>
            <w:tcW w:w="4220" w:type="dxa"/>
            <w:vAlign w:val="bottom"/>
            <w:gridSpan w:val="25"/>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10.12*</w:t>
            </w:r>
          </w:p>
        </w:tc>
        <w:tc>
          <w:tcPr>
            <w:tcW w:w="422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Qualys, Inc. Executive Performance Bonus Plan.</w:t>
              </w:r>
            </w:hyperlink>
          </w:p>
        </w:tc>
        <w:tc>
          <w:tcPr>
            <w:tcW w:w="9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Schedule</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14A,</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Appendix</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April 25, 2016</w:t>
            </w:r>
          </w:p>
        </w:tc>
        <w:tc>
          <w:tcPr>
            <w:tcW w:w="0" w:type="dxa"/>
            <w:vAlign w:val="bottom"/>
          </w:tcPr>
          <w:p>
            <w:pPr>
              <w:spacing w:after="0"/>
              <w:rPr>
                <w:sz w:val="1"/>
                <w:szCs w:val="1"/>
                <w:color w:val="auto"/>
              </w:rPr>
            </w:pPr>
          </w:p>
        </w:tc>
      </w:tr>
      <w:tr>
        <w:trPr>
          <w:trHeight w:val="445"/>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10.13*#</w:t>
            </w:r>
          </w:p>
        </w:tc>
        <w:tc>
          <w:tcPr>
            <w:tcW w:w="2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Qualys, Inc. 2025 Corporate Bonus Plan.</w:t>
            </w:r>
          </w:p>
        </w:tc>
        <w:tc>
          <w:tcPr>
            <w:tcW w:w="126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10.14*</w:t>
            </w:r>
          </w:p>
        </w:tc>
        <w:tc>
          <w:tcPr>
            <w:tcW w:w="422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Qualys, Inc. Non-Employee Director Compensation</w:t>
              </w:r>
            </w:hyperlink>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Program, as amended on October 30, 2024.</w:t>
              </w:r>
            </w:hyperlink>
          </w:p>
        </w:tc>
        <w:tc>
          <w:tcPr>
            <w:tcW w:w="620" w:type="dxa"/>
            <w:vAlign w:val="bottom"/>
            <w:tcBorders>
              <w:top w:val="single" w:sz="8" w:color="0000FF"/>
            </w:tcBorders>
            <w:gridSpan w:val="6"/>
          </w:tcPr>
          <w:p>
            <w:pPr>
              <w:spacing w:after="0"/>
              <w:rPr>
                <w:sz w:val="17"/>
                <w:szCs w:val="17"/>
                <w:color w:val="auto"/>
              </w:rPr>
            </w:pPr>
          </w:p>
        </w:tc>
        <w:tc>
          <w:tcPr>
            <w:tcW w:w="4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February 21, 2025</w:t>
            </w: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10.15</w:t>
            </w:r>
          </w:p>
        </w:tc>
        <w:tc>
          <w:tcPr>
            <w:tcW w:w="3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Lease Agreement, between Qualys, Inc. and Hudson</w:t>
              </w:r>
            </w:hyperlink>
          </w:p>
        </w:tc>
        <w:tc>
          <w:tcPr>
            <w:tcW w:w="44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5"/>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Metro Center, LLC, dated October 14, 2016.</w:t>
              </w:r>
            </w:hyperlink>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October 19, 2016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10.16</w:t>
            </w:r>
          </w:p>
        </w:tc>
        <w:tc>
          <w:tcPr>
            <w:tcW w:w="4220" w:type="dxa"/>
            <w:vAlign w:val="bottom"/>
            <w:gridSpan w:val="2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Lease Agreement, First Amendment, between Qualys,</w:t>
              </w:r>
            </w:hyperlink>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90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Inc. and Hudson Metro Center, LLC, dated March 17,</w:t>
              </w:r>
            </w:hyperlink>
          </w:p>
        </w:tc>
        <w:tc>
          <w:tcPr>
            <w:tcW w:w="3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42">
              <w:r>
                <w:rPr>
                  <w:rFonts w:ascii="Times New Roman" w:cs="Times New Roman" w:eastAsia="Times New Roman" w:hAnsi="Times New Roman"/>
                  <w:sz w:val="18"/>
                  <w:szCs w:val="18"/>
                  <w:color w:val="0000FF"/>
                  <w:w w:val="93"/>
                </w:rPr>
                <w:t>2017.</w:t>
              </w:r>
            </w:hyperlink>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August 5, 2025</w:t>
            </w: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10.17</w:t>
            </w:r>
          </w:p>
        </w:tc>
        <w:tc>
          <w:tcPr>
            <w:tcW w:w="422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Lease Agreement, Second Amendment, between Qualys,</w:t>
              </w:r>
            </w:hyperlink>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1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 and Hudson Metro Center, LLC, dated April 30,</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43">
              <w:r>
                <w:rPr>
                  <w:rFonts w:ascii="Times New Roman" w:cs="Times New Roman" w:eastAsia="Times New Roman" w:hAnsi="Times New Roman"/>
                  <w:sz w:val="18"/>
                  <w:szCs w:val="18"/>
                  <w:color w:val="0000FF"/>
                  <w:w w:val="93"/>
                </w:rPr>
                <w:t>2025.</w:t>
              </w:r>
            </w:hyperlink>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August 5, 2025</w:t>
            </w: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19.1</w:t>
            </w:r>
          </w:p>
        </w:tc>
        <w:tc>
          <w:tcPr>
            <w:tcW w:w="35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Qualys Inc. Insider Trading Policy, effective as of</w:t>
              </w:r>
            </w:hyperlink>
          </w:p>
        </w:tc>
        <w:tc>
          <w:tcPr>
            <w:tcW w:w="64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February 24, 2023</w:t>
              </w:r>
            </w:hyperlink>
          </w:p>
        </w:tc>
        <w:tc>
          <w:tcPr>
            <w:tcW w:w="290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19.10</w:t>
            </w:r>
          </w:p>
        </w:tc>
        <w:tc>
          <w:tcPr>
            <w:tcW w:w="17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February 21, 2025</w:t>
            </w: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21.1</w:t>
            </w:r>
          </w:p>
        </w:tc>
        <w:tc>
          <w:tcPr>
            <w:tcW w:w="2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List of subsidiaries of Qualys, Inc.</w:t>
            </w:r>
          </w:p>
        </w:tc>
        <w:tc>
          <w:tcPr>
            <w:tcW w:w="1740" w:type="dxa"/>
            <w:vAlign w:val="bottom"/>
            <w:gridSpan w:val="19"/>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23.1</w:t>
            </w:r>
          </w:p>
        </w:tc>
        <w:tc>
          <w:tcPr>
            <w:tcW w:w="4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Consent of Grant Thornton LLP, independent registered</w:t>
            </w:r>
          </w:p>
        </w:tc>
        <w:tc>
          <w:tcPr>
            <w:tcW w:w="200" w:type="dxa"/>
            <w:vAlign w:val="bottom"/>
            <w:gridSpan w:val="2"/>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6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540" w:type="dxa"/>
            <w:vAlign w:val="bottom"/>
            <w:gridSpan w:val="20"/>
            <w:vMerge w:val="restart"/>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5"/>
                <w:szCs w:val="5"/>
                <w:color w:val="auto"/>
              </w:rPr>
            </w:pPr>
          </w:p>
        </w:tc>
        <w:tc>
          <w:tcPr>
            <w:tcW w:w="1680" w:type="dxa"/>
            <w:vAlign w:val="bottom"/>
            <w:tcBorders>
              <w:bottom w:val="single" w:sz="8" w:color="0000FF"/>
            </w:tcBorders>
            <w:gridSpan w:val="5"/>
            <w:vMerge w:val="continue"/>
          </w:tcPr>
          <w:p>
            <w:pPr>
              <w:spacing w:after="0"/>
              <w:rPr>
                <w:sz w:val="5"/>
                <w:szCs w:val="5"/>
                <w:color w:val="auto"/>
              </w:rPr>
            </w:pPr>
          </w:p>
        </w:tc>
        <w:tc>
          <w:tcPr>
            <w:tcW w:w="2540" w:type="dxa"/>
            <w:vAlign w:val="bottom"/>
            <w:gridSpan w:val="20"/>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24.1</w:t>
            </w:r>
          </w:p>
        </w:tc>
        <w:tc>
          <w:tcPr>
            <w:tcW w:w="3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Power of Attorney (incorporated by reference to the</w:t>
            </w:r>
          </w:p>
        </w:tc>
        <w:tc>
          <w:tcPr>
            <w:tcW w:w="480" w:type="dxa"/>
            <w:vAlign w:val="bottom"/>
            <w:gridSpan w:val="10"/>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4220" w:type="dxa"/>
            <w:vAlign w:val="bottom"/>
            <w:gridSpan w:val="2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signature page of this Annual Report on Form 10-K)</w:t>
            </w: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4220" w:type="dxa"/>
            <w:vAlign w:val="bottom"/>
            <w:gridSpan w:val="25"/>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80" w:type="dxa"/>
            <w:vAlign w:val="bottom"/>
            <w:gridSpan w:val="16"/>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31.1</w:t>
            </w:r>
          </w:p>
        </w:tc>
        <w:tc>
          <w:tcPr>
            <w:tcW w:w="4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or Rule 15d-14(a) of the Securities Exchange</w:t>
            </w:r>
          </w:p>
        </w:tc>
        <w:tc>
          <w:tcPr>
            <w:tcW w:w="100" w:type="dxa"/>
            <w:vAlign w:val="bottom"/>
            <w:tcBorders>
              <w:top w:val="single" w:sz="8" w:color="0000FF"/>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3980" w:type="dxa"/>
            <w:vAlign w:val="bottom"/>
            <w:gridSpan w:val="21"/>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w:t>
            </w:r>
          </w:p>
        </w:tc>
        <w:tc>
          <w:tcPr>
            <w:tcW w:w="240" w:type="dxa"/>
            <w:vAlign w:val="bottom"/>
            <w:gridSpan w:val="4"/>
            <w:vMerge w:val="restart"/>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40" w:type="dxa"/>
            <w:vAlign w:val="bottom"/>
          </w:tcPr>
          <w:p>
            <w:pPr>
              <w:spacing w:after="0"/>
              <w:rPr>
                <w:sz w:val="5"/>
                <w:szCs w:val="5"/>
                <w:color w:val="auto"/>
              </w:rPr>
            </w:pPr>
          </w:p>
        </w:tc>
        <w:tc>
          <w:tcPr>
            <w:tcW w:w="3980" w:type="dxa"/>
            <w:vAlign w:val="bottom"/>
            <w:tcBorders>
              <w:bottom w:val="single" w:sz="8" w:color="0000FF"/>
            </w:tcBorders>
            <w:gridSpan w:val="21"/>
            <w:vMerge w:val="continue"/>
          </w:tcPr>
          <w:p>
            <w:pPr>
              <w:spacing w:after="0"/>
              <w:rPr>
                <w:sz w:val="5"/>
                <w:szCs w:val="5"/>
                <w:color w:val="auto"/>
              </w:rPr>
            </w:pPr>
          </w:p>
        </w:tc>
        <w:tc>
          <w:tcPr>
            <w:tcW w:w="24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Number</w:t>
            </w:r>
          </w:p>
        </w:tc>
        <w:tc>
          <w:tcPr>
            <w:tcW w:w="4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File No.</w:t>
            </w: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No.</w:t>
            </w:r>
          </w:p>
        </w:tc>
        <w:tc>
          <w:tcPr>
            <w:tcW w:w="1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405"/>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31.2</w:t>
            </w:r>
          </w:p>
        </w:tc>
        <w:tc>
          <w:tcPr>
            <w:tcW w:w="4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w:t>
            </w:r>
          </w:p>
        </w:tc>
        <w:tc>
          <w:tcPr>
            <w:tcW w:w="1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or Rule 15d-14(a) of the Securities Exchange</w:t>
            </w:r>
          </w:p>
        </w:tc>
        <w:tc>
          <w:tcPr>
            <w:tcW w:w="220" w:type="dxa"/>
            <w:vAlign w:val="bottom"/>
            <w:gridSpan w:val="4"/>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3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w:t>
            </w:r>
          </w:p>
        </w:tc>
        <w:tc>
          <w:tcPr>
            <w:tcW w:w="240" w:type="dxa"/>
            <w:vAlign w:val="bottom"/>
            <w:gridSpan w:val="5"/>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5"/>
                <w:szCs w:val="5"/>
                <w:color w:val="auto"/>
              </w:rPr>
            </w:pPr>
          </w:p>
        </w:tc>
        <w:tc>
          <w:tcPr>
            <w:tcW w:w="3980" w:type="dxa"/>
            <w:vAlign w:val="bottom"/>
            <w:tcBorders>
              <w:bottom w:val="single" w:sz="8" w:color="0000FF"/>
            </w:tcBorders>
            <w:gridSpan w:val="5"/>
            <w:vMerge w:val="continue"/>
          </w:tcPr>
          <w:p>
            <w:pPr>
              <w:spacing w:after="0"/>
              <w:rPr>
                <w:sz w:val="5"/>
                <w:szCs w:val="5"/>
                <w:color w:val="auto"/>
              </w:rPr>
            </w:pPr>
          </w:p>
        </w:tc>
        <w:tc>
          <w:tcPr>
            <w:tcW w:w="240" w:type="dxa"/>
            <w:vAlign w:val="bottom"/>
            <w:gridSpan w:val="5"/>
            <w:vMerge w:val="continue"/>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2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32.1</w:t>
            </w:r>
          </w:p>
        </w:tc>
        <w:tc>
          <w:tcPr>
            <w:tcW w:w="4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13a-14(b) or Rule 15d-14(b) of the Securities Exchange</w:t>
            </w:r>
          </w:p>
        </w:tc>
        <w:tc>
          <w:tcPr>
            <w:tcW w:w="80" w:type="dxa"/>
            <w:vAlign w:val="bottom"/>
            <w:tcBorders>
              <w:top w:val="single" w:sz="8" w:color="0000FF"/>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7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and 18 U.S.C. Section 1350 as adopted</w:t>
            </w:r>
          </w:p>
        </w:tc>
        <w:tc>
          <w:tcPr>
            <w:tcW w:w="500" w:type="dxa"/>
            <w:vAlign w:val="bottom"/>
            <w:gridSpan w:val="7"/>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7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32.2</w:t>
            </w:r>
          </w:p>
        </w:tc>
        <w:tc>
          <w:tcPr>
            <w:tcW w:w="4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w:t>
            </w:r>
          </w:p>
        </w:tc>
        <w:tc>
          <w:tcPr>
            <w:tcW w:w="1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13a-14(b) or Rule 15d-14(b) of the Securities Exchange</w:t>
            </w:r>
          </w:p>
        </w:tc>
        <w:tc>
          <w:tcPr>
            <w:tcW w:w="20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7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and 18 U.S.C. Section 1350 as adopted</w:t>
            </w:r>
          </w:p>
        </w:tc>
        <w:tc>
          <w:tcPr>
            <w:tcW w:w="500" w:type="dxa"/>
            <w:vAlign w:val="bottom"/>
            <w:gridSpan w:val="7"/>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7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6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97.1</w:t>
            </w:r>
          </w:p>
        </w:tc>
        <w:tc>
          <w:tcPr>
            <w:tcW w:w="40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Qualys Inc. Compensation Recovery Policy, as adopted</w:t>
              </w:r>
            </w:hyperlink>
          </w:p>
        </w:tc>
        <w:tc>
          <w:tcPr>
            <w:tcW w:w="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on October 26, 2023</w:t>
              </w:r>
            </w:hyperlink>
          </w:p>
        </w:tc>
        <w:tc>
          <w:tcPr>
            <w:tcW w:w="2680" w:type="dxa"/>
            <w:vAlign w:val="bottom"/>
            <w:gridSpan w:val="2"/>
          </w:tcPr>
          <w:p>
            <w:pPr>
              <w:spacing w:after="0"/>
              <w:rPr>
                <w:sz w:val="17"/>
                <w:szCs w:val="17"/>
                <w:color w:val="auto"/>
              </w:rPr>
            </w:pPr>
          </w:p>
        </w:tc>
      </w:tr>
      <w:tr>
        <w:trPr>
          <w:trHeight w:val="48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101.INS</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w:t>
            </w:r>
          </w:p>
        </w:tc>
      </w:tr>
      <w:tr>
        <w:trPr>
          <w:trHeight w:val="216"/>
        </w:trPr>
        <w:tc>
          <w:tcPr>
            <w:tcW w:w="1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r>
      <w:tr>
        <w:trPr>
          <w:trHeight w:val="216"/>
        </w:trPr>
        <w:tc>
          <w:tcPr>
            <w:tcW w:w="1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86"/>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101.SCH</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101.CAL</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86"/>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101.DEF</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101.LAB</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101.PRE</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52" w:lineRule="exact"/>
        <w:rPr>
          <w:sz w:val="20"/>
          <w:szCs w:val="20"/>
          <w:color w:val="auto"/>
        </w:rPr>
      </w:pPr>
    </w:p>
    <w:p>
      <w:pPr>
        <w:ind w:left="1340" w:right="300" w:hanging="947"/>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included as Exhibit 101.</w:t>
      </w:r>
    </w:p>
    <w:p>
      <w:pPr>
        <w:spacing w:after="0" w:line="215" w:lineRule="exact"/>
        <w:rPr>
          <w:rFonts w:ascii="Times New Roman" w:cs="Times New Roman" w:eastAsia="Times New Roman" w:hAnsi="Times New Roman"/>
          <w:sz w:val="18"/>
          <w:szCs w:val="18"/>
          <w:color w:val="auto"/>
        </w:rPr>
      </w:pPr>
    </w:p>
    <w:p>
      <w:pPr>
        <w:ind w:left="1340" w:hanging="19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right"/>
        <w:ind w:right="260"/>
        <w:spacing w:after="0"/>
        <w:tabs>
          <w:tab w:leader="none" w:pos="3380" w:val="left"/>
          <w:tab w:leader="none" w:pos="2140" w:val="left"/>
          <w:tab w:leader="none" w:pos="13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001-35662</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073" w:lineRule="exact"/>
        <w:rPr>
          <w:sz w:val="20"/>
          <w:szCs w:val="20"/>
          <w:color w:val="auto"/>
        </w:rPr>
      </w:pPr>
    </w:p>
    <w:p>
      <w:pPr>
        <w:sectPr>
          <w:pgSz w:w="11900" w:h="16838" w:orient="portrait"/>
          <w:cols w:equalWidth="0" w:num="2">
            <w:col w:w="5500" w:space="480"/>
            <w:col w:w="5240"/>
          </w:cols>
          <w:pgMar w:left="320" w:top="337" w:right="3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00" w:type="dxa"/>
            <w:vAlign w:val="bottom"/>
            <w:tcBorders>
              <w:bottom w:val="single" w:sz="8" w:color="auto"/>
            </w:tcBorders>
          </w:tcPr>
          <w:p>
            <w:pPr>
              <w:spacing w:after="0"/>
              <w:rPr>
                <w:sz w:val="20"/>
                <w:szCs w:val="20"/>
                <w:color w:val="auto"/>
              </w:rPr>
            </w:pPr>
          </w:p>
        </w:tc>
      </w:tr>
      <w:tr>
        <w:trPr>
          <w:trHeight w:val="198"/>
        </w:trPr>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448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600" w:type="dxa"/>
            <w:vAlign w:val="bottom"/>
          </w:tcPr>
          <w:p>
            <w:pPr>
              <w:spacing w:after="0"/>
              <w:rPr>
                <w:sz w:val="17"/>
                <w:szCs w:val="17"/>
                <w:color w:val="auto"/>
              </w:rPr>
            </w:pPr>
          </w:p>
        </w:tc>
      </w:tr>
      <w:tr>
        <w:trPr>
          <w:trHeight w:val="255"/>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4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Description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File No.</w:t>
            </w: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No.</w:t>
            </w:r>
          </w:p>
        </w:tc>
        <w:tc>
          <w:tcPr>
            <w:tcW w:w="1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Filing Date</w:t>
            </w:r>
          </w:p>
        </w:tc>
      </w:tr>
    </w:tbl>
    <w:p>
      <w:pPr>
        <w:spacing w:after="0" w:line="265" w:lineRule="exact"/>
        <w:rPr>
          <w:sz w:val="20"/>
          <w:szCs w:val="20"/>
          <w:color w:val="auto"/>
        </w:rPr>
      </w:pPr>
    </w:p>
    <w:p>
      <w:pPr>
        <w:ind w:left="1340" w:right="5680" w:hanging="202"/>
        <w:spacing w:after="0" w:line="261"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20, 2026.</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QUALYS, INC.</w:t>
      </w:r>
    </w:p>
    <w:p>
      <w:pPr>
        <w:spacing w:after="0" w:line="225" w:lineRule="exact"/>
        <w:rPr>
          <w:sz w:val="20"/>
          <w:szCs w:val="20"/>
          <w:color w:val="auto"/>
        </w:rPr>
      </w:pPr>
    </w:p>
    <w:p>
      <w:pPr>
        <w:ind w:left="58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SUMEDH S.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34290</wp:posOffset>
            </wp:positionV>
            <wp:extent cx="25800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Sumedh S. Thakar</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Sumedh S. Thakar and Joo Mi Kim,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3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 officer)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JOO MI KIM</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P. HANK</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P. Hank</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P. BERQUIST</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P. Berquist</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L. BROOKS</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L. Brooks</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WENDY M. PFEIFFER</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M. Pfeiffer</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KRISTI M. ROGERS</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 M. Rogers</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A. ZANGARDI</w:t>
            </w:r>
          </w:p>
        </w:tc>
        <w:tc>
          <w:tcPr>
            <w:tcW w:w="10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Zangardi</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932"/>
        </w:trPr>
        <w:tc>
          <w:tcPr>
            <w:tcW w:w="2700" w:type="dxa"/>
            <w:vAlign w:val="bottom"/>
          </w:tcPr>
          <w:p>
            <w:pPr>
              <w:spacing w:after="0"/>
              <w:rPr>
                <w:sz w:val="24"/>
                <w:szCs w:val="24"/>
                <w:color w:val="auto"/>
              </w:rPr>
            </w:pPr>
          </w:p>
        </w:tc>
        <w:tc>
          <w:tcPr>
            <w:tcW w:w="6720" w:type="dxa"/>
            <w:vAlign w:val="bottom"/>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8" w:name="page99"/>
    <w:bookmarkEnd w:id="98"/>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68" w:lineRule="exact"/>
        <w:rPr>
          <w:sz w:val="20"/>
          <w:szCs w:val="20"/>
          <w:color w:val="auto"/>
        </w:rPr>
      </w:pPr>
    </w:p>
    <w:p>
      <w:pPr>
        <w:ind w:right="280" w:firstLine="8"/>
        <w:spacing w:after="0" w:line="286" w:lineRule="auto"/>
        <w:tabs>
          <w:tab w:leader="none" w:pos="4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because it both (i) is not material and (ii) would likely cause competitive harm to the registrant if publicly disclosed.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9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&amp; Term</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right="60" w:firstLine="656"/>
        <w:spacing w:after="0" w:line="256" w:lineRule="auto"/>
        <w:tabs>
          <w:tab w:leader="none" w:pos="12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Qualys,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considers it essential to the best interests of its stockholders to foster the continuous employment of key management personnel. The Company recognizes, however, that, the possibility of an involuntary termination of employment, either before or after a Change in Control (as defined in Section 2 hereof), exists and that such possibility, and the uncertainty and questions that it may raise among management, may result in the departure or distraction of management personnel to the detriment of the Company and its stockholders. Therefore, the Company has determined that the Executive Severance Policy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should be adopted to reinforce and encourage the continued attention and dedication of the Company’s Covered Executives to their assigned duties without distraction. Nothing in this Policy shall be construed as creating an express or implied contract of employment and nothing shall alter the “at will” nature of the Covered Executives’ employment with the Company.</w:t>
      </w:r>
    </w:p>
    <w:p>
      <w:pPr>
        <w:spacing w:after="0" w:line="74" w:lineRule="exact"/>
        <w:rPr>
          <w:rFonts w:ascii="Times New Roman" w:cs="Times New Roman" w:eastAsia="Times New Roman" w:hAnsi="Times New Roman"/>
          <w:sz w:val="18"/>
          <w:szCs w:val="18"/>
          <w:color w:val="auto"/>
        </w:rPr>
      </w:pPr>
    </w:p>
    <w:p>
      <w:pPr>
        <w:ind w:firstLine="656"/>
        <w:spacing w:after="0" w:line="254"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Policy will have an initial term of two years commencing on the Effective Date (the “</w:t>
      </w:r>
      <w:r>
        <w:rPr>
          <w:rFonts w:ascii="Times New Roman" w:cs="Times New Roman" w:eastAsia="Times New Roman" w:hAnsi="Times New Roman"/>
          <w:sz w:val="18"/>
          <w:szCs w:val="18"/>
          <w:i w:val="1"/>
          <w:iCs w:val="1"/>
          <w:color w:val="auto"/>
        </w:rPr>
        <w:t>Initial Term</w:t>
      </w:r>
      <w:r>
        <w:rPr>
          <w:rFonts w:ascii="Times New Roman" w:cs="Times New Roman" w:eastAsia="Times New Roman" w:hAnsi="Times New Roman"/>
          <w:sz w:val="18"/>
          <w:szCs w:val="18"/>
          <w:color w:val="auto"/>
        </w:rPr>
        <w:t>”). On the second anniversary of the Effective Date and each anniversary thereafter, this Policy will renew automatically for additional one year terms (each an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unless the Company provides each Covered Executive with written notice of non-renewal at least 60 days prior to the date of automatic renewal.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the foregoing provisions, if a Change in Control occurs when there is less remaining length in the Policy than the length of the applicable Change in Control Protection Period, the term of this Policy will extend automatically through the end of the applicable Change in Control Protection Period following the effective date of the Change in Control. If a Covered Executive becomes entitled to benefits under this Policy during the term of this Policy, the Policy will not terminate until all of the obligations of the parties hereto with respect to this Policy have been satisfied. For clarity, an election by the Company not to renew this Policy for an Additional Term will not be deemed to be a termination of a Covered Executive’s employment without Cause or grounds for a resignation for Good Reason and, accordingly, a Covered Executive will not be eligible for severance benefits set forth herein.</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be defined as set forth below:</w:t>
      </w:r>
    </w:p>
    <w:p>
      <w:pPr>
        <w:spacing w:after="0" w:line="1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Accounting Firm</w:t>
      </w:r>
      <w:r>
        <w:rPr>
          <w:rFonts w:ascii="Times New Roman" w:cs="Times New Roman" w:eastAsia="Times New Roman" w:hAnsi="Times New Roman"/>
          <w:sz w:val="18"/>
          <w:szCs w:val="18"/>
          <w:color w:val="auto"/>
        </w:rPr>
        <w:t>” shall mean a nationally recognized accounting firm selected by the Company.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means the Company’s Compensation and Talent Committee.</w:t>
      </w:r>
    </w:p>
    <w:p>
      <w:pPr>
        <w:spacing w:after="0" w:line="117" w:lineRule="exact"/>
        <w:rPr>
          <w:rFonts w:ascii="Times New Roman" w:cs="Times New Roman" w:eastAsia="Times New Roman" w:hAnsi="Times New Roman"/>
          <w:sz w:val="18"/>
          <w:szCs w:val="18"/>
          <w:color w:val="auto"/>
        </w:rPr>
      </w:pPr>
    </w:p>
    <w:p>
      <w:pPr>
        <w:ind w:right="60" w:firstLine="656"/>
        <w:spacing w:after="0" w:line="261" w:lineRule="auto"/>
        <w:tabs>
          <w:tab w:leader="none" w:pos="12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shall mean the Covered Executive’s annual base salary in effect immediately prior to Date of Termination (or, if the termination is due to a resignation for Good Reason based on a material reduction in Covered Executive’s base salary, then the Covered Executive’s annual base salary in effect immediately prior to the reduction) or, if the Covered Executive’s Date of Termination occurs during the Change in Control Protection Period and the amount is greater, the Covered Executive’s annual base salary in effect immediately prior to the Change in Control.</w:t>
      </w:r>
    </w:p>
    <w:p>
      <w:pPr>
        <w:spacing w:after="0" w:line="71" w:lineRule="exact"/>
        <w:rPr>
          <w:rFonts w:ascii="Times New Roman" w:cs="Times New Roman" w:eastAsia="Times New Roman" w:hAnsi="Times New Roman"/>
          <w:sz w:val="18"/>
          <w:szCs w:val="18"/>
          <w:color w:val="auto"/>
        </w:rPr>
      </w:pPr>
    </w:p>
    <w:p>
      <w:pPr>
        <w:ind w:right="140" w:firstLine="656"/>
        <w:spacing w:after="0" w:line="257"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 (i) indictment or conviction of any felony or of any crime involving dishonesty; (ii) participation in any fraud or act of dishonesty against the Company; (iii) material breach of the Covered Executive’s duties to the Company, including but not limited to unsatisfactory performance of job duties which he fails to correct within thirty (30) days after the Covered Executive is given written notice, if a cure is reasonably possible within said thirty (30)-day period, otherwise such longer period as is reasonably required to effect a cure; (iv) or a violation of Company policy disclosed to the Covered Executive, which causes a material detriment to the Company; (v) intentional damage to any property of the Company; (vi) conduct by the Covered Executive which, in the good faith and reasonable determination of the Company, demonstrates gross unfitness to</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serve; or (vii) material breach of the Covered Executive’s employment agreement or Proprietary Information and Inventions Agreement entered into with the Company.</w:t>
      </w:r>
    </w:p>
    <w:p>
      <w:pPr>
        <w:spacing w:after="0" w:line="5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has the same defined meaning as set forth in the Company’s 2012 Equity Incentive Plan.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Protection Period</w:t>
      </w:r>
      <w:r>
        <w:rPr>
          <w:rFonts w:ascii="Times New Roman" w:cs="Times New Roman" w:eastAsia="Times New Roman" w:hAnsi="Times New Roman"/>
          <w:sz w:val="18"/>
          <w:szCs w:val="18"/>
          <w:color w:val="auto"/>
        </w:rPr>
        <w:t>” shall mean the period set in a Participant’s Participation Agreement.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Executives</w:t>
      </w:r>
      <w:r>
        <w:rPr>
          <w:rFonts w:ascii="Times New Roman" w:cs="Times New Roman" w:eastAsia="Times New Roman" w:hAnsi="Times New Roman"/>
          <w:sz w:val="18"/>
          <w:szCs w:val="18"/>
          <w:color w:val="auto"/>
        </w:rPr>
        <w:t>” shall mean those executives or individuals designated by the Administrator in its discretion to participate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w:t>
      </w:r>
    </w:p>
    <w:p>
      <w:pPr>
        <w:spacing w:after="0" w:line="97" w:lineRule="exact"/>
        <w:rPr>
          <w:sz w:val="20"/>
          <w:szCs w:val="20"/>
          <w:color w:val="auto"/>
        </w:rPr>
      </w:pPr>
    </w:p>
    <w:p>
      <w:pPr>
        <w:ind w:firstLine="656"/>
        <w:spacing w:after="0" w:line="261"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 of Termination</w:t>
      </w:r>
      <w:r>
        <w:rPr>
          <w:rFonts w:ascii="Times New Roman" w:cs="Times New Roman" w:eastAsia="Times New Roman" w:hAnsi="Times New Roman"/>
          <w:sz w:val="18"/>
          <w:szCs w:val="18"/>
          <w:color w:val="auto"/>
        </w:rPr>
        <w:t>” shall mean the date that a Covered Executive’s employment, in any and all capacities, with the Company (or any successor) ends, which date shall be specified in the Notice of Termination. Notwithstanding the foregoing, a Covered Executive’s employment shall not be deemed to have been terminated solely as a result of the Covered Executive becoming an employee of any direct or indirect successor to the business or assets of the Company.</w:t>
      </w:r>
    </w:p>
    <w:p>
      <w:pPr>
        <w:spacing w:after="0" w:line="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has the same defined meaning as set forth in the Company’s 2012 Equity Incentive Plan.</w:t>
      </w:r>
    </w:p>
    <w:p>
      <w:pPr>
        <w:spacing w:after="0" w:line="117" w:lineRule="exact"/>
        <w:rPr>
          <w:rFonts w:ascii="Times New Roman" w:cs="Times New Roman" w:eastAsia="Times New Roman" w:hAnsi="Times New Roman"/>
          <w:sz w:val="18"/>
          <w:szCs w:val="18"/>
          <w:color w:val="auto"/>
        </w:rPr>
      </w:pPr>
    </w:p>
    <w:p>
      <w:pPr>
        <w:ind w:firstLine="656"/>
        <w:spacing w:after="0" w:line="253"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shall mean the Covered Executive’s resignation because the Company, without Executive’s consent: (i) significantly reduces the Covered Executive’s rate of compensation, other than performance or commission based compensation, which is not earned through the Covered Executive’s efforts or lack thereof; (ii) fails to provide the Covered Executive with a package of benefit plans which, taken as a whole, provide substantially similar benefits to those in which the Covered Executive currently is entitled to participate as of the date of the Effective Date (except that employee contributions may be raised to the extent of any costs increases imposed by third parties) or undertakes any action which would adversely affect Executive’s participation or reduce Executive’s benefits under any such plans; (iii) significantly diminishes the Covered Executive’s duties, responsibilities, authority, reporting structure, titles or offices, excluding for this purpose an isolated, insubstantial or inadvertent action not taken in bad faith which is remedied by the Company promptly after notice thereof is given by the Covered Executive; (iv) requests that the Covered Executive relocate to a worksite that is more than thirty-five (35) miles from Executive’s current worksite, unless the Covered Executive accepts such a relocation opportunity; or (v) materially breaches any of the Covered Executive’s obligations under the Covered Executive’s employment agreement or proprietary information and inventions agreement entered into with the Company and fails to correct any such breach within sixty (60) days after the Covered Executive gave the Company written notice.</w:t>
      </w:r>
    </w:p>
    <w:p>
      <w:pPr>
        <w:spacing w:after="0" w:line="81" w:lineRule="exact"/>
        <w:rPr>
          <w:rFonts w:ascii="Times New Roman" w:cs="Times New Roman" w:eastAsia="Times New Roman" w:hAnsi="Times New Roman"/>
          <w:sz w:val="18"/>
          <w:szCs w:val="18"/>
          <w:color w:val="auto"/>
        </w:rPr>
      </w:pPr>
    </w:p>
    <w:p>
      <w:pPr>
        <w:ind w:right="140" w:firstLine="656"/>
        <w:spacing w:after="0" w:line="284"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of Termination</w:t>
      </w:r>
      <w:r>
        <w:rPr>
          <w:rFonts w:ascii="Times New Roman" w:cs="Times New Roman" w:eastAsia="Times New Roman" w:hAnsi="Times New Roman"/>
          <w:sz w:val="18"/>
          <w:szCs w:val="18"/>
          <w:color w:val="auto"/>
        </w:rPr>
        <w:t>” shall mean a written notice which shall indicate the specific termination provision in this Policy relied upon for the termination of a Covered Executive’s employment and the Date of Termination.</w:t>
      </w:r>
    </w:p>
    <w:p>
      <w:pPr>
        <w:spacing w:after="0" w:line="50" w:lineRule="exact"/>
        <w:rPr>
          <w:rFonts w:ascii="Times New Roman" w:cs="Times New Roman" w:eastAsia="Times New Roman" w:hAnsi="Times New Roman"/>
          <w:sz w:val="18"/>
          <w:szCs w:val="18"/>
          <w:color w:val="auto"/>
        </w:rPr>
      </w:pPr>
    </w:p>
    <w:p>
      <w:pPr>
        <w:ind w:right="360" w:firstLine="656"/>
        <w:spacing w:after="0" w:line="284" w:lineRule="auto"/>
        <w:tabs>
          <w:tab w:leader="none" w:pos="12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Participation Agreement</w:t>
      </w:r>
      <w:r>
        <w:rPr>
          <w:rFonts w:ascii="Times New Roman" w:cs="Times New Roman" w:eastAsia="Times New Roman" w:hAnsi="Times New Roman"/>
          <w:sz w:val="18"/>
          <w:szCs w:val="18"/>
          <w:color w:val="auto"/>
        </w:rPr>
        <w:t>” shall mean an agreement between a Covered Executive and the Company that acknowledges the Covered Executive’s participation in the Policy.</w:t>
      </w:r>
    </w:p>
    <w:p>
      <w:pPr>
        <w:spacing w:after="0" w:line="5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Policy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Policy shall be administered by the Administrator.</w:t>
      </w:r>
    </w:p>
    <w:p>
      <w:pPr>
        <w:spacing w:after="0" w:line="117" w:lineRule="exact"/>
        <w:rPr>
          <w:rFonts w:ascii="Times New Roman" w:cs="Times New Roman" w:eastAsia="Times New Roman" w:hAnsi="Times New Roman"/>
          <w:sz w:val="18"/>
          <w:szCs w:val="18"/>
          <w:color w:val="auto"/>
        </w:rPr>
      </w:pPr>
    </w:p>
    <w:p>
      <w:pPr>
        <w:ind w:right="40" w:firstLine="656"/>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all powers necessary to enable it properly to carry out its duties with respect to the complete control of the administration of the Policy. Not in limitation, but in amplification of the foregoing, the Administrator shall have the power and authority in its discretion to:</w:t>
      </w:r>
    </w:p>
    <w:p>
      <w:pPr>
        <w:spacing w:after="0" w:line="67" w:lineRule="exact"/>
        <w:rPr>
          <w:rFonts w:ascii="Times New Roman" w:cs="Times New Roman" w:eastAsia="Times New Roman" w:hAnsi="Times New Roman"/>
          <w:sz w:val="18"/>
          <w:szCs w:val="18"/>
          <w:color w:val="auto"/>
        </w:rPr>
      </w:pPr>
    </w:p>
    <w:p>
      <w:pPr>
        <w:ind w:right="20" w:firstLine="1134"/>
        <w:spacing w:after="0" w:line="266" w:lineRule="auto"/>
        <w:tabs>
          <w:tab w:leader="none" w:pos="134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the Policy to determine all questions that shall arise as to interpretations of the Policy’s provisions, including, but not limited to, determination of which individuals are Covered Executives, the benefits to which any Covered Executives may be entitled, the eligibility requirements for participation in the Policy and all other matters pertaining to the Policy;</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86" w:lineRule="exact"/>
        <w:rPr>
          <w:sz w:val="20"/>
          <w:szCs w:val="20"/>
          <w:color w:val="auto"/>
        </w:rPr>
      </w:pPr>
    </w:p>
    <w:p>
      <w:pPr>
        <w:ind w:left="-332" w:right="140" w:firstLine="1084"/>
        <w:spacing w:after="0" w:line="282" w:lineRule="auto"/>
        <w:tabs>
          <w:tab w:leader="none" w:pos="100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amendments to the Policy which are deemed necessary or desirable to comply with all applicable laws and regulations, including but not limited to Code Section 409A and the guidance thereunder;</w:t>
      </w:r>
    </w:p>
    <w:p>
      <w:pPr>
        <w:spacing w:after="0" w:line="53" w:lineRule="exact"/>
        <w:rPr>
          <w:rFonts w:ascii="Times New Roman" w:cs="Times New Roman" w:eastAsia="Times New Roman" w:hAnsi="Times New Roman"/>
          <w:sz w:val="18"/>
          <w:szCs w:val="18"/>
          <w:color w:val="auto"/>
        </w:rPr>
      </w:pPr>
    </w:p>
    <w:p>
      <w:pPr>
        <w:ind w:left="-332" w:right="840" w:firstLine="1034"/>
        <w:spacing w:after="0" w:line="282" w:lineRule="auto"/>
        <w:tabs>
          <w:tab w:leader="none" w:pos="100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it deems advisable for the administration of the Policy, including the authority and ability to delegate administrative functions to a third party;</w:t>
      </w:r>
    </w:p>
    <w:p>
      <w:pPr>
        <w:spacing w:after="0" w:line="53" w:lineRule="exact"/>
        <w:rPr>
          <w:rFonts w:ascii="Times New Roman" w:cs="Times New Roman" w:eastAsia="Times New Roman" w:hAnsi="Times New Roman"/>
          <w:sz w:val="18"/>
          <w:szCs w:val="18"/>
          <w:color w:val="auto"/>
        </w:rPr>
      </w:pPr>
    </w:p>
    <w:p>
      <w:pPr>
        <w:ind w:left="1008" w:hanging="296"/>
        <w:spacing w:after="0"/>
        <w:tabs>
          <w:tab w:leader="none" w:pos="100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disputes arising in connection with the Policy; and</w:t>
      </w:r>
    </w:p>
    <w:p>
      <w:pPr>
        <w:spacing w:after="0" w:line="117" w:lineRule="exact"/>
        <w:rPr>
          <w:rFonts w:ascii="Times New Roman" w:cs="Times New Roman" w:eastAsia="Times New Roman" w:hAnsi="Times New Roman"/>
          <w:sz w:val="18"/>
          <w:szCs w:val="18"/>
          <w:color w:val="auto"/>
        </w:rPr>
      </w:pPr>
    </w:p>
    <w:p>
      <w:pPr>
        <w:ind w:left="1008" w:hanging="246"/>
        <w:spacing w:after="0"/>
        <w:tabs>
          <w:tab w:leader="none" w:pos="100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supervise the administration of the Policy.</w:t>
      </w:r>
    </w:p>
    <w:p>
      <w:pPr>
        <w:spacing w:after="0" w:line="117" w:lineRule="exact"/>
        <w:rPr>
          <w:rFonts w:ascii="Times New Roman" w:cs="Times New Roman" w:eastAsia="Times New Roman" w:hAnsi="Times New Roman"/>
          <w:sz w:val="18"/>
          <w:szCs w:val="18"/>
          <w:color w:val="auto"/>
        </w:rPr>
      </w:pPr>
    </w:p>
    <w:p>
      <w:pPr>
        <w:ind w:left="968" w:hanging="644"/>
        <w:spacing w:after="0"/>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Covered Executives.</w:t>
      </w:r>
    </w:p>
    <w:p>
      <w:pPr>
        <w:spacing w:after="0" w:line="117" w:lineRule="exact"/>
        <w:rPr>
          <w:rFonts w:ascii="Times New Roman" w:cs="Times New Roman" w:eastAsia="Times New Roman" w:hAnsi="Times New Roman"/>
          <w:sz w:val="18"/>
          <w:szCs w:val="18"/>
          <w:color w:val="auto"/>
        </w:rPr>
      </w:pPr>
    </w:p>
    <w:p>
      <w:pPr>
        <w:ind w:left="-332" w:right="200" w:firstLine="332"/>
        <w:spacing w:after="0" w:line="282"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Covered Executives selected by the Administrator who have executed and submitted to the Company a Participation Agreement, and satisfied such other requirements as may be determined by the Administrator, are eligible to participate in the Policy.</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Benefits Generally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32" w:right="60" w:firstLine="656"/>
        <w:spacing w:after="0" w:line="254" w:lineRule="auto"/>
        <w:tabs>
          <w:tab w:leader="none" w:pos="96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Executive’s employment with the Company is terminated for any reason, the Company shall pay or provide to the Covered Executive any earned but unpaid salary, unpaid expense reimbursements and accrued but unused leave entitlement, if applicable (collectively, the “</w:t>
      </w:r>
      <w:r>
        <w:rPr>
          <w:rFonts w:ascii="Times New Roman" w:cs="Times New Roman" w:eastAsia="Times New Roman" w:hAnsi="Times New Roman"/>
          <w:sz w:val="18"/>
          <w:szCs w:val="18"/>
          <w:i w:val="1"/>
          <w:iCs w:val="1"/>
          <w:color w:val="auto"/>
        </w:rPr>
        <w:t>Accrued Benefits</w:t>
      </w:r>
      <w:r>
        <w:rPr>
          <w:rFonts w:ascii="Times New Roman" w:cs="Times New Roman" w:eastAsia="Times New Roman" w:hAnsi="Times New Roman"/>
          <w:sz w:val="18"/>
          <w:szCs w:val="18"/>
          <w:color w:val="auto"/>
        </w:rPr>
        <w:t>”), within the time required by law but in no event more than 30 days after the Date of Termination. Additionally, in the event the employment of a Covered Executive is terminated by the Company for any reason other than by reason of death, Disability, or for Cause, then with respect to such Covered Executive, in addition to the Accrued Benefits, subject to his or her execution of a separation agreement containing, among other provisions, an effective general release of claims in favor of the Company and related persons and entities, confidentiality, return of property and non-disparagement, in a form and manner satisfactory to the Company by the Covered Executive and the expiration of any revocation period with respect thereto within 60 days of the Date of Termination (the “</w:t>
      </w:r>
      <w:r>
        <w:rPr>
          <w:rFonts w:ascii="Times New Roman" w:cs="Times New Roman" w:eastAsia="Times New Roman" w:hAnsi="Times New Roman"/>
          <w:sz w:val="18"/>
          <w:szCs w:val="18"/>
          <w:i w:val="1"/>
          <w:iCs w:val="1"/>
          <w:color w:val="auto"/>
        </w:rPr>
        <w:t>Release Requirement</w:t>
      </w:r>
      <w:r>
        <w:rPr>
          <w:rFonts w:ascii="Times New Roman" w:cs="Times New Roman" w:eastAsia="Times New Roman" w:hAnsi="Times New Roman"/>
          <w:sz w:val="18"/>
          <w:szCs w:val="18"/>
          <w:color w:val="auto"/>
        </w:rPr>
        <w:t>”), the Company shall pay a Covered Executive the benefits set forth in his or her Participation Agreement.</w:t>
      </w:r>
    </w:p>
    <w:p>
      <w:pPr>
        <w:spacing w:after="0" w:line="80" w:lineRule="exact"/>
        <w:rPr>
          <w:rFonts w:ascii="Times New Roman" w:cs="Times New Roman" w:eastAsia="Times New Roman" w:hAnsi="Times New Roman"/>
          <w:sz w:val="18"/>
          <w:szCs w:val="18"/>
          <w:color w:val="auto"/>
        </w:rPr>
      </w:pPr>
    </w:p>
    <w:p>
      <w:pPr>
        <w:ind w:left="-332" w:right="400" w:firstLine="656"/>
        <w:spacing w:after="0" w:line="266" w:lineRule="auto"/>
        <w:tabs>
          <w:tab w:leader="none" w:pos="9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death or Disability, the Covered Executive may be eligible for accelerated vesting benefits of then-outstanding equity awards in accordance with the terms of the Covered Executive’s equity award agreement(s). Executive’s existing rights set forth in any equity award agreement continue to survive this Policy.</w:t>
      </w:r>
    </w:p>
    <w:p>
      <w:pPr>
        <w:spacing w:after="0" w:line="67" w:lineRule="exact"/>
        <w:rPr>
          <w:rFonts w:ascii="Times New Roman" w:cs="Times New Roman" w:eastAsia="Times New Roman" w:hAnsi="Times New Roman"/>
          <w:sz w:val="18"/>
          <w:szCs w:val="18"/>
          <w:color w:val="auto"/>
        </w:rPr>
      </w:pPr>
    </w:p>
    <w:p>
      <w:pPr>
        <w:ind w:left="-332" w:right="140" w:firstLine="332"/>
        <w:spacing w:after="0" w:line="258"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a Change in Control</w:t>
      </w:r>
      <w:r>
        <w:rPr>
          <w:rFonts w:ascii="Times New Roman" w:cs="Times New Roman" w:eastAsia="Times New Roman" w:hAnsi="Times New Roman"/>
          <w:sz w:val="18"/>
          <w:szCs w:val="18"/>
          <w:color w:val="auto"/>
        </w:rPr>
        <w:t>. In the event the employment of a Covered Executive is terminated (i) by the Company for any reason other than for Cause, or other than by reason of death or Disability, or (ii) by the Covered Executive for Good Reason, and, in each case, such termination occurs during the Change in Control Protection Period, then subject to such Covered Executive’s satisfaction of the Release Requirement, the Company shall provide the same benefits in Section 5 of this Policy and also additional benefits set forth in the Covered Executive’s Participation Agreement.</w:t>
      </w:r>
    </w:p>
    <w:p>
      <w:pPr>
        <w:spacing w:after="0" w:line="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32" w:firstLine="656"/>
        <w:spacing w:after="0" w:line="253" w:lineRule="auto"/>
        <w:tabs>
          <w:tab w:leader="none" w:pos="96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Policy to the contrary notwithstanding, in the event that the amount of any compensation, payment or distribution by the Company to or for the benefit of the Covered Executive, whether paid or payable or distributed or distributable pursuant to the terms of this Policy or otherwise, calculated in a manner consistent with Section 280G of the Code and the applicable regulations thereunder (the “</w:t>
      </w:r>
      <w:r>
        <w:rPr>
          <w:rFonts w:ascii="Times New Roman" w:cs="Times New Roman" w:eastAsia="Times New Roman" w:hAnsi="Times New Roman"/>
          <w:sz w:val="18"/>
          <w:szCs w:val="18"/>
          <w:i w:val="1"/>
          <w:iCs w:val="1"/>
          <w:color w:val="auto"/>
        </w:rPr>
        <w:t>Aggregate Payments</w:t>
      </w:r>
      <w:r>
        <w:rPr>
          <w:rFonts w:ascii="Times New Roman" w:cs="Times New Roman" w:eastAsia="Times New Roman" w:hAnsi="Times New Roman"/>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shall only occur if it would result in the Covered Executive receiving a higher After Tax Amount (as defined below) than the Covered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w:t>
      </w:r>
    </w:p>
    <w:p>
      <w:pPr>
        <w:sectPr>
          <w:pgSz w:w="11900" w:h="16838" w:orient="portrait"/>
          <w:cols w:equalWidth="0" w:num="1">
            <w:col w:w="10888"/>
          </w:cols>
          <w:pgMar w:left="652" w:top="1440" w:right="359" w:bottom="1440" w:gutter="0" w:footer="0" w:header="0"/>
        </w:sectPr>
      </w:pPr>
    </w:p>
    <w:bookmarkStart w:id="101" w:name="page102"/>
    <w:bookmarkEnd w:id="101"/>
    <w:p>
      <w:pPr>
        <w:spacing w:after="0" w:line="8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amounts or payments that are not subject to calculation under Treas. Reg. §1.280G-1, Q&amp;A-24(b) or (c) shall be reduced before any amounts that are subject to calculation under Treas. Reg. §1.280G-1, Q&amp;A-24(b) or (c). For purposes of this Section, “</w:t>
      </w:r>
      <w:r>
        <w:rPr>
          <w:rFonts w:ascii="Times New Roman" w:cs="Times New Roman" w:eastAsia="Times New Roman" w:hAnsi="Times New Roman"/>
          <w:sz w:val="18"/>
          <w:szCs w:val="18"/>
          <w:i w:val="1"/>
          <w:iCs w:val="1"/>
          <w:color w:val="auto"/>
        </w:rPr>
        <w:t>Threshold Amount</w:t>
      </w:r>
      <w:r>
        <w:rPr>
          <w:rFonts w:ascii="Times New Roman" w:cs="Times New Roman" w:eastAsia="Times New Roman" w:hAnsi="Times New Roman"/>
          <w:sz w:val="18"/>
          <w:szCs w:val="18"/>
          <w:color w:val="auto"/>
        </w:rPr>
        <w:t>” shall mean three times the Covered Executive’s “base amount” within the meaning of Section 280G(b)(3) of the Code and the regulations thereunder, less one dollar.</w:t>
      </w:r>
    </w:p>
    <w:p>
      <w:pPr>
        <w:spacing w:after="0" w:line="66" w:lineRule="exact"/>
        <w:rPr>
          <w:sz w:val="20"/>
          <w:szCs w:val="20"/>
          <w:color w:val="auto"/>
        </w:rPr>
      </w:pPr>
    </w:p>
    <w:p>
      <w:pPr>
        <w:ind w:right="60" w:firstLine="656"/>
        <w:spacing w:after="0" w:line="257"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the “</w:t>
      </w:r>
      <w:r>
        <w:rPr>
          <w:rFonts w:ascii="Times New Roman" w:cs="Times New Roman" w:eastAsia="Times New Roman" w:hAnsi="Times New Roman"/>
          <w:sz w:val="18"/>
          <w:szCs w:val="18"/>
          <w:i w:val="1"/>
          <w:iCs w:val="1"/>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at the highest marginal rates of individual taxation in each applicable state and locality, net of the maximum reduction in federal income taxes which could be obtained from deduction of such state and local taxes.</w:t>
      </w:r>
    </w:p>
    <w:p>
      <w:pPr>
        <w:spacing w:after="0" w:line="76" w:lineRule="exact"/>
        <w:rPr>
          <w:rFonts w:ascii="Times New Roman" w:cs="Times New Roman" w:eastAsia="Times New Roman" w:hAnsi="Times New Roman"/>
          <w:sz w:val="18"/>
          <w:szCs w:val="18"/>
          <w:color w:val="auto"/>
        </w:rPr>
      </w:pPr>
    </w:p>
    <w:p>
      <w:pPr>
        <w:ind w:firstLine="656"/>
        <w:spacing w:after="0" w:line="261" w:lineRule="auto"/>
        <w:tabs>
          <w:tab w:leader="none" w:pos="12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7(a) shall be made by the Accounting Firm,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Covered Executive.</w:t>
      </w:r>
    </w:p>
    <w:p>
      <w:pPr>
        <w:spacing w:after="0" w:line="71" w:lineRule="exact"/>
        <w:rPr>
          <w:rFonts w:ascii="Times New Roman" w:cs="Times New Roman" w:eastAsia="Times New Roman" w:hAnsi="Times New Roman"/>
          <w:sz w:val="18"/>
          <w:szCs w:val="18"/>
          <w:color w:val="auto"/>
        </w:rPr>
      </w:pPr>
    </w:p>
    <w:p>
      <w:pPr>
        <w:ind w:right="40" w:firstLine="332"/>
        <w:spacing w:after="0" w:line="261"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 and Inventions Agreement</w:t>
      </w:r>
      <w:r>
        <w:rPr>
          <w:rFonts w:ascii="Times New Roman" w:cs="Times New Roman" w:eastAsia="Times New Roman" w:hAnsi="Times New Roman"/>
          <w:sz w:val="18"/>
          <w:szCs w:val="18"/>
          <w:color w:val="auto"/>
        </w:rPr>
        <w:t>. As a condition to participating in the Policy, each Covered Executive shall continue to comply with the terms and conditions contained in the Proprietary Information and Inventions Agreement entered into between the Covered Executive and the Company. If a Covered Executive has not entered into a Proprietary Information and Inventions Agreement or similar agreement with the Company, he or she shall enter into such agreement prior to participating in the Policy.</w:t>
      </w:r>
    </w:p>
    <w:p>
      <w:pPr>
        <w:spacing w:after="0" w:line="71" w:lineRule="exact"/>
        <w:rPr>
          <w:rFonts w:ascii="Times New Roman" w:cs="Times New Roman" w:eastAsia="Times New Roman" w:hAnsi="Times New Roman"/>
          <w:sz w:val="18"/>
          <w:szCs w:val="18"/>
          <w:color w:val="auto"/>
        </w:rPr>
      </w:pPr>
    </w:p>
    <w:p>
      <w:pPr>
        <w:ind w:right="320" w:firstLine="332"/>
        <w:spacing w:after="0" w:line="282"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by the Company under this Policy shall be subject to any tax or other amounts required to be withheld by the Company under applicable law.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656"/>
        <w:spacing w:after="0" w:line="254" w:lineRule="auto"/>
        <w:tabs>
          <w:tab w:leader="none" w:pos="12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Policy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Policy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80" w:lineRule="exact"/>
        <w:rPr>
          <w:rFonts w:ascii="Times New Roman" w:cs="Times New Roman" w:eastAsia="Times New Roman" w:hAnsi="Times New Roman"/>
          <w:sz w:val="18"/>
          <w:szCs w:val="18"/>
          <w:color w:val="auto"/>
        </w:rPr>
      </w:pPr>
    </w:p>
    <w:p>
      <w:pPr>
        <w:ind w:right="60" w:firstLine="656"/>
        <w:spacing w:after="0" w:line="255"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Policy will be administered in accordance with Section 409A of the Code and that all amounts payable hereunder shall be exempt from the requirements of such section as a result of being “short term deferrals” for purposes of Section 409A of the Code to the greatest extent possible. To the extent that any provision of this Policy is not exempt from Section 409A of the Code and ambiguous as to its compliance with Section 409A of the Code, the provision shall be read in such a manner to comply with Section 409A of the Code. Each payment pursuant to this Policy is intended to constitute a separate payment for purposes of Treasury Regulation Section 1.409A-2(b)(2). The parties agree that this Policy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0" w:lineRule="exact"/>
        <w:rPr>
          <w:rFonts w:ascii="Times New Roman" w:cs="Times New Roman" w:eastAsia="Times New Roman" w:hAnsi="Times New Roman"/>
          <w:sz w:val="18"/>
          <w:szCs w:val="18"/>
          <w:color w:val="auto"/>
        </w:rPr>
      </w:pPr>
    </w:p>
    <w:p>
      <w:pPr>
        <w:ind w:right="80" w:firstLine="656"/>
        <w:spacing w:after="0" w:line="289" w:lineRule="auto"/>
        <w:tabs>
          <w:tab w:leader="none" w:pos="129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payment or benefit described in this Policy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has occurred shall be made in accordance with the presumptions set forth in Treasury Regulation Section 1.409A-1(h).</w:t>
      </w:r>
    </w:p>
    <w:p>
      <w:pPr>
        <w:spacing w:after="0" w:line="117" w:lineRule="exact"/>
        <w:rPr>
          <w:sz w:val="20"/>
          <w:szCs w:val="20"/>
          <w:color w:val="auto"/>
        </w:rPr>
      </w:pPr>
    </w:p>
    <w:p>
      <w:pPr>
        <w:ind w:right="20" w:firstLine="656"/>
        <w:spacing w:after="0" w:line="256"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Policy shall be provided by the Company or incurred by the Covered Executive during the time periods set forth in this Policy.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9" w:lineRule="exact"/>
        <w:rPr>
          <w:rFonts w:ascii="Times New Roman" w:cs="Times New Roman" w:eastAsia="Times New Roman" w:hAnsi="Times New Roman"/>
          <w:sz w:val="18"/>
          <w:szCs w:val="18"/>
          <w:color w:val="auto"/>
        </w:rPr>
      </w:pPr>
    </w:p>
    <w:p>
      <w:pPr>
        <w:ind w:right="120" w:firstLine="656"/>
        <w:spacing w:after="0" w:line="266" w:lineRule="auto"/>
        <w:tabs>
          <w:tab w:leader="none" w:pos="129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Covered Executive or any other person if any provisions of this Policy are determined to constitute deferred compensation subject to Section 409A of the Code but do not satisfy an exemption from, or the conditions of, such Section.</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656"/>
        <w:spacing w:after="0" w:line="282" w:lineRule="auto"/>
        <w:tabs>
          <w:tab w:leader="none" w:pos="129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 termination of the Covered Executive’s employment shall be communicated by Notice of Termination from the Company to the Covered Executive or vice versa in accordance with this Section 11.</w:t>
      </w:r>
    </w:p>
    <w:p>
      <w:pPr>
        <w:spacing w:after="0" w:line="53" w:lineRule="exact"/>
        <w:rPr>
          <w:rFonts w:ascii="Times New Roman" w:cs="Times New Roman" w:eastAsia="Times New Roman" w:hAnsi="Times New Roman"/>
          <w:sz w:val="18"/>
          <w:szCs w:val="18"/>
          <w:color w:val="auto"/>
        </w:rPr>
      </w:pPr>
    </w:p>
    <w:p>
      <w:pPr>
        <w:ind w:right="20" w:firstLine="656"/>
        <w:spacing w:after="0" w:line="257"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Covered Executive or the Company</w:t>
      </w:r>
      <w:r>
        <w:rPr>
          <w:rFonts w:ascii="Times New Roman" w:cs="Times New Roman" w:eastAsia="Times New Roman" w:hAnsi="Times New Roman"/>
          <w:sz w:val="18"/>
          <w:szCs w:val="18"/>
          <w:color w:val="auto"/>
        </w:rPr>
        <w:t>. Any notices, requests, demands, and other communications provided for by this Policy shall be sufficient if in writing and delivered in person or sent by registered or certified mail, postage prepaid, to a Covered Executive at the last physical or email address the Covered Executive has filed in writing with the Company, or to the Company at the following physical or email address: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Inc.</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9" w:lineRule="exact"/>
        <w:rPr>
          <w:rFonts w:ascii="Times New Roman" w:cs="Times New Roman" w:eastAsia="Times New Roman" w:hAnsi="Times New Roman"/>
          <w:sz w:val="18"/>
          <w:szCs w:val="18"/>
          <w:color w:val="auto"/>
        </w:rPr>
      </w:pPr>
    </w:p>
    <w:p>
      <w:pPr>
        <w:ind w:left="1300" w:right="710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919 East Hillsdale Boulevard,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Foster City, CA 94404</w:t>
      </w:r>
    </w:p>
    <w:p>
      <w:pPr>
        <w:spacing w:after="0" w:line="91"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Covered Executive is not required to seek other employment or to attempt in any way to reduce any amounts payable to the Covered Executive by the Company under this Policy.</w:t>
      </w:r>
    </w:p>
    <w:p>
      <w:pPr>
        <w:spacing w:after="0" w:line="53" w:lineRule="exact"/>
        <w:rPr>
          <w:rFonts w:ascii="Times New Roman" w:cs="Times New Roman" w:eastAsia="Times New Roman" w:hAnsi="Times New Roman"/>
          <w:sz w:val="18"/>
          <w:szCs w:val="18"/>
          <w:color w:val="auto"/>
        </w:rPr>
      </w:pPr>
    </w:p>
    <w:p>
      <w:pPr>
        <w:ind w:right="100" w:firstLine="332"/>
        <w:spacing w:after="0" w:line="258"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and Burdens</w:t>
      </w:r>
      <w:r>
        <w:rPr>
          <w:rFonts w:ascii="Times New Roman" w:cs="Times New Roman" w:eastAsia="Times New Roman" w:hAnsi="Times New Roman"/>
          <w:sz w:val="18"/>
          <w:szCs w:val="18"/>
          <w:color w:val="auto"/>
        </w:rPr>
        <w:t>. This Policy shall inure to the benefit of and be binding upon the Company and the Covered Executives, their respective successors, executors, administrators, heirs and permitted assigns. In the event of a Covered Executive’s death after a termination of employment but prior to the completion by the Company of all payments due to him or her under this Policy, the Company shall continue such payments to the Covered Executive’s beneficiary designated in writing to the Company prior to his or her death (or to his or her estate, if the Covered Executive fails to make such designation).</w:t>
      </w:r>
    </w:p>
    <w:p>
      <w:pPr>
        <w:spacing w:after="0" w:line="75" w:lineRule="exact"/>
        <w:rPr>
          <w:rFonts w:ascii="Times New Roman" w:cs="Times New Roman" w:eastAsia="Times New Roman" w:hAnsi="Times New Roman"/>
          <w:sz w:val="18"/>
          <w:szCs w:val="18"/>
          <w:color w:val="auto"/>
        </w:rPr>
      </w:pPr>
    </w:p>
    <w:p>
      <w:pPr>
        <w:ind w:right="80" w:firstLine="332"/>
        <w:spacing w:after="0" w:line="261"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Policy shall to any extent be declared illegal or unenforceable by a court of competent jurisdiction, then the remainder of this Policy, or the application of such portion or provision in circumstances other than those as to which it is so declared illegal or unenforceable, shall not be affected thereby, and each portion and provision of this Policy shall be valid and enforceable to the fullest extent permitted by law.</w:t>
      </w:r>
    </w:p>
    <w:p>
      <w:pPr>
        <w:spacing w:after="0" w:line="71" w:lineRule="exact"/>
        <w:rPr>
          <w:rFonts w:ascii="Times New Roman" w:cs="Times New Roman" w:eastAsia="Times New Roman" w:hAnsi="Times New Roman"/>
          <w:sz w:val="18"/>
          <w:szCs w:val="18"/>
          <w:color w:val="auto"/>
        </w:rPr>
      </w:pPr>
    </w:p>
    <w:p>
      <w:pPr>
        <w:jc w:val="both"/>
        <w:ind w:right="200" w:firstLine="332"/>
        <w:spacing w:after="0" w:line="266"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Policy, or the waiver by any party of any breach of this Policy, shall not prevent any subsequent enforcement of such term or obligation or be deemed a waiver of any subsequent breach.</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Non-Duplication of Benefits and Effect on Other Policies</w:t>
      </w:r>
      <w:r>
        <w:rPr>
          <w:rFonts w:ascii="Times New Roman" w:cs="Times New Roman" w:eastAsia="Times New Roman" w:hAnsi="Times New Roman"/>
          <w:sz w:val="18"/>
          <w:szCs w:val="18"/>
          <w:color w:val="auto"/>
        </w:rPr>
        <w:t>. Notwithstanding any other provision in the Policy to the contrary, the benefits provided hereunder shall be in lieu of any other severance payments and/or benefits provided by the Company, including any such payments and/or benefits pursuant to an employment agreement or offer letter between the Company and the Covered Executive.</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86" w:lineRule="exact"/>
        <w:rPr>
          <w:sz w:val="20"/>
          <w:szCs w:val="20"/>
          <w:color w:val="auto"/>
        </w:rPr>
      </w:pPr>
    </w:p>
    <w:p>
      <w:pPr>
        <w:ind w:left="-332" w:right="900" w:firstLine="332"/>
        <w:spacing w:after="0" w:line="282" w:lineRule="auto"/>
        <w:tabs>
          <w:tab w:leader="none" w:pos="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Contract of Employment</w:t>
      </w:r>
      <w:r>
        <w:rPr>
          <w:rFonts w:ascii="Times New Roman" w:cs="Times New Roman" w:eastAsia="Times New Roman" w:hAnsi="Times New Roman"/>
          <w:sz w:val="18"/>
          <w:szCs w:val="18"/>
          <w:color w:val="auto"/>
        </w:rPr>
        <w:t>. Nothing in this Policy shall be construed as giving any Covered Executive any right to be retained in the employment of the Company or shall affect the terms and conditions of a Covered Executive’s employment with the Company.</w:t>
      </w:r>
    </w:p>
    <w:p>
      <w:pPr>
        <w:spacing w:after="0" w:line="53" w:lineRule="exact"/>
        <w:rPr>
          <w:rFonts w:ascii="Times New Roman" w:cs="Times New Roman" w:eastAsia="Times New Roman" w:hAnsi="Times New Roman"/>
          <w:sz w:val="18"/>
          <w:szCs w:val="18"/>
          <w:color w:val="auto"/>
        </w:rPr>
      </w:pPr>
    </w:p>
    <w:p>
      <w:pPr>
        <w:ind w:left="-332" w:firstLine="332"/>
        <w:spacing w:after="0" w:line="266" w:lineRule="auto"/>
        <w:tabs>
          <w:tab w:leader="none" w:pos="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Policy</w:t>
      </w:r>
      <w:r>
        <w:rPr>
          <w:rFonts w:ascii="Times New Roman" w:cs="Times New Roman" w:eastAsia="Times New Roman" w:hAnsi="Times New Roman"/>
          <w:sz w:val="18"/>
          <w:szCs w:val="18"/>
          <w:color w:val="auto"/>
        </w:rPr>
        <w:t>. The Company may amend or terminate this Policy at any time or from time to time, but no such action shall adversely affect the rights of any Covered Executive without the Covered Executive’s written consent. For clarity, an action by the Administrator not to renew the Policy in accordance with the Term provision above will not be an action that requires a Covered Executive’s consent.</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Policy shall be construed under and be governed in all respects by the laws of the State of Delaware.</w:t>
      </w:r>
    </w:p>
    <w:p>
      <w:pPr>
        <w:spacing w:after="0" w:line="117" w:lineRule="exact"/>
        <w:rPr>
          <w:rFonts w:ascii="Times New Roman" w:cs="Times New Roman" w:eastAsia="Times New Roman" w:hAnsi="Times New Roman"/>
          <w:sz w:val="18"/>
          <w:szCs w:val="18"/>
          <w:color w:val="auto"/>
        </w:rPr>
      </w:pPr>
    </w:p>
    <w:p>
      <w:pPr>
        <w:jc w:val="both"/>
        <w:ind w:left="-332" w:right="260" w:firstLine="332"/>
        <w:spacing w:after="0" w:line="261" w:lineRule="auto"/>
        <w:tabs>
          <w:tab w:leader="none" w:pos="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Successors</w:t>
      </w:r>
      <w:r>
        <w:rPr>
          <w:rFonts w:ascii="Times New Roman" w:cs="Times New Roman" w:eastAsia="Times New Roman" w:hAnsi="Times New Roman"/>
          <w:sz w:val="18"/>
          <w:szCs w:val="18"/>
          <w:color w:val="auto"/>
        </w:rPr>
        <w:t>. In addition to any obligations imposed by law upon any successor to the Company, any successor (whether direct or indirect, by purchase, merger, consolidation or otherwise) to all or substantially all of the business or assets of the Company shall expressly assume and agree to perform this Policy in the same manner and to the same extent that the Company would be required to perform if no such succession had taken place.</w:t>
      </w:r>
    </w:p>
    <w:p>
      <w:pPr>
        <w:spacing w:after="0" w:line="6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Policy shall be effective as of the date approved by the Compensation and Talent Committee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w:t>
      </w:r>
    </w:p>
    <w:p>
      <w:pPr>
        <w:sectPr>
          <w:pgSz w:w="11900" w:h="16838" w:orient="portrait"/>
          <w:cols w:equalWidth="0" w:num="1">
            <w:col w:w="10888"/>
          </w:cols>
          <w:pgMar w:left="652" w:top="1440" w:right="359" w:bottom="1440" w:gutter="0" w:footer="0" w:header="0"/>
        </w:sectPr>
      </w:pPr>
    </w:p>
    <w:bookmarkStart w:id="104" w:name="page105"/>
    <w:bookmarkEnd w:id="104"/>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97" w:lineRule="exact"/>
        <w:rPr>
          <w:sz w:val="20"/>
          <w:szCs w:val="20"/>
          <w:color w:val="auto"/>
        </w:rPr>
      </w:pPr>
    </w:p>
    <w:p>
      <w:pPr>
        <w:ind w:right="120" w:firstLine="441"/>
        <w:spacing w:after="0" w:line="284" w:lineRule="auto"/>
        <w:rPr>
          <w:sz w:val="20"/>
          <w:szCs w:val="20"/>
          <w:color w:val="auto"/>
        </w:rPr>
      </w:pPr>
      <w:r>
        <w:rPr>
          <w:rFonts w:ascii="Times New Roman" w:cs="Times New Roman" w:eastAsia="Times New Roman" w:hAnsi="Times New Roman"/>
          <w:sz w:val="18"/>
          <w:szCs w:val="18"/>
          <w:color w:val="auto"/>
        </w:rPr>
        <w:t>This Participation Agreement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made and entered into by and between [NAME] on the one hand, and Qualys,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on the other.</w:t>
      </w:r>
    </w:p>
    <w:p>
      <w:pPr>
        <w:spacing w:after="0" w:line="50"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You have been designated as eligible to participate in the Executive Severance Policy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a copy of which is attached hereto, under which you are eligible to receive the following severance payments and benefits upon a qualified termination described in Section 5 and 6 of the Policy, subject to the terms and conditions of the Policy. The Policy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Termination Described in Section 5 of the Policy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are eligible for benefits under Section 5 of the Policy, you will be entitled to the following benefits, subject to your compliance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w:t>
      </w:r>
    </w:p>
    <w:p>
      <w:pPr>
        <w:spacing w:after="0" w:line="135" w:lineRule="exact"/>
        <w:rPr>
          <w:sz w:val="20"/>
          <w:szCs w:val="20"/>
          <w:color w:val="auto"/>
        </w:rPr>
      </w:pPr>
    </w:p>
    <w:p>
      <w:pPr>
        <w:ind w:left="920" w:hanging="341"/>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Severance: </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COBRA Coverage: </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Acceleration: </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Termination in Connection with a Change in Control Described in Section 6 of the Policy</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If you are eligible for benefits under Section 6 of the Policy, then in addition to the benefits provided above with respect to Section 5 of the Policy, you will also be entitled to the following benefits, subject to your compliance with the Policy:</w:t>
      </w:r>
    </w:p>
    <w:p>
      <w:pPr>
        <w:spacing w:after="0" w:line="90" w:lineRule="exact"/>
        <w:rPr>
          <w:sz w:val="20"/>
          <w:szCs w:val="20"/>
          <w:color w:val="auto"/>
        </w:rPr>
      </w:pPr>
    </w:p>
    <w:p>
      <w:pPr>
        <w:ind w:left="920" w:hanging="341"/>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Protection Period: </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Severance: </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COBRA Coverage: </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Vesting: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You agree that the Policy together with this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except as expressly survived by this Policy.</w:t>
      </w:r>
    </w:p>
    <w:p>
      <w:pPr>
        <w:spacing w:after="0" w:line="72"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54"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By its signature below, each of the parties signifies its acceptance of the terms of this Agreement, in the case of the Company by its duly authorized officer effective as of the last date set forth below.</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392"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QUALYS, INC.</w:t>
      </w:r>
      <w:r>
        <w:rPr>
          <w:sz w:val="20"/>
          <w:szCs w:val="20"/>
          <w:color w:val="auto"/>
        </w:rPr>
        <w:tab/>
      </w:r>
      <w:r>
        <w:rPr>
          <w:rFonts w:ascii="Times New Roman" w:cs="Times New Roman" w:eastAsia="Times New Roman" w:hAnsi="Times New Roman"/>
          <w:sz w:val="18"/>
          <w:szCs w:val="18"/>
          <w:b w:val="1"/>
          <w:bCs w:val="1"/>
          <w:color w:val="auto"/>
        </w:rPr>
        <w:t>COVERED 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34290</wp:posOffset>
            </wp:positionV>
            <wp:extent cx="4140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00"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34290</wp:posOffset>
            </wp:positionV>
            <wp:extent cx="4140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39" w:lineRule="exact"/>
        <w:rPr>
          <w:sz w:val="20"/>
          <w:szCs w:val="20"/>
          <w:color w:val="auto"/>
        </w:rPr>
      </w:pPr>
    </w:p>
    <w:p>
      <w:pPr>
        <w:ind w:right="280" w:firstLine="8"/>
        <w:spacing w:after="0" w:line="271" w:lineRule="auto"/>
        <w:tabs>
          <w:tab w:leader="none" w:pos="4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because it both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137160</wp:posOffset>
            </wp:positionV>
            <wp:extent cx="1645920" cy="1448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164592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CORPORATE BONUS PLAN</w:t>
      </w:r>
    </w:p>
    <w:p>
      <w:pPr>
        <w:spacing w:after="0" w:line="252" w:lineRule="exact"/>
        <w:rPr>
          <w:sz w:val="20"/>
          <w:szCs w:val="20"/>
          <w:color w:val="auto"/>
        </w:rPr>
      </w:pPr>
    </w:p>
    <w:p>
      <w:pPr>
        <w:ind w:right="120" w:firstLine="656"/>
        <w:spacing w:after="0" w:line="286" w:lineRule="auto"/>
        <w:tabs>
          <w:tab w:leader="none" w:pos="82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2025 Corporate Bonus Plan (the “Plan”) is to motivate and encourage the employees of Qualys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achieve its stated goals and to assist the Company in attracting, motivating and retaining employees on a competitive basis.</w:t>
      </w:r>
    </w:p>
    <w:p>
      <w:pPr>
        <w:spacing w:after="0" w:line="181"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56" w:lineRule="exact"/>
        <w:rPr>
          <w:sz w:val="20"/>
          <w:szCs w:val="20"/>
          <w:color w:val="auto"/>
        </w:rPr>
      </w:pPr>
    </w:p>
    <w:p>
      <w:pPr>
        <w:ind w:right="40" w:firstLine="656"/>
        <w:spacing w:after="0" w:line="266" w:lineRule="auto"/>
        <w:tabs>
          <w:tab w:leader="none" w:pos="8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or employee of the Company is designated as a participant in the Plan ("Participant") and shall be eligible to participate in the Plan if the employee is a regular full-time or regular part-time employee (working greater than 20 hours a week) and the employee is not already participating in a separate Compensation Plan or MBO plan.</w:t>
      </w:r>
    </w:p>
    <w:p>
      <w:pPr>
        <w:spacing w:after="0" w:line="198" w:lineRule="exact"/>
        <w:rPr>
          <w:rFonts w:ascii="Times New Roman" w:cs="Times New Roman" w:eastAsia="Times New Roman" w:hAnsi="Times New Roman"/>
          <w:sz w:val="18"/>
          <w:szCs w:val="18"/>
          <w:color w:val="auto"/>
        </w:rPr>
      </w:pPr>
    </w:p>
    <w:p>
      <w:pPr>
        <w:ind w:right="500" w:firstLine="656"/>
        <w:spacing w:after="0" w:line="286"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Hires. </w:t>
      </w:r>
      <w:r>
        <w:rPr>
          <w:rFonts w:ascii="Times New Roman" w:cs="Times New Roman" w:eastAsia="Times New Roman" w:hAnsi="Times New Roman"/>
          <w:sz w:val="18"/>
          <w:szCs w:val="18"/>
          <w:color w:val="auto"/>
        </w:rPr>
        <w:t>New employees hired in the first or second month of a quarter will be eligible to participate in the Plan for that quarter,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will be prorated based on the number of working days employed in the quarter.</w:t>
      </w:r>
    </w:p>
    <w:p>
      <w:pPr>
        <w:spacing w:after="0" w:line="18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To be eligible for the bonus, the employee must be employed as of the last working day of the quarter.</w:t>
      </w:r>
    </w:p>
    <w:p>
      <w:pPr>
        <w:spacing w:after="0" w:line="252" w:lineRule="exact"/>
        <w:rPr>
          <w:rFonts w:ascii="Times New Roman" w:cs="Times New Roman" w:eastAsia="Times New Roman" w:hAnsi="Times New Roman"/>
          <w:sz w:val="18"/>
          <w:szCs w:val="18"/>
          <w:color w:val="auto"/>
        </w:rPr>
      </w:pPr>
    </w:p>
    <w:p>
      <w:pPr>
        <w:ind w:right="260" w:firstLine="656"/>
        <w:spacing w:after="0" w:line="268"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Absence during Performance Period. </w:t>
      </w:r>
      <w:r>
        <w:rPr>
          <w:rFonts w:ascii="Times New Roman" w:cs="Times New Roman" w:eastAsia="Times New Roman" w:hAnsi="Times New Roman"/>
          <w:sz w:val="18"/>
          <w:szCs w:val="18"/>
          <w:color w:val="auto"/>
        </w:rPr>
        <w:t>If a Participant is absent for a period of more than one-half of the working days in a quarter,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the Participant’s bonus payment will be prorated based on the number of working days the Participant actually worked compared to the total number of working days during that quarter.</w:t>
      </w:r>
    </w:p>
    <w:p>
      <w:pPr>
        <w:spacing w:after="0" w:line="198" w:lineRule="exact"/>
        <w:rPr>
          <w:sz w:val="20"/>
          <w:szCs w:val="20"/>
          <w:color w:val="auto"/>
        </w:rPr>
      </w:pPr>
    </w:p>
    <w:p>
      <w:pPr>
        <w:ind w:left="840" w:hanging="184"/>
        <w:spacing w:after="0"/>
        <w:tabs>
          <w:tab w:leader="none" w:pos="8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Criteria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Bonus Period.</w:t>
      </w:r>
      <w:r>
        <w:rPr>
          <w:rFonts w:ascii="Times New Roman" w:cs="Times New Roman" w:eastAsia="Times New Roman" w:hAnsi="Times New Roman"/>
          <w:sz w:val="18"/>
          <w:szCs w:val="18"/>
          <w:color w:val="auto"/>
        </w:rPr>
        <w:t xml:space="preserve"> The Bonus Plan is effective from January 1, 2025 through December 31, 2025. Each calendar quarter is a separate bonus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30" w:lineRule="exact"/>
        <w:rPr>
          <w:sz w:val="20"/>
          <w:szCs w:val="20"/>
          <w:color w:val="auto"/>
        </w:rPr>
      </w:pPr>
    </w:p>
    <w:p>
      <w:pPr>
        <w:ind w:right="360" w:firstLine="656"/>
        <w:spacing w:after="0" w:line="268"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Level. </w:t>
      </w:r>
      <w:r>
        <w:rPr>
          <w:rFonts w:ascii="Times New Roman" w:cs="Times New Roman" w:eastAsia="Times New Roman" w:hAnsi="Times New Roman"/>
          <w:sz w:val="18"/>
          <w:szCs w:val="18"/>
          <w:color w:val="auto"/>
        </w:rPr>
        <w:t>A Participant’s level of participation in the Plan is set based on the corporate bonus level as of the last working day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as well as their location and applicable variable plan during the Bonus Period as determined by the Human Resources Department. This will be applied to the Participant’s base salary to determine the bonus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1/1/2025</w:t>
      </w:r>
    </w:p>
    <w:p>
      <w:pPr>
        <w:sectPr>
          <w:pgSz w:w="11900" w:h="16838" w:orient="portrait"/>
          <w:cols w:equalWidth="0" w:num="1">
            <w:col w:w="11240"/>
          </w:cols>
          <w:pgMar w:left="320" w:top="1413" w:right="339" w:bottom="1440" w:gutter="0" w:footer="0" w:header="0"/>
        </w:sectPr>
      </w:pPr>
    </w:p>
    <w:bookmarkStart w:id="107" w:name="page108"/>
    <w:bookmarkEnd w:id="107"/>
    <w:p>
      <w:pPr>
        <w:ind w:right="520" w:firstLine="656"/>
        <w:spacing w:after="0" w:line="286" w:lineRule="auto"/>
        <w:tabs>
          <w:tab w:leader="none" w:pos="8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Criteria: </w:t>
      </w:r>
      <w:r>
        <w:rPr>
          <w:rFonts w:ascii="Times New Roman" w:cs="Times New Roman" w:eastAsia="Times New Roman" w:hAnsi="Times New Roman"/>
          <w:sz w:val="18"/>
          <w:szCs w:val="18"/>
          <w:color w:val="auto"/>
        </w:rPr>
        <w:t>The Plan payments will be based on ASV (as defined below), Revenue (as defined below) and Non-GAAP EPS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w:t>
      </w:r>
    </w:p>
    <w:p>
      <w:pPr>
        <w:spacing w:after="0" w:line="181" w:lineRule="exact"/>
        <w:rPr>
          <w:rFonts w:ascii="Times New Roman" w:cs="Times New Roman" w:eastAsia="Times New Roman" w:hAnsi="Times New Roman"/>
          <w:sz w:val="18"/>
          <w:szCs w:val="18"/>
          <w:color w:val="auto"/>
        </w:rPr>
      </w:pPr>
    </w:p>
    <w:p>
      <w:pPr>
        <w:ind w:left="660" w:right="140" w:firstLine="644"/>
        <w:spacing w:after="0" w:line="262" w:lineRule="auto"/>
        <w:tabs>
          <w:tab w:leader="none" w:pos="15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ASV. </w:t>
      </w:r>
      <w:r>
        <w:rPr>
          <w:rFonts w:ascii="Times New Roman" w:cs="Times New Roman" w:eastAsia="Times New Roman" w:hAnsi="Times New Roman"/>
          <w:sz w:val="18"/>
          <w:szCs w:val="18"/>
          <w:color w:val="auto"/>
        </w:rPr>
        <w:t>The stated goal is the growth in company-wide bookings as represented by Annual Subscription Value (“ASV”) for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spacing w:after="0" w:line="203" w:lineRule="exact"/>
        <w:rPr>
          <w:rFonts w:ascii="Times New Roman" w:cs="Times New Roman" w:eastAsia="Times New Roman" w:hAnsi="Times New Roman"/>
          <w:sz w:val="18"/>
          <w:szCs w:val="18"/>
          <w:color w:val="auto"/>
        </w:rPr>
      </w:pPr>
    </w:p>
    <w:p>
      <w:pPr>
        <w:ind w:left="660" w:right="500" w:firstLine="644"/>
        <w:spacing w:after="0" w:line="286" w:lineRule="auto"/>
        <w:tabs>
          <w:tab w:leader="none" w:pos="15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The stated goal is the growth in company-wide revenue (as determined in accordance with GAAP and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quarterly and annual financial statements) for the current quarter over the same quarter of the prior year.</w:t>
      </w:r>
    </w:p>
    <w:p>
      <w:pPr>
        <w:spacing w:after="0" w:line="181" w:lineRule="exact"/>
        <w:rPr>
          <w:rFonts w:ascii="Times New Roman" w:cs="Times New Roman" w:eastAsia="Times New Roman" w:hAnsi="Times New Roman"/>
          <w:sz w:val="18"/>
          <w:szCs w:val="18"/>
          <w:color w:val="auto"/>
        </w:rPr>
      </w:pPr>
    </w:p>
    <w:p>
      <w:pPr>
        <w:jc w:val="both"/>
        <w:ind w:left="660" w:right="140" w:firstLine="644"/>
        <w:spacing w:after="0" w:line="268" w:lineRule="auto"/>
        <w:tabs>
          <w:tab w:leader="none" w:pos="15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EPS. </w:t>
      </w:r>
      <w:r>
        <w:rPr>
          <w:rFonts w:ascii="Times New Roman" w:cs="Times New Roman" w:eastAsia="Times New Roman" w:hAnsi="Times New Roman"/>
          <w:sz w:val="18"/>
          <w:szCs w:val="18"/>
          <w:color w:val="auto"/>
        </w:rPr>
        <w:t>The stated goal is Non-GAAP earnings per diluted share. Non-GAAP EPS is GAAP net income excluding effects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stock-based compensation expense, amortization of intangible assets from acquisitions, non-recurring items, and certain tax effects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weighted average shares (diluted) for the applicable quarter.</w:t>
      </w:r>
    </w:p>
    <w:p>
      <w:pPr>
        <w:spacing w:after="0" w:line="197" w:lineRule="exact"/>
        <w:rPr>
          <w:rFonts w:ascii="Times New Roman" w:cs="Times New Roman" w:eastAsia="Times New Roman" w:hAnsi="Times New Roman"/>
          <w:sz w:val="18"/>
          <w:szCs w:val="18"/>
          <w:color w:val="auto"/>
        </w:rPr>
      </w:pPr>
    </w:p>
    <w:p>
      <w:pPr>
        <w:ind w:right="180" w:firstLine="656"/>
        <w:spacing w:after="0" w:line="268"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Payout Calculation. </w:t>
      </w:r>
      <w:r>
        <w:rPr>
          <w:rFonts w:ascii="Times New Roman" w:cs="Times New Roman" w:eastAsia="Times New Roman" w:hAnsi="Times New Roman"/>
          <w:sz w:val="18"/>
          <w:szCs w:val="18"/>
          <w:color w:val="auto"/>
        </w:rPr>
        <w:t>A Participant’s bonus amount will be equal to the aggregate for each of the applicable objective goals as follows: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percentage described below multiplied by the weighted percentage for the applicable goal. ASV Growth, Revenue Growth and Non-GAAP EPS shall be the 3 goals and shall be equally weighted.</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ASV. </w:t>
      </w:r>
      <w:r>
        <w:rPr>
          <w:rFonts w:ascii="Times New Roman" w:cs="Times New Roman" w:eastAsia="Times New Roman" w:hAnsi="Times New Roman"/>
          <w:sz w:val="18"/>
          <w:szCs w:val="18"/>
          <w:color w:val="auto"/>
        </w:rPr>
        <w:t>The payout percentage scales based upon achievement of ASV. [***]</w:t>
      </w:r>
    </w:p>
    <w:p>
      <w:pPr>
        <w:spacing w:after="0" w:line="25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The payout percentage scales based upon achievement of Revenue. [***]</w:t>
      </w:r>
    </w:p>
    <w:p>
      <w:pPr>
        <w:spacing w:after="0" w:line="25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EPS. </w:t>
      </w:r>
      <w:r>
        <w:rPr>
          <w:rFonts w:ascii="Times New Roman" w:cs="Times New Roman" w:eastAsia="Times New Roman" w:hAnsi="Times New Roman"/>
          <w:sz w:val="18"/>
          <w:szCs w:val="18"/>
          <w:color w:val="auto"/>
        </w:rPr>
        <w:t>The payout percentage scales based upon achievement of Non-GAAP EPS. [***]</w:t>
      </w:r>
    </w:p>
    <w:p>
      <w:pPr>
        <w:spacing w:after="0" w:line="252" w:lineRule="exact"/>
        <w:rPr>
          <w:rFonts w:ascii="Times New Roman" w:cs="Times New Roman" w:eastAsia="Times New Roman" w:hAnsi="Times New Roman"/>
          <w:sz w:val="18"/>
          <w:szCs w:val="18"/>
          <w:color w:val="auto"/>
        </w:rPr>
      </w:pPr>
    </w:p>
    <w:p>
      <w:pPr>
        <w:ind w:right="40" w:firstLine="656"/>
        <w:spacing w:after="0" w:line="259" w:lineRule="auto"/>
        <w:tabs>
          <w:tab w:leader="none" w:pos="8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Payments. </w:t>
      </w:r>
      <w:r>
        <w:rPr>
          <w:rFonts w:ascii="Times New Roman" w:cs="Times New Roman" w:eastAsia="Times New Roman" w:hAnsi="Times New Roman"/>
          <w:sz w:val="18"/>
          <w:szCs w:val="18"/>
          <w:color w:val="auto"/>
        </w:rPr>
        <w:t>Bonus payments to Participants under this Plan will be made with the first payroll of the second month following the 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and any voluntary deductions applicable. None of the payments will be “benefits bearing” (i.e., the bonus amounts will not be used for purposes of determining any other company-provided benefits or compensation).</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administered by the Company’s CFO (except with respect to Participants who are the Company’s executive officers,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case the Compensation and Talent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and Talent Committee), who shall review each inquiry in good faith, and each such determination shall be final and binding. With the approval of the Compensation and Talent Committee, the results with respect to determination of ASV, Revenue, and Non-GAAP EPS will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1/1/2025</w:t>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5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of subsidiaries of Qualys, Inc.*</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 or</w:t>
            </w:r>
          </w:p>
        </w:tc>
        <w:tc>
          <w:tcPr>
            <w:tcW w:w="0" w:type="dxa"/>
            <w:vAlign w:val="bottom"/>
          </w:tcPr>
          <w:p>
            <w:pPr>
              <w:spacing w:after="0"/>
              <w:rPr>
                <w:sz w:val="1"/>
                <w:szCs w:val="1"/>
                <w:color w:val="auto"/>
              </w:rPr>
            </w:pPr>
          </w:p>
        </w:tc>
      </w:tr>
      <w:tr>
        <w:trPr>
          <w:trHeight w:val="243"/>
        </w:trPr>
        <w:tc>
          <w:tcPr>
            <w:tcW w:w="7940" w:type="dxa"/>
            <w:vAlign w:val="bottom"/>
            <w:gridSpan w:val="2"/>
            <w:vMerge w:val="continue"/>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International, Inc.</w:t>
            </w:r>
          </w:p>
        </w:tc>
        <w:tc>
          <w:tcPr>
            <w:tcW w:w="8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Jay Acquisition Sub, Inc.</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Brazil Desenvolvimento de Produtos e Consultoria de Tecnologias de Seguranca LTDA.</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Canada, Ltd.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Technologies, S.A.</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Italy S.R.L.</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GmbH</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Hong Kong Limited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Security TechServices Private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Japan K.K.</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Singapore Pte.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Middle East FZE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Australia Pty Ltd.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Switzerland Sarl</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Colombia S.A.S.</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South Africa Proprietary Limited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3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Netherlands B.V.</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8"/>
        <w:spacing w:after="0" w:line="282" w:lineRule="auto"/>
        <w:tabs>
          <w:tab w:leader="none" w:pos="1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20, 2026, with respect to the consolidated financial statements and internal control over financial reporting included in the Annual Report of Qualys, Inc. on Form 10-K for the year ended December 31, 2025. We consent to the incorporation by reference of said reports in the Registration Statements of Qualys, Inc. on Forms S-8 (File Nos. 333-184394, 333-193576, 333-202587, 333-209735, 333-216232, 333-223192, 333-229908, 333-236576, 333-253373, 333-257657, 333-262912 and 333-281316).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41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Sumedh S. Thakar, certify that:</w:t>
      </w:r>
    </w:p>
    <w:p>
      <w:pPr>
        <w:spacing w:after="0" w:line="225"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98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JOO MI KIM</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98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Qualys, Inc. (the “Company”) on Form 10-K for the year ended December 31, 2025, as filed with the Securities and Exchange Commission on the date hereof (the “Report”), I, Sumedh S. Thakar, Chief Executive Officer of the Company, certify, pursuant to 18 U.S.C.</w:t>
      </w:r>
    </w:p>
    <w:p>
      <w:pPr>
        <w:ind w:left="140" w:hanging="132"/>
        <w:spacing w:after="0"/>
        <w:tabs>
          <w:tab w:leader="none" w:pos="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r>
      <w:tr>
        <w:trPr>
          <w:trHeight w:val="229"/>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1143" w:right="339" w:bottom="1440" w:gutter="0" w:footer="0" w:header="0"/>
        </w:sectPr>
      </w:pPr>
    </w:p>
    <w:bookmarkStart w:id="113" w:name="page114"/>
    <w:bookmarkEnd w:id="113"/>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13a-14(b) OR RULE 15d-14(b) OF THE SECURITIES EXCHANGE ACT OF 1934 AND 18 U.S.C. SECTION 1350</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Qualys, Inc. (the “Company”) on Form 10-K for the year ended December 31, 2025,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820" w:hanging="326"/>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JOO MI KIM</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r>
      <w:tr>
        <w:trPr>
          <w:trHeight w:val="229"/>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4"/>
    </w:lvl>
  </w:abstractNum>
  <w:abstractNum w:abstractNumId="29">
    <w:nsid w:val="1D4ED43B"/>
    <w:multiLevelType w:val="hybridMultilevel"/>
    <w:lvl w:ilvl="0">
      <w:lvlJc w:val="left"/>
      <w:lvlText w:val="%1"/>
      <w:numFmt w:val="decimal"/>
      <w:start w:val="104"/>
    </w:lvl>
    <w:lvl w:ilvl="1">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lvl w:ilvl="1">
      <w:lvlJc w:val="left"/>
      <w:lvlText w:val="(%2)"/>
      <w:numFmt w:val="lowerLetter"/>
      <w:start w:val="1"/>
    </w:lvl>
  </w:abstractNum>
  <w:abstractNum w:abstractNumId="33">
    <w:nsid w:val="7A6D8D3C"/>
    <w:multiLevelType w:val="hybridMultilevel"/>
    <w:lvl w:ilvl="0">
      <w:lvlJc w:val="left"/>
      <w:lvlText w:val="(%1)"/>
      <w:numFmt w:val="lowerLetter"/>
      <w:start w:val="5"/>
    </w:lvl>
  </w:abstractNum>
  <w:abstractNum w:abstractNumId="34">
    <w:nsid w:val="4B588F5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5">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6">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
    <w:nsid w:val="32FFF902"/>
    <w:multiLevelType w:val="hybridMultilevel"/>
    <w:lvl w:ilvl="0">
      <w:lvlJc w:val="left"/>
      <w:lvlText w:val="%1"/>
      <w:numFmt w:val="decimal"/>
      <w:start w:val="1"/>
    </w:lvl>
    <w:lvl w:ilvl="1">
      <w:lvlJc w:val="left"/>
      <w:lvlText w:val="(%2)"/>
      <w:numFmt w:val="lowerLetter"/>
      <w:start w:val="2"/>
    </w:lvl>
  </w:abstractNum>
  <w:abstractNum w:abstractNumId="40">
    <w:nsid w:val="684A481A"/>
    <w:multiLevelType w:val="hybridMultilevel"/>
    <w:lvl w:ilvl="0">
      <w:lvlJc w:val="left"/>
      <w:lvlText w:val="%1."/>
      <w:numFmt w:val="decimal"/>
      <w:start w:val="8"/>
    </w:lvl>
    <w:lvl w:ilvl="1">
      <w:lvlJc w:val="left"/>
      <w:lvlText w:val="(%2)"/>
      <w:numFmt w:val="lowerLetter"/>
      <w:start w:val="1"/>
    </w:lvl>
  </w:abstractNum>
  <w:abstractNum w:abstractNumId="41">
    <w:nsid w:val="579478FE"/>
    <w:multiLevelType w:val="hybridMultilevel"/>
    <w:lvl w:ilvl="0">
      <w:lvlJc w:val="left"/>
      <w:lvlText w:val="%1"/>
      <w:numFmt w:val="decimal"/>
      <w:start w:val="1"/>
    </w:lvl>
    <w:lvl w:ilvl="1">
      <w:lvlJc w:val="left"/>
      <w:lvlText w:val="(%2)"/>
      <w:numFmt w:val="lowerLetter"/>
      <w:start w:val="4"/>
    </w:lvl>
  </w:abstractNum>
  <w:abstractNum w:abstractNumId="42">
    <w:nsid w:val="749ABB43"/>
    <w:multiLevelType w:val="hybridMultilevel"/>
    <w:lvl w:ilvl="0">
      <w:lvlJc w:val="left"/>
      <w:lvlText w:val="%1."/>
      <w:numFmt w:val="decimal"/>
      <w:start w:val="11"/>
    </w:lvl>
    <w:lvl w:ilvl="1">
      <w:lvlJc w:val="left"/>
      <w:lvlText w:val="(%2)"/>
      <w:numFmt w:val="lowerLetter"/>
      <w:start w:val="1"/>
    </w:lvl>
  </w:abstractNum>
  <w:abstractNum w:abstractNumId="43">
    <w:nsid w:val="3DC240FB"/>
    <w:multiLevelType w:val="hybridMultilevel"/>
    <w:lvl w:ilvl="0">
      <w:lvlJc w:val="left"/>
      <w:lvlText w:val="%1."/>
      <w:numFmt w:val="decimal"/>
      <w:start w:val="17"/>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Letter"/>
      <w:start w:val="3"/>
    </w:lvl>
    <w:lvl w:ilvl="1">
      <w:lvlJc w:val="left"/>
      <w:lvlText w:val="(%2)"/>
      <w:numFmt w:val="decimal"/>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
      <w:numFmt w:val="bullet"/>
      <w:start w:val="1"/>
    </w:lvl>
    <w:lvl w:ilvl="1">
      <w:lvlJc w:val="left"/>
      <w:lvlText w:val="(%2)"/>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6" Type="http://schemas.openxmlformats.org/officeDocument/2006/relationships/image" Target="media/image116.png"/><Relationship Id="rId145"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jpeg"/><Relationship Id="rId123" Type="http://schemas.openxmlformats.org/officeDocument/2006/relationships/hyperlink" Target="https://www.sec.gov/Archives/edgar/data/1107843/000119312512388433/d355355dex33.htm" TargetMode="External"/><Relationship Id="rId124" Type="http://schemas.openxmlformats.org/officeDocument/2006/relationships/hyperlink" Target="https://www.sec.gov/Archives/edgar/data/1107843/000110784325000024/qlys-20250611xex31.htm" TargetMode="External"/><Relationship Id="rId125" Type="http://schemas.openxmlformats.org/officeDocument/2006/relationships/hyperlink" Target="https://www.sec.gov/Archives/edgar/data/1107843/000119312522275854/d374785dex31.htm" TargetMode="External"/><Relationship Id="rId126" Type="http://schemas.openxmlformats.org/officeDocument/2006/relationships/hyperlink" Target="https://www.sec.gov/Archives/edgar/data/1107843/000119312512388433/d355355dex41.htm" TargetMode="External"/><Relationship Id="rId127" Type="http://schemas.openxmlformats.org/officeDocument/2006/relationships/hyperlink" Target="https://www.sec.gov/Archives/edgar/data/1107843/000162828020001963/qlys-201910kxexht42.htm" TargetMode="External"/><Relationship Id="rId128" Type="http://schemas.openxmlformats.org/officeDocument/2006/relationships/hyperlink" Target="https://www.sec.gov/Archives/edgar/data/1107843/000119312512265366/d355355dex101.htm" TargetMode="External"/><Relationship Id="rId129" Type="http://schemas.openxmlformats.org/officeDocument/2006/relationships/hyperlink" Target="https://www.sec.gov/Archives/edgar/data/1107843/000110784324000019/qlys-20240612xex101.htm" TargetMode="External"/><Relationship Id="rId130" Type="http://schemas.openxmlformats.org/officeDocument/2006/relationships/hyperlink" Target="https://www.sec.gov/Archives/edgar/data/0001107843/000119312521188846/d573211dex101.htm" TargetMode="External"/><Relationship Id="rId131" Type="http://schemas.openxmlformats.org/officeDocument/2006/relationships/hyperlink" Target="https://www.sec.gov/Archives/edgar/data/1107843/000119312512265366/d355355dex105.htm" TargetMode="External"/><Relationship Id="rId132" Type="http://schemas.openxmlformats.org/officeDocument/2006/relationships/hyperlink" Target="https://www.sec.gov/Archives/edgar/data/1107843/000119312520151509/d800805dex101.htm" TargetMode="External"/><Relationship Id="rId133" Type="http://schemas.openxmlformats.org/officeDocument/2006/relationships/hyperlink" Target="https://www.sec.gov/Archives/edgar/data/1107843/000119312512265366/d355355dex109.htm" TargetMode="External"/><Relationship Id="rId134" Type="http://schemas.openxmlformats.org/officeDocument/2006/relationships/hyperlink" Target="https://www.sec.gov/Archives/edgar/data/1107843/000110784324000028/qlys-20240630xex102.htm" TargetMode="External"/><Relationship Id="rId135" Type="http://schemas.openxmlformats.org/officeDocument/2006/relationships/hyperlink" Target="https://www.sec.gov/Archives/edgar/data/1107843/000110784324000028/qlys-20240630xex103.htm" TargetMode="External"/><Relationship Id="rId137" Type="http://schemas.openxmlformats.org/officeDocument/2006/relationships/hyperlink" Target="https://www.sec.gov/Archives/edgar/data/1107843/000143774922004075/ex_332987.htm" TargetMode="External"/><Relationship Id="rId138" Type="http://schemas.openxmlformats.org/officeDocument/2006/relationships/hyperlink" Target="https://www.sec.gov/Archives/edgar/data/1107843/000119312512350036/d355355dex1010.htm" TargetMode="External"/><Relationship Id="rId139" Type="http://schemas.openxmlformats.org/officeDocument/2006/relationships/hyperlink" Target="https://www.sec.gov/Archives/edgar/data/1107843/000119312516554340/d85159ddef14a.htm" TargetMode="External"/><Relationship Id="rId140" Type="http://schemas.openxmlformats.org/officeDocument/2006/relationships/hyperlink" Target="https://www.sec.gov/Archives/edgar/data/1107843/000110784325000009/qlys-20241231xex1013.htm" TargetMode="External"/><Relationship Id="rId141" Type="http://schemas.openxmlformats.org/officeDocument/2006/relationships/hyperlink" Target="https://www.sec.gov/Archives/edgar/data/1107843/000119312516741827/d270006dex101.htm" TargetMode="External"/><Relationship Id="rId142" Type="http://schemas.openxmlformats.org/officeDocument/2006/relationships/hyperlink" Target="https://www.sec.gov/Archives/edgar/data/1107843/000110784325000031/qlys-20250630xex101.htm" TargetMode="External"/><Relationship Id="rId143" Type="http://schemas.openxmlformats.org/officeDocument/2006/relationships/hyperlink" Target="https://www.sec.gov/Archives/edgar/data/1107843/000110784325000031/qlys-20250630xex102.htm" TargetMode="External"/><Relationship Id="rId144" Type="http://schemas.openxmlformats.org/officeDocument/2006/relationships/hyperlink" Target="https://www.sec.gov/Archives/edgar/data/1107843/000110784325000009/qlys-20241231xex191.htm" TargetMode="External"/><Relationship Id="rId146" Type="http://schemas.openxmlformats.org/officeDocument/2006/relationships/hyperlink" Target="https://www.sec.gov/Archives/edgar/data/1107843/000110784324000008/qlys-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2026-02-20T16:20:37Z</dcterms:created>
  <dcterms:modified xsi:type="dcterms:W3CDTF">2026-02-20T16:20:37Z</dcterms:modified>
</cp:coreProperties>
</file>