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176"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40" w:type="dxa"/>
        <w:tblCellMar>
          <w:top w:w="0" w:type="dxa"/>
          <w:left w:w="0" w:type="dxa"/>
          <w:bottom w:w="0" w:type="dxa"/>
          <w:right w:w="0" w:type="dxa"/>
        </w:tblCellMar>
      </w:tblPr>
      <w:tr>
        <w:trPr>
          <w:trHeight w:val="442"/>
        </w:trPr>
        <w:tc>
          <w:tcPr>
            <w:tcW w:w="6640" w:type="dxa"/>
            <w:vAlign w:val="bottom"/>
          </w:tcPr>
          <w:p>
            <w:pPr>
              <w:jc w:val="center"/>
              <w:ind w:left="1813"/>
              <w:spacing w:after="0" w:line="441" w:lineRule="exact"/>
              <w:rPr>
                <w:sz w:val="20"/>
                <w:szCs w:val="20"/>
                <w:color w:val="auto"/>
              </w:rPr>
            </w:pPr>
            <w:r>
              <w:rPr>
                <w:rFonts w:ascii="Arial" w:cs="Arial" w:eastAsia="Arial" w:hAnsi="Arial"/>
                <w:sz w:val="40"/>
                <w:szCs w:val="40"/>
                <w:b w:val="1"/>
                <w:bCs w:val="1"/>
                <w:color w:val="231F20"/>
                <w:w w:val="97"/>
              </w:rPr>
              <w:t>QUALYS, INC.</w:t>
            </w:r>
          </w:p>
        </w:tc>
        <w:tc>
          <w:tcPr>
            <w:tcW w:w="1660" w:type="dxa"/>
            <w:vAlign w:val="bottom"/>
          </w:tcPr>
          <w:p>
            <w:pPr>
              <w:spacing w:after="0"/>
              <w:rPr>
                <w:sz w:val="24"/>
                <w:szCs w:val="24"/>
                <w:color w:val="auto"/>
              </w:rPr>
            </w:pPr>
          </w:p>
        </w:tc>
      </w:tr>
      <w:tr>
        <w:trPr>
          <w:trHeight w:val="148"/>
        </w:trPr>
        <w:tc>
          <w:tcPr>
            <w:tcW w:w="6640" w:type="dxa"/>
            <w:vAlign w:val="bottom"/>
          </w:tcPr>
          <w:p>
            <w:pPr>
              <w:jc w:val="center"/>
              <w:ind w:left="181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c>
          <w:tcPr>
            <w:tcW w:w="1660" w:type="dxa"/>
            <w:vAlign w:val="bottom"/>
          </w:tcPr>
          <w:p>
            <w:pPr>
              <w:spacing w:after="0"/>
              <w:rPr>
                <w:sz w:val="12"/>
                <w:szCs w:val="12"/>
                <w:color w:val="auto"/>
              </w:rPr>
            </w:pPr>
          </w:p>
        </w:tc>
      </w:tr>
      <w:tr>
        <w:trPr>
          <w:trHeight w:val="239"/>
        </w:trPr>
        <w:tc>
          <w:tcPr>
            <w:tcW w:w="6640" w:type="dxa"/>
            <w:vAlign w:val="bottom"/>
          </w:tcPr>
          <w:p>
            <w:pPr>
              <w:jc w:val="center"/>
              <w:ind w:left="1833"/>
              <w:spacing w:after="0"/>
              <w:rPr>
                <w:sz w:val="20"/>
                <w:szCs w:val="20"/>
                <w:color w:val="auto"/>
              </w:rPr>
            </w:pPr>
            <w:r>
              <w:rPr>
                <w:rFonts w:ascii="Arial" w:cs="Arial" w:eastAsia="Arial" w:hAnsi="Arial"/>
                <w:sz w:val="18"/>
                <w:szCs w:val="18"/>
                <w:b w:val="1"/>
                <w:bCs w:val="1"/>
                <w:color w:val="231F20"/>
                <w:w w:val="99"/>
              </w:rPr>
              <w:t>__________________</w:t>
            </w:r>
          </w:p>
        </w:tc>
        <w:tc>
          <w:tcPr>
            <w:tcW w:w="1660" w:type="dxa"/>
            <w:vAlign w:val="bottom"/>
          </w:tcPr>
          <w:p>
            <w:pPr>
              <w:spacing w:after="0"/>
              <w:rPr>
                <w:sz w:val="20"/>
                <w:szCs w:val="20"/>
                <w:color w:val="auto"/>
              </w:rPr>
            </w:pPr>
          </w:p>
        </w:tc>
      </w:tr>
      <w:tr>
        <w:trPr>
          <w:trHeight w:val="357"/>
        </w:trPr>
        <w:tc>
          <w:tcPr>
            <w:tcW w:w="6640" w:type="dxa"/>
            <w:vAlign w:val="bottom"/>
          </w:tcPr>
          <w:p>
            <w:pPr>
              <w:jc w:val="center"/>
              <w:ind w:right="4513"/>
              <w:spacing w:after="0"/>
              <w:rPr>
                <w:sz w:val="20"/>
                <w:szCs w:val="20"/>
                <w:color w:val="auto"/>
              </w:rPr>
            </w:pPr>
            <w:r>
              <w:rPr>
                <w:rFonts w:ascii="Arial" w:cs="Arial" w:eastAsia="Arial" w:hAnsi="Arial"/>
                <w:sz w:val="14"/>
                <w:szCs w:val="14"/>
                <w:b w:val="1"/>
                <w:bCs w:val="1"/>
                <w:color w:val="auto"/>
              </w:rPr>
              <w:t>Delaware</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6640" w:type="dxa"/>
            <w:vAlign w:val="bottom"/>
          </w:tcPr>
          <w:p>
            <w:pPr>
              <w:jc w:val="center"/>
              <w:ind w:right="4493"/>
              <w:spacing w:after="0"/>
              <w:rPr>
                <w:sz w:val="20"/>
                <w:szCs w:val="20"/>
                <w:color w:val="auto"/>
              </w:rPr>
            </w:pPr>
            <w:r>
              <w:rPr>
                <w:rFonts w:ascii="Arial" w:cs="Arial" w:eastAsia="Arial" w:hAnsi="Arial"/>
                <w:sz w:val="14"/>
                <w:szCs w:val="14"/>
                <w:b w:val="1"/>
                <w:bCs w:val="1"/>
                <w:color w:val="auto"/>
              </w:rPr>
              <w:t>(State or other jurisdiction of</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6640" w:type="dxa"/>
            <w:vAlign w:val="bottom"/>
          </w:tcPr>
          <w:p>
            <w:pPr>
              <w:jc w:val="center"/>
              <w:ind w:right="4493"/>
              <w:spacing w:after="0"/>
              <w:rPr>
                <w:sz w:val="20"/>
                <w:szCs w:val="20"/>
                <w:color w:val="auto"/>
              </w:rPr>
            </w:pPr>
            <w:r>
              <w:rPr>
                <w:rFonts w:ascii="Arial" w:cs="Arial" w:eastAsia="Arial" w:hAnsi="Arial"/>
                <w:sz w:val="14"/>
                <w:szCs w:val="14"/>
                <w:b w:val="1"/>
                <w:bCs w:val="1"/>
                <w:color w:val="auto"/>
              </w:rPr>
              <w:t>incorporation or organization)</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6640" w:type="dxa"/>
            <w:vAlign w:val="bottom"/>
          </w:tcPr>
          <w:p>
            <w:pPr>
              <w:jc w:val="center"/>
              <w:ind w:left="1833"/>
              <w:spacing w:after="0"/>
              <w:rPr>
                <w:sz w:val="20"/>
                <w:szCs w:val="20"/>
                <w:color w:val="auto"/>
              </w:rPr>
            </w:pPr>
            <w:r>
              <w:rPr>
                <w:rFonts w:ascii="Arial" w:cs="Arial" w:eastAsia="Arial" w:hAnsi="Arial"/>
                <w:sz w:val="14"/>
                <w:szCs w:val="14"/>
                <w:b w:val="1"/>
                <w:bCs w:val="1"/>
                <w:color w:val="auto"/>
              </w:rPr>
              <w:t>919 E. Hillsdale Boulevard, 4th Floor, Foster City, California 94404</w:t>
            </w:r>
          </w:p>
        </w:tc>
        <w:tc>
          <w:tcPr>
            <w:tcW w:w="1660" w:type="dxa"/>
            <w:vAlign w:val="bottom"/>
          </w:tcPr>
          <w:p>
            <w:pPr>
              <w:spacing w:after="0"/>
              <w:rPr>
                <w:sz w:val="24"/>
                <w:szCs w:val="24"/>
                <w:color w:val="auto"/>
              </w:rPr>
            </w:pPr>
          </w:p>
        </w:tc>
      </w:tr>
      <w:tr>
        <w:trPr>
          <w:trHeight w:val="190"/>
        </w:trPr>
        <w:tc>
          <w:tcPr>
            <w:tcW w:w="6640" w:type="dxa"/>
            <w:vAlign w:val="bottom"/>
          </w:tcPr>
          <w:p>
            <w:pPr>
              <w:jc w:val="center"/>
              <w:ind w:left="1813"/>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296"/>
        </w:trPr>
        <w:tc>
          <w:tcPr>
            <w:tcW w:w="6640" w:type="dxa"/>
            <w:vAlign w:val="bottom"/>
          </w:tcPr>
          <w:p>
            <w:pPr>
              <w:jc w:val="center"/>
              <w:ind w:left="1813"/>
              <w:spacing w:after="0"/>
              <w:rPr>
                <w:sz w:val="20"/>
                <w:szCs w:val="20"/>
                <w:color w:val="auto"/>
              </w:rPr>
            </w:pPr>
            <w:r>
              <w:rPr>
                <w:rFonts w:ascii="Arial" w:cs="Arial" w:eastAsia="Arial" w:hAnsi="Arial"/>
                <w:sz w:val="14"/>
                <w:szCs w:val="14"/>
                <w:b w:val="1"/>
                <w:bCs w:val="1"/>
                <w:color w:val="auto"/>
              </w:rPr>
              <w:t>(650) 801-6100</w:t>
            </w:r>
          </w:p>
        </w:tc>
        <w:tc>
          <w:tcPr>
            <w:tcW w:w="1660" w:type="dxa"/>
            <w:vAlign w:val="bottom"/>
          </w:tcPr>
          <w:p>
            <w:pPr>
              <w:spacing w:after="0"/>
              <w:rPr>
                <w:sz w:val="24"/>
                <w:szCs w:val="24"/>
                <w:color w:val="auto"/>
              </w:rPr>
            </w:pPr>
          </w:p>
        </w:tc>
      </w:tr>
      <w:tr>
        <w:trPr>
          <w:trHeight w:val="148"/>
        </w:trPr>
        <w:tc>
          <w:tcPr>
            <w:tcW w:w="6640" w:type="dxa"/>
            <w:vAlign w:val="bottom"/>
          </w:tcPr>
          <w:p>
            <w:pPr>
              <w:jc w:val="center"/>
              <w:ind w:left="183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c>
          <w:tcPr>
            <w:tcW w:w="1660" w:type="dxa"/>
            <w:vAlign w:val="bottom"/>
          </w:tcPr>
          <w:p>
            <w:pPr>
              <w:spacing w:after="0"/>
              <w:rPr>
                <w:sz w:val="12"/>
                <w:szCs w:val="12"/>
                <w:color w:val="auto"/>
              </w:rPr>
            </w:pPr>
          </w:p>
        </w:tc>
      </w:tr>
      <w:tr>
        <w:trPr>
          <w:trHeight w:val="239"/>
        </w:trPr>
        <w:tc>
          <w:tcPr>
            <w:tcW w:w="6640" w:type="dxa"/>
            <w:vAlign w:val="bottom"/>
          </w:tcPr>
          <w:p>
            <w:pPr>
              <w:jc w:val="center"/>
              <w:ind w:left="1833"/>
              <w:spacing w:after="0"/>
              <w:rPr>
                <w:sz w:val="20"/>
                <w:szCs w:val="20"/>
                <w:color w:val="auto"/>
              </w:rPr>
            </w:pPr>
            <w:r>
              <w:rPr>
                <w:rFonts w:ascii="Arial" w:cs="Arial" w:eastAsia="Arial" w:hAnsi="Arial"/>
                <w:sz w:val="18"/>
                <w:szCs w:val="18"/>
                <w:b w:val="1"/>
                <w:bCs w:val="1"/>
                <w:color w:val="231F20"/>
                <w:w w:val="99"/>
              </w:rPr>
              <w:t>__________________</w:t>
            </w:r>
          </w:p>
        </w:tc>
        <w:tc>
          <w:tcPr>
            <w:tcW w:w="1660" w:type="dxa"/>
            <w:vAlign w:val="bottom"/>
          </w:tcPr>
          <w:p>
            <w:pPr>
              <w:spacing w:after="0"/>
              <w:rPr>
                <w:sz w:val="20"/>
                <w:szCs w:val="20"/>
                <w:color w:val="auto"/>
              </w:rPr>
            </w:pP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ind w:right="5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440" w:gutter="0" w:footer="0" w:header="0"/>
        </w:sectPr>
      </w:pPr>
    </w:p>
    <w:p>
      <w:pPr>
        <w:spacing w:after="0" w:line="163"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231F20"/>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231F20"/>
        </w:rPr>
        <w:t>Accelerated filer</w:t>
      </w:r>
    </w:p>
    <w:p>
      <w:pPr>
        <w:spacing w:after="0" w:line="98"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86" w:lineRule="exact"/>
        <w:rPr>
          <w:sz w:val="24"/>
          <w:szCs w:val="24"/>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30, 2018 was 39,379,168.</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600" w:space="420"/>
            <w:col w:w="32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9"/>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September</w:t>
            </w:r>
            <w:r>
              <w:rPr>
                <w:rFonts w:ascii="Arial" w:cs="Arial" w:eastAsia="Arial" w:hAnsi="Arial"/>
                <w:sz w:val="16"/>
                <w:szCs w:val="16"/>
                <w:color w:val="0000EE"/>
              </w:rPr>
              <w:t xml:space="preserve"> </w:t>
            </w:r>
            <w:r>
              <w:rPr>
                <w:rFonts w:ascii="Arial" w:cs="Arial" w:eastAsia="Arial" w:hAnsi="Arial"/>
                <w:sz w:val="16"/>
                <w:szCs w:val="16"/>
                <w:color w:val="0000FF"/>
              </w:rPr>
              <w:t>30, 2018 and December 31, 2017</w:t>
            </w:r>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and nine months ended September 30, 2018 and 2017</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and nine months ended September 30, 2018 and 2017</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nine</w:t>
            </w:r>
            <w:r>
              <w:rPr>
                <w:rFonts w:ascii="Arial" w:cs="Arial" w:eastAsia="Arial" w:hAnsi="Arial"/>
                <w:sz w:val="16"/>
                <w:szCs w:val="16"/>
                <w:color w:val="0000EE"/>
              </w:rPr>
              <w:t xml:space="preserve"> </w:t>
            </w:r>
            <w:r>
              <w:rPr>
                <w:rFonts w:ascii="Arial" w:cs="Arial" w:eastAsia="Arial" w:hAnsi="Arial"/>
                <w:sz w:val="16"/>
                <w:szCs w:val="16"/>
                <w:color w:val="0000FF"/>
              </w:rPr>
              <w:t>months ended September 30, 2018 and 2017</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360" w:type="dxa"/>
            <w:vAlign w:val="bottom"/>
            <w:tcBorders>
              <w:top w:val="single" w:sz="8" w:color="0000EE"/>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3560" w:type="dxa"/>
            <w:vAlign w:val="bottom"/>
            <w:tcBorders>
              <w:top w:val="single" w:sz="8" w:color="0000FF"/>
            </w:tcBorders>
            <w:gridSpan w:val="3"/>
          </w:tcPr>
          <w:p>
            <w:pPr>
              <w:spacing w:after="0"/>
              <w:rPr>
                <w:sz w:val="21"/>
                <w:szCs w:val="21"/>
                <w:color w:val="auto"/>
              </w:rPr>
            </w:pPr>
          </w:p>
        </w:tc>
        <w:tc>
          <w:tcPr>
            <w:tcW w:w="1880" w:type="dxa"/>
            <w:vAlign w:val="bottom"/>
            <w:gridSpan w:val="3"/>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29</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tcPr>
          <w:p>
            <w:pPr>
              <w:spacing w:after="0"/>
              <w:rPr>
                <w:sz w:val="19"/>
                <w:szCs w:val="19"/>
                <w:color w:val="auto"/>
              </w:rPr>
            </w:pPr>
          </w:p>
        </w:tc>
        <w:tc>
          <w:tcPr>
            <w:tcW w:w="3440" w:type="dxa"/>
            <w:vAlign w:val="bottom"/>
            <w:gridSpan w:val="5"/>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43">
              <w:r>
                <w:rPr>
                  <w:rFonts w:ascii="Arial" w:cs="Arial" w:eastAsia="Arial" w:hAnsi="Arial"/>
                  <w:sz w:val="16"/>
                  <w:szCs w:val="16"/>
                  <w:color w:val="0000FF"/>
                  <w:w w:val="89"/>
                </w:rPr>
                <w:t>43</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8"/>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5">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45</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5">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5">
              <w:r>
                <w:rPr>
                  <w:rFonts w:ascii="Arial" w:cs="Arial" w:eastAsia="Arial" w:hAnsi="Arial"/>
                  <w:sz w:val="16"/>
                  <w:szCs w:val="16"/>
                  <w:color w:val="0000FF"/>
                  <w:w w:val="89"/>
                </w:rPr>
                <w:t>45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67</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7">
              <w:r>
                <w:rPr>
                  <w:rFonts w:ascii="Arial" w:cs="Arial" w:eastAsia="Arial" w:hAnsi="Arial"/>
                  <w:sz w:val="16"/>
                  <w:szCs w:val="16"/>
                  <w:color w:val="0000FF"/>
                  <w:w w:val="89"/>
                </w:rPr>
                <w:t>67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7">
              <w:r>
                <w:rPr>
                  <w:rFonts w:ascii="Arial" w:cs="Arial" w:eastAsia="Arial" w:hAnsi="Arial"/>
                  <w:sz w:val="16"/>
                  <w:szCs w:val="16"/>
                  <w:color w:val="0000FF"/>
                  <w:w w:val="89"/>
                </w:rPr>
                <w:t>67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7">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7">
              <w:r>
                <w:rPr>
                  <w:rFonts w:ascii="Arial" w:cs="Arial" w:eastAsia="Arial" w:hAnsi="Arial"/>
                  <w:sz w:val="16"/>
                  <w:szCs w:val="16"/>
                  <w:color w:val="0000FF"/>
                  <w:w w:val="89"/>
                </w:rPr>
                <w:t>67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68</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69</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97,964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86,591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228,542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201,823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$764 and $816 as of September 30, 2018 and December 31, 2017, respectively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58,612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64,412</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16,623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16,524</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401,741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369,350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marketable securities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64,103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67,224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64,503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58,557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28,248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25,066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13,741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8,115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2,178</w:t>
            </w:r>
          </w:p>
        </w:tc>
      </w:tr>
      <w:tr>
        <w:trPr>
          <w:trHeight w:val="283"/>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586,000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537,525</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231F20"/>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 :</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23,208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21,444</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155,115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143,186</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183,046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165,774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17,136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11,256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11,071</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211,860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193,981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7)</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 30, 2018</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and December 31, 2017</w:t>
            </w: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39,341,476 and 38,598,117 shares issued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September 30, 2018 and December 31, 2017</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329,045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304,155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45,808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39,924</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374,140</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343,544</w:t>
            </w:r>
          </w:p>
        </w:tc>
      </w:tr>
      <w:tr>
        <w:trPr>
          <w:trHeight w:val="243"/>
        </w:trPr>
        <w:tc>
          <w:tcPr>
            <w:tcW w:w="8340" w:type="dxa"/>
            <w:vAlign w:val="bottom"/>
          </w:tcPr>
          <w:p>
            <w:pPr>
              <w:ind w:left="500"/>
              <w:spacing w:after="0"/>
              <w:rPr>
                <w:sz w:val="20"/>
                <w:szCs w:val="20"/>
                <w:color w:val="auto"/>
              </w:rPr>
            </w:pPr>
            <w:r>
              <w:rPr>
                <w:rFonts w:ascii="Arial" w:cs="Arial" w:eastAsia="Arial" w:hAnsi="Arial"/>
                <w:sz w:val="14"/>
                <w:szCs w:val="14"/>
                <w:color w:val="231F20"/>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586,000</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537,525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202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204,689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167,913</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16,511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12,728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48,660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37,175</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55,147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130,738</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31,240</w:t>
            </w: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50,698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46,872</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9,040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9,546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25,112</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37,030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35,913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118,611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103,224</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27,514</w:t>
            </w:r>
          </w:p>
        </w:tc>
        <w:tc>
          <w:tcPr>
            <w:tcW w:w="0" w:type="dxa"/>
            <w:vAlign w:val="bottom"/>
          </w:tcPr>
          <w:p>
            <w:pPr>
              <w:spacing w:after="0"/>
              <w:rPr>
                <w:sz w:val="1"/>
                <w:szCs w:val="1"/>
                <w:color w:val="auto"/>
              </w:rPr>
            </w:pPr>
          </w:p>
        </w:tc>
      </w:tr>
      <w:tr>
        <w:trPr>
          <w:trHeight w:val="264"/>
        </w:trPr>
        <w:tc>
          <w:tcPr>
            <w:tcW w:w="66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66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2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1,116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19,233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28,998</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231F20"/>
              </w:rPr>
              <w:t>(4,236)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3,068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(8,586)</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37,584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5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39,170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38,907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37,162</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42,197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40,299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42,113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39,601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7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37,584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Available-for-sale marketable securities: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(loss) gain, net of tax</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net realized gain included in net income, net of tax</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23,538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42,726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37,620</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8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42,904</w:t>
            </w:r>
          </w:p>
        </w:tc>
        <w:tc>
          <w:tcPr>
            <w:tcW w:w="12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37,584</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21,224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15,054</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18,522</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1,155</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(17,631)</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Excess tax benefits included in deferred tax assets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7,880</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(706)</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12,351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17,716</w:t>
            </w:r>
          </w:p>
        </w:tc>
      </w:tr>
      <w:tr>
        <w:trPr>
          <w:trHeight w:val="270"/>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1,190</w:t>
            </w:r>
          </w:p>
        </w:tc>
      </w:tr>
      <w:tr>
        <w:trPr>
          <w:trHeight w:val="21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98,820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81,779</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(242,056)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(198,866)</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148,025</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(19,496)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(26,612)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acquisition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 of privately-held investment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8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(48,546)</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(83,206)</w:t>
            </w:r>
          </w:p>
        </w:tc>
      </w:tr>
      <w:tr>
        <w:trPr>
          <w:trHeight w:val="258"/>
        </w:trPr>
        <w:tc>
          <w:tcPr>
            <w:tcW w:w="88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22,778</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(12,010)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(17,571)</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Repurchase of common stock</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(46,542)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8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(38,859)</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5,207</w:t>
            </w: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3,780</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87,791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87,937</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99,164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91,717</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Cash paid for interest expense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 of assets under capital lease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8"/>
              <w:spacing w:after="0"/>
              <w:rPr>
                <w:sz w:val="20"/>
                <w:szCs w:val="20"/>
                <w:color w:val="auto"/>
              </w:rPr>
            </w:pPr>
            <w:r>
              <w:rPr>
                <w:rFonts w:ascii="Arial" w:cs="Arial" w:eastAsia="Arial" w:hAnsi="Arial"/>
                <w:sz w:val="18"/>
                <w:szCs w:val="18"/>
                <w:color w:val="auto"/>
              </w:rPr>
              <w:t>—</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 yet received tenant allowance recorded in other assets, accrued liabilities and other non-current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8,076</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141" w:right="239" w:bottom="1057"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057"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2017</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2018 are not necessarily indicative of the results of operations expected for the entire year ending December 31, 2018 or for any other future annual or interim periods.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2017</w:t>
      </w:r>
      <w:r>
        <w:rPr>
          <w:rFonts w:ascii="Arial" w:cs="Arial" w:eastAsia="Arial" w:hAnsi="Arial"/>
          <w:sz w:val="18"/>
          <w:szCs w:val="18"/>
          <w:color w:val="231F20"/>
        </w:rPr>
        <w:t>, filed with the SEC on February 23,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new internally developed software, stock-based compensation and the provision for income taxes. Actual results could differ from those estimates and such differences may be material to the accompanying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Internally Developed Software Costs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Company capitalizes costs incurred to develop new internal-use software. Capitalized costs include salaries, benefits, and stock-based compensation charges for employees that are directly involved in developing its cloud security platform during the application development stage. These capitalized costs are included in other noncurrent assets on the accompanying condensed consolidated balance sheets. Such costs are amortized on a straight-line basis over its estimated useful life of three years. Amortization of product related to new internal-use software is recorded to cost of revenues. Capitalization of new internally developed software cost was $0.8 million for the nine months ended September 30, 2018. </w:t>
      </w:r>
      <w:r>
        <w:rPr>
          <w:rFonts w:ascii="Arial" w:cs="Arial" w:eastAsia="Arial" w:hAnsi="Arial"/>
          <w:sz w:val="18"/>
          <w:szCs w:val="18"/>
          <w:color w:val="231F20"/>
        </w:rPr>
        <w:t>Unamortized cost for</w:t>
      </w:r>
      <w:r>
        <w:rPr>
          <w:rFonts w:ascii="Arial" w:cs="Arial" w:eastAsia="Arial" w:hAnsi="Arial"/>
          <w:sz w:val="18"/>
          <w:szCs w:val="18"/>
          <w:color w:val="auto"/>
        </w:rPr>
        <w:t xml:space="preserve"> capitalized new internally developed software was $0.7 million at September 30, 2018. Amortization expense for capitalized new internally developed software was less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than $0.1 million for the three and nine months ended September 30, 2018</w:t>
      </w:r>
      <w:r>
        <w:rPr>
          <w:rFonts w:ascii="Arial" w:cs="Arial" w:eastAsia="Arial" w:hAnsi="Arial"/>
          <w:sz w:val="18"/>
          <w:szCs w:val="18"/>
          <w:color w:val="231F20"/>
        </w:rPr>
        <w:t>.</w:t>
      </w:r>
      <w:r>
        <w:rPr>
          <w:rFonts w:ascii="Arial" w:cs="Arial" w:eastAsia="Arial" w:hAnsi="Arial"/>
          <w:sz w:val="18"/>
          <w:szCs w:val="18"/>
          <w:color w:val="auto"/>
        </w:rPr>
        <w:t xml:space="preserve"> Management evaluates the useful lives of these assets on an annual basis and tests for impairment whenever events or changes in circumstances occur that could impact the recoverability of these assets.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Method Investments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the second quarter of fiscal 2018, the Company invested </w:t>
      </w:r>
      <w:r>
        <w:rPr>
          <w:rFonts w:ascii="Arial" w:cs="Arial" w:eastAsia="Arial" w:hAnsi="Arial"/>
          <w:sz w:val="18"/>
          <w:szCs w:val="18"/>
          <w:color w:val="231F20"/>
        </w:rPr>
        <w:t>$2.5 million</w:t>
      </w:r>
      <w:r>
        <w:rPr>
          <w:rFonts w:ascii="Arial" w:cs="Arial" w:eastAsia="Arial" w:hAnsi="Arial"/>
          <w:sz w:val="18"/>
          <w:szCs w:val="18"/>
          <w:color w:val="auto"/>
        </w:rPr>
        <w:t xml:space="preserve"> in a privately-held company. The Company used the cost method of accounting to account for the investment because it does not hold a controlling interest in this entity and the Company does not have the ability to exercise significant influence over the entity's operating and financial policies. The investment is included in long term assets on the accompanying condensed consolidated balance sheets. The Company's cost method investment is assessed for impairment when events or changes in circumstances indicate that the carrying amount may not be recoverable. The Company has not recorded any dividends or other-than-temporary impairment charges related to its cost method investment. The fair value of the investment is not readily available, and there are no quoted market prices for the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 xml:space="preserve">Except for the changes below, the Company has consistently applied the </w:t>
      </w:r>
      <w:r>
        <w:rPr>
          <w:rFonts w:ascii="Arial" w:cs="Arial" w:eastAsia="Arial" w:hAnsi="Arial"/>
          <w:sz w:val="18"/>
          <w:szCs w:val="18"/>
          <w:color w:val="000000"/>
        </w:rPr>
        <w:t>accounting policies, described in its Annual Report on Form 10-K</w:t>
      </w:r>
      <w:r>
        <w:rPr>
          <w:rFonts w:ascii="Arial" w:cs="Arial" w:eastAsia="Arial" w:hAnsi="Arial"/>
          <w:sz w:val="18"/>
          <w:szCs w:val="18"/>
          <w:color w:val="231F20"/>
        </w:rPr>
        <w:t xml:space="preserve"> </w:t>
      </w:r>
      <w:r>
        <w:rPr>
          <w:rFonts w:ascii="Arial" w:cs="Arial" w:eastAsia="Arial" w:hAnsi="Arial"/>
          <w:sz w:val="18"/>
          <w:szCs w:val="18"/>
          <w:color w:val="000000"/>
        </w:rPr>
        <w:t>for the year ended December 31, 2017, to all periods presented in the condensed consolidated financial statements.</w:t>
      </w:r>
    </w:p>
    <w:p>
      <w:pPr>
        <w:spacing w:after="0" w:line="1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adopted Accounting Standards Codification ("ASC") 606 Revenue from Contracts with Customers with a date of initial application of January 1, 2018. The Company adopted ASC 606 using the modified retrospective method and recognized the cumulative effect as an adjustment to the opening balance of equity at January 1, 2018. Therefore, the comparative information from the prior period has not been adjusted and continues to be reported under ASC 605. The impact of adopting ASC 606 was related to the deferral of sales commission costs for new business and when customers increase their renewal orders (“upsells”). The Company previously expensed sales commissions as incurred. Under ASC 606, sales commissions cost related to new business and upsells are recorded as an asset. The Company amortizes the capitalized commission cost as a selling expense on a straight-line basis over a period of five years. Five years represents the estimated life of the customer relationship taking into account factors such as peer estimates of technology lives and customer lives as well as the Company's own historical data. Applying the practical expedient in ASC 340-40-25-4, the Company expenses commissions related to its contract renewals. The current and noncurrent portions of deferred commissions are included in prepaid expenses and other current assets, and other noncurrent assets, respectively, in its condensed consolidated balance sheets.</w:t>
      </w:r>
    </w:p>
    <w:p>
      <w:pPr>
        <w:spacing w:after="0" w:line="212"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8"/>
          <w:szCs w:val="18"/>
          <w:color w:val="auto"/>
        </w:rPr>
        <w:t>On January 1, 2018, the Company recorded an increase to retained earnings of $2.7 million which was the net cumulative impact associated with the capitalization of sales commissions. Additionally, the Company recorded a corresponding commission asset balance of $3.5 million and a related deferred tax liability of $0.8 million. There was no impact to the Company's revenues as a result of adopting ASC</w:t>
      </w:r>
    </w:p>
    <w:p>
      <w:pPr>
        <w:spacing w:after="0" w:line="1" w:lineRule="exact"/>
        <w:rPr>
          <w:sz w:val="20"/>
          <w:szCs w:val="20"/>
          <w:color w:val="auto"/>
        </w:rPr>
      </w:pPr>
    </w:p>
    <w:p>
      <w:pPr>
        <w:jc w:val="both"/>
        <w:ind w:firstLine="8"/>
        <w:spacing w:after="0" w:line="256" w:lineRule="auto"/>
        <w:tabs>
          <w:tab w:leader="none" w:pos="407"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Without the adoption of ASC 606, commission expenses would have been $0.5 million higher for the three months ended September 30, 2018. See Note 4, “Revenue from Contracts with Customers”, for additional information regarding the impact on the Company's condensed consolidated financial statements.</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2016, the Financial Accounting Standards Board ("FASB") issued Accounting Standards Update ("ASU") 2016-01, Financial Instruments - Overall (Subtopic 825-10): Recognition and Measurement of Financial Assets and Financial Liabilities, which impacts certain aspects of recognition, measurement, presentation and disclosure of financial instruments. The ASU impacts the accounting for equity investments, financial liabilities under the fair value option, and the presentation and disclosure requirements for financial instruments. The Company adopted this ASU in its first quarter of 2018. The adoption of this ASU did not have a material impact on the Company's condensed consolidated financial statements.</w:t>
      </w:r>
    </w:p>
    <w:p>
      <w:pPr>
        <w:spacing w:after="0" w:line="20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August 2016, the FASB issued ASU 2016-15, Classification of Certain Cash Receipts and Cash Payments (a consensus of the Emerging Issues Task Force), to provide guidance on the presentation of certain cash receipts and cash payments in the statement of cash flows in order to reduce diversity in existing practice. The Company adopted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this ASU in its first quarter of 2018. The adoption of this ASU did not have a material impact on the Company's condensed consolidated financial statements.</w:t>
      </w:r>
    </w:p>
    <w:p>
      <w:pPr>
        <w:spacing w:after="0" w:line="1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In November 2016, the FASB issued ASU 2016-18, Statement of Cash Flows (Topic 230): Restricted Cash. The update provides guidance on the presentation of restricted cash or restricted cash equivalents in the statement of cash flows. The Company adopted this ASU retrospectively in its first quarter of 2018. The Company reclassified restricted cash of $1.2 million for each of the nine months ended September 30, 2018 and </w:t>
      </w:r>
      <w:r>
        <w:rPr>
          <w:rFonts w:ascii="Arial" w:cs="Arial" w:eastAsia="Arial" w:hAnsi="Arial"/>
          <w:sz w:val="18"/>
          <w:szCs w:val="18"/>
          <w:color w:val="000000"/>
        </w:rPr>
        <w:t>2017</w:t>
      </w:r>
      <w:r>
        <w:rPr>
          <w:rFonts w:ascii="Arial" w:cs="Arial" w:eastAsia="Arial" w:hAnsi="Arial"/>
          <w:sz w:val="18"/>
          <w:szCs w:val="18"/>
          <w:color w:val="231F20"/>
        </w:rPr>
        <w:t>, in the condensed consolidated statements of cash flows.</w:t>
      </w:r>
    </w:p>
    <w:p>
      <w:pPr>
        <w:spacing w:after="0" w:line="123"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231F20"/>
        </w:rPr>
        <w:t>In January 2017, the FASB issued ASU 2017-01, Business Combinations (Topic 805): Clarifying the Definition of a Business, which revises the definition of a business and provides new guidance in evaluating when a set of transferred assets and activities is a business. The Company adopted this ASU prospectively in its first quarter of 2018. The adoption of this ASU did not have a material impact on the Company's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February 2016, the FASB issued ASU 2016-02, Leases (Topic 842), which requires lessees to recognize all leases, including operating leases, on the balance sheet as a lease asset and lease liability, unless the lease is a short-term lease. ASU 2016-02 also requires additional disclosures regarding leasing arrangements. ASU 2016-02 is effective for the Company beginning in the first quarter of fiscal 2019 and early adoption is permitted. In July 2018, the FASB issued ASU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Pursuant to the leasing criteria, most of the Company's leased space and equipment leases will be required to be accounted for as right-of-use assets on the balance sheet with offsetting financing obligations. In the statement of operations, what was formerly rent expense for operating leases will be lease expense; and finance leases will be bifurcated into amortization of right-of-use assets and interest on lease liabilities. The Company plans to adopt the ASU utilizing the cumulative-effect adjustment methodology on January 1, 2019, and is currently evaluating the impact and expects the ASU will have a material impact on its condensed consolidated financial statements.</w:t>
      </w:r>
    </w:p>
    <w:p>
      <w:pPr>
        <w:spacing w:after="0" w:line="13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adoption of this ASU is not expected to have a material impact on the Company's condensed consolidated financial statements.</w:t>
      </w:r>
    </w:p>
    <w:p>
      <w:pPr>
        <w:spacing w:after="0" w:line="12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February 2018, the FASB issued ASU 2018-02, </w:t>
      </w:r>
      <w:r>
        <w:rPr>
          <w:rFonts w:ascii="Arial" w:cs="Arial" w:eastAsia="Arial" w:hAnsi="Arial"/>
          <w:sz w:val="18"/>
          <w:szCs w:val="18"/>
          <w:color w:val="000000"/>
        </w:rPr>
        <w:t>Income Statement—Reporting Comprehensive Income (Topic 220): Reclassification of</w:t>
      </w:r>
      <w:r>
        <w:rPr>
          <w:rFonts w:ascii="Arial" w:cs="Arial" w:eastAsia="Arial" w:hAnsi="Arial"/>
          <w:sz w:val="18"/>
          <w:szCs w:val="18"/>
          <w:color w:val="231F20"/>
        </w:rPr>
        <w:t xml:space="preserve"> </w:t>
      </w:r>
      <w:r>
        <w:rPr>
          <w:rFonts w:ascii="Arial" w:cs="Arial" w:eastAsia="Arial" w:hAnsi="Arial"/>
          <w:sz w:val="18"/>
          <w:szCs w:val="18"/>
          <w:color w:val="000000"/>
        </w:rPr>
        <w:t xml:space="preserve">Certain Tax Effects from Accumulated Other Comprehensive Income. </w:t>
      </w:r>
      <w:r>
        <w:rPr>
          <w:rFonts w:ascii="Arial" w:cs="Arial" w:eastAsia="Arial" w:hAnsi="Arial"/>
          <w:sz w:val="18"/>
          <w:szCs w:val="18"/>
          <w:color w:val="231F20"/>
        </w:rPr>
        <w:t>This ASU eliminates the stranded tax effects in other comprehensive</w:t>
      </w:r>
      <w:r>
        <w:rPr>
          <w:rFonts w:ascii="Arial" w:cs="Arial" w:eastAsia="Arial" w:hAnsi="Arial"/>
          <w:sz w:val="18"/>
          <w:szCs w:val="18"/>
          <w:color w:val="000000"/>
        </w:rPr>
        <w:t xml:space="preserve"> </w:t>
      </w:r>
      <w:r>
        <w:rPr>
          <w:rFonts w:ascii="Arial" w:cs="Arial" w:eastAsia="Arial" w:hAnsi="Arial"/>
          <w:sz w:val="18"/>
          <w:szCs w:val="18"/>
          <w:color w:val="231F20"/>
        </w:rPr>
        <w:t>income resulting from the Tax Cuts and Jobs Act (the "2017 Tax Act”). Because the amendments only relate to the reclassification of the income tax effects of the 2017 Tax Act, the underlying guidance that requires that the effect of a change in tax laws or rates be included in income from continuing operations is not affected. ASU 2018-02 is effective for the Company beginning in the first quarter of fiscal 2019 and early adoption is permitted. The Company is currently evaluating the impact of this ASU on its condensed consolidated financial statements.</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June 2018, the FASB issued ASU 2018-07, Compensation - Stock Compensation (Topic 718)</w:t>
      </w:r>
      <w:r>
        <w:rPr>
          <w:rFonts w:ascii="Arial" w:cs="Arial" w:eastAsia="Arial" w:hAnsi="Arial"/>
          <w:sz w:val="18"/>
          <w:szCs w:val="18"/>
          <w:color w:val="000000"/>
        </w:rPr>
        <w:t>: Improvements</w:t>
      </w:r>
      <w:r>
        <w:rPr>
          <w:rFonts w:ascii="Arial" w:cs="Arial" w:eastAsia="Arial" w:hAnsi="Arial"/>
          <w:sz w:val="18"/>
          <w:szCs w:val="18"/>
          <w:color w:val="231F20"/>
        </w:rPr>
        <w:t xml:space="preserve"> to Nonemployee Share-Based Payment Accounting. This ASU expands the scope of Topic 718 to include share -based payment transactions for acquiring goods and services from nonemployees. ASU 2018-07 is effective for the Company beginning in the first quarter of fiscal 2019 and early adoption is permitted. The Company is currently evaluating the impact of this ASU on its condensed consolidated financial statements.</w:t>
      </w:r>
    </w:p>
    <w:p>
      <w:pPr>
        <w:spacing w:after="0" w:line="1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August 2018, the FASB issued ASU 2018-15, Intangibles - Goodwill and Other - Internal-Use Software (Subtopic 350-40)</w:t>
      </w:r>
      <w:r>
        <w:rPr>
          <w:rFonts w:ascii="Arial" w:cs="Arial" w:eastAsia="Arial" w:hAnsi="Arial"/>
          <w:sz w:val="18"/>
          <w:szCs w:val="18"/>
          <w:color w:val="000000"/>
        </w:rPr>
        <w:t>: Customer's</w:t>
      </w:r>
      <w:r>
        <w:rPr>
          <w:rFonts w:ascii="Arial" w:cs="Arial" w:eastAsia="Arial" w:hAnsi="Arial"/>
          <w:sz w:val="18"/>
          <w:szCs w:val="18"/>
          <w:color w:val="231F20"/>
        </w:rPr>
        <w:t xml:space="preserve"> </w:t>
      </w:r>
      <w:r>
        <w:rPr>
          <w:rFonts w:ascii="Arial" w:cs="Arial" w:eastAsia="Arial" w:hAnsi="Arial"/>
          <w:sz w:val="18"/>
          <w:szCs w:val="18"/>
          <w:color w:val="000000"/>
        </w:rPr>
        <w:t>Accounting for Implementation Costs Incurred in a Cloud Computing Arrangement That Is a Service Contract</w:t>
      </w:r>
      <w:r>
        <w:rPr>
          <w:rFonts w:ascii="Arial" w:cs="Arial" w:eastAsia="Arial" w:hAnsi="Arial"/>
          <w:sz w:val="18"/>
          <w:szCs w:val="18"/>
          <w:color w:val="231F20"/>
        </w:rPr>
        <w:t>. This ASU aligns the</w:t>
      </w:r>
      <w:r>
        <w:rPr>
          <w:rFonts w:ascii="Arial" w:cs="Arial" w:eastAsia="Arial" w:hAnsi="Arial"/>
          <w:sz w:val="18"/>
          <w:szCs w:val="18"/>
          <w:color w:val="000000"/>
        </w:rPr>
        <w:t xml:space="preserve"> </w:t>
      </w:r>
      <w:r>
        <w:rPr>
          <w:rFonts w:ascii="Arial" w:cs="Arial" w:eastAsia="Arial" w:hAnsi="Arial"/>
          <w:sz w:val="18"/>
          <w:szCs w:val="18"/>
          <w:color w:val="231F20"/>
        </w:rPr>
        <w:t>requirements for capitalizing implementation costs incurred in a hosting arrangement that is a service contract with the requirements for capitalizing implementation costs related to internal-use software. ASU 2018-15 is effective for the Company beginning in the first quarter of fiscal 2020 and early adoption is permitted. The Company is currently evaluating the impact of this ASU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marketable securities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and marketable securities consist of the following: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4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91,439</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91,439</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3,777</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2,748</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97,965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97,964</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1,496</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Treasury bills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6,993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37,271</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10,261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10,254</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172,716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172,528</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228,833</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228,542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16,381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16,356</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18,582</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29,439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29,165</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64,514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64,103</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391,312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390,609</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5"/>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4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86,500</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86,500</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86,591</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12,620</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38,425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38,362</w:t>
            </w:r>
          </w:p>
        </w:tc>
      </w:tr>
      <w:tr>
        <w:trPr>
          <w:trHeight w:val="264"/>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151,058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150,841</w:t>
            </w:r>
          </w:p>
        </w:tc>
      </w:tr>
      <w:tr>
        <w:trPr>
          <w:trHeight w:val="257"/>
        </w:trPr>
        <w:tc>
          <w:tcPr>
            <w:tcW w:w="52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202,106</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201,823</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24,269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24,215</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38,198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38,023</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67,465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67,224</w:t>
            </w:r>
          </w:p>
        </w:tc>
      </w:tr>
      <w:tr>
        <w:trPr>
          <w:trHeight w:val="24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355,638</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table shows the changes to accumulated other comprehensive loss for the nine months ended September 30, 2018 (in thousands):</w:t>
      </w:r>
    </w:p>
    <w:p>
      <w:pPr>
        <w:sectPr>
          <w:pgSz w:w="11900" w:h="16838" w:orient="portrait"/>
          <w:cols w:equalWidth="0" w:num="1">
            <w:col w:w="11420"/>
          </w:cols>
          <w:pgMar w:left="240" w:top="141" w:right="239" w:bottom="4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280" w:right="2300"/>
        <w:spacing w:after="0" w:line="325" w:lineRule="auto"/>
        <w:rPr>
          <w:sz w:val="20"/>
          <w:szCs w:val="20"/>
          <w:color w:val="auto"/>
        </w:rPr>
      </w:pPr>
      <w:r>
        <w:rPr>
          <w:rFonts w:ascii="Arial" w:cs="Arial" w:eastAsia="Arial" w:hAnsi="Arial"/>
          <w:sz w:val="16"/>
          <w:szCs w:val="16"/>
          <w:color w:val="auto"/>
        </w:rPr>
        <w:t>Change in net unrealized loss on available-for-sale marketable securities, net of tax Amounts reclassified for net realized gain included in net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September 30, 2018</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Unrealized (Loss) Gain, net</w:t>
      </w:r>
    </w:p>
    <w:p>
      <w:pPr>
        <w:spacing w:after="0" w:line="93"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(574)</w:t>
      </w:r>
    </w:p>
    <w:p>
      <w:pPr>
        <w:spacing w:after="0" w:line="5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(427)</w:t>
      </w:r>
    </w:p>
    <w:p>
      <w:pPr>
        <w:spacing w:after="0" w:line="5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(178)</w:t>
      </w:r>
    </w:p>
    <w:p>
      <w:pPr>
        <w:spacing w:after="0" w:line="73"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141" w:right="239" w:bottom="435" w:gutter="0" w:footer="0" w:header="0"/>
          <w:type w:val="continuous"/>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41" w:right="239" w:bottom="435"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marketable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 2018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Treasury bills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6,993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6,993</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191,110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191,110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66,436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66,436</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26,610</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26,610</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295,393</w:t>
            </w:r>
          </w:p>
        </w:tc>
        <w:tc>
          <w:tcPr>
            <w:tcW w:w="120" w:type="dxa"/>
            <w:vAlign w:val="bottom"/>
          </w:tcPr>
          <w:p>
            <w:pPr>
              <w:spacing w:after="0"/>
              <w:rPr>
                <w:sz w:val="20"/>
                <w:szCs w:val="20"/>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295,393</w:t>
            </w:r>
          </w:p>
        </w:tc>
      </w:tr>
      <w:tr>
        <w:trPr>
          <w:trHeight w:val="20"/>
        </w:trPr>
        <w:tc>
          <w:tcPr>
            <w:tcW w:w="5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175,056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175,056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marketable securities classified as available-for-sale by contractual, or effective,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September 30, 2018</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198"/>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Mature within</w:t>
            </w:r>
          </w:p>
        </w:tc>
        <w:tc>
          <w:tcPr>
            <w:tcW w:w="18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Mature after One Year</w:t>
            </w: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One Year</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Mature over Two Years</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4,244</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Treasury bills</w:t>
            </w:r>
          </w:p>
        </w:tc>
        <w:tc>
          <w:tcPr>
            <w:tcW w:w="3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6,993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6,993</w:t>
            </w: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191,110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37,271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26,462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66,436</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26,610</w:t>
            </w:r>
          </w:p>
        </w:tc>
      </w:tr>
      <w:tr>
        <w:trPr>
          <w:trHeight w:val="240"/>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243,791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48,899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295,393</w:t>
            </w: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41"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exchange rates change and offset the foreign currency gains and losses on the underlying exposure being hedged. The Company does not enter into derivative financial instruments for trading or speculative purposes.</w:t>
      </w:r>
    </w:p>
    <w:p>
      <w:pPr>
        <w:spacing w:after="0" w:line="1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22222"/>
        </w:rPr>
        <w:t>At September 30, 2018, the Company had two outstanding forward contrac</w:t>
      </w:r>
      <w:r>
        <w:rPr>
          <w:rFonts w:ascii="Arial" w:cs="Arial" w:eastAsia="Arial" w:hAnsi="Arial"/>
          <w:sz w:val="18"/>
          <w:szCs w:val="18"/>
          <w:color w:val="000000"/>
        </w:rPr>
        <w:t>ts with notional amounts of 5.8 million Euros and 5.0 million</w:t>
      </w:r>
      <w:r>
        <w:rPr>
          <w:rFonts w:ascii="Arial" w:cs="Arial" w:eastAsia="Arial" w:hAnsi="Arial"/>
          <w:sz w:val="18"/>
          <w:szCs w:val="18"/>
          <w:color w:val="222222"/>
        </w:rPr>
        <w:t xml:space="preserve"> </w:t>
      </w:r>
      <w:r>
        <w:rPr>
          <w:rFonts w:ascii="Arial" w:cs="Arial" w:eastAsia="Arial" w:hAnsi="Arial"/>
          <w:sz w:val="18"/>
          <w:szCs w:val="18"/>
          <w:color w:val="000000"/>
        </w:rPr>
        <w:t xml:space="preserve">British Pounds, respectively, which expired on October 31, 2018. </w:t>
      </w:r>
      <w:r>
        <w:rPr>
          <w:rFonts w:ascii="Arial" w:cs="Arial" w:eastAsia="Arial" w:hAnsi="Arial"/>
          <w:sz w:val="18"/>
          <w:szCs w:val="18"/>
          <w:color w:val="222222"/>
        </w:rPr>
        <w:t>At December 31, 2017, the Company had two outstanding forward contracts</w:t>
      </w:r>
      <w:r>
        <w:rPr>
          <w:rFonts w:ascii="Arial" w:cs="Arial" w:eastAsia="Arial" w:hAnsi="Arial"/>
          <w:sz w:val="18"/>
          <w:szCs w:val="18"/>
          <w:color w:val="000000"/>
        </w:rPr>
        <w:t xml:space="preserve"> </w:t>
      </w:r>
      <w:r>
        <w:rPr>
          <w:rFonts w:ascii="Arial" w:cs="Arial" w:eastAsia="Arial" w:hAnsi="Arial"/>
          <w:sz w:val="18"/>
          <w:szCs w:val="18"/>
          <w:color w:val="222222"/>
        </w:rPr>
        <w:t xml:space="preserve">with notional amounts of 7.0 million Euros and 4.8 million British Pounds, respectively, which expired on January 31, 2018. These </w:t>
      </w:r>
      <w:r>
        <w:rPr>
          <w:rFonts w:ascii="Arial" w:cs="Arial" w:eastAsia="Arial" w:hAnsi="Arial"/>
          <w:sz w:val="18"/>
          <w:szCs w:val="18"/>
          <w:color w:val="231F20"/>
        </w:rPr>
        <w:t>forward</w:t>
      </w:r>
      <w:r>
        <w:rPr>
          <w:rFonts w:ascii="Arial" w:cs="Arial" w:eastAsia="Arial" w:hAnsi="Arial"/>
          <w:sz w:val="18"/>
          <w:szCs w:val="18"/>
          <w:color w:val="222222"/>
        </w:rPr>
        <w:t xml:space="preserve"> </w:t>
      </w:r>
      <w:r>
        <w:rPr>
          <w:rFonts w:ascii="Arial" w:cs="Arial" w:eastAsia="Arial" w:hAnsi="Arial"/>
          <w:sz w:val="18"/>
          <w:szCs w:val="18"/>
          <w:color w:val="231F20"/>
        </w:rPr>
        <w:t xml:space="preserve">contracts were entered into at the end of each month, and thus the fair value of these contracts was $0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September 30, 2018</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2017</w:t>
      </w:r>
      <w:r>
        <w:rPr>
          <w:rFonts w:ascii="Arial" w:cs="Arial" w:eastAsia="Arial" w:hAnsi="Arial"/>
          <w:sz w:val="18"/>
          <w:szCs w:val="18"/>
          <w:color w:val="222222"/>
        </w:rPr>
        <w:t>.</w:t>
      </w:r>
      <w:r>
        <w:rPr>
          <w:rFonts w:ascii="Arial" w:cs="Arial" w:eastAsia="Arial" w:hAnsi="Arial"/>
          <w:sz w:val="18"/>
          <w:szCs w:val="18"/>
          <w:color w:val="000000"/>
        </w:rPr>
        <w:t xml:space="preserve"> </w:t>
      </w:r>
      <w:r>
        <w:rPr>
          <w:rFonts w:ascii="Arial" w:cs="Arial" w:eastAsia="Arial" w:hAnsi="Arial"/>
          <w:sz w:val="18"/>
          <w:szCs w:val="18"/>
          <w:color w:val="231F20"/>
        </w:rPr>
        <w:t>These derivatives did not meet the criteria to be designated as hedges. These instruments were valued using Level 2</w:t>
      </w:r>
      <w:r>
        <w:rPr>
          <w:rFonts w:ascii="Arial" w:cs="Arial" w:eastAsia="Arial" w:hAnsi="Arial"/>
          <w:sz w:val="18"/>
          <w:szCs w:val="18"/>
          <w:color w:val="000000"/>
        </w:rPr>
        <w:t xml:space="preserve"> </w:t>
      </w:r>
      <w:r>
        <w:rPr>
          <w:rFonts w:ascii="Arial" w:cs="Arial" w:eastAsia="Arial" w:hAnsi="Arial"/>
          <w:sz w:val="18"/>
          <w:szCs w:val="18"/>
          <w:color w:val="231F20"/>
        </w:rPr>
        <w:t>inputs.</w:t>
      </w:r>
    </w:p>
    <w:p>
      <w:pPr>
        <w:spacing w:after="0" w:line="200" w:lineRule="exact"/>
        <w:rPr>
          <w:sz w:val="20"/>
          <w:szCs w:val="20"/>
          <w:color w:val="auto"/>
        </w:rPr>
      </w:pPr>
    </w:p>
    <w:p>
      <w:pPr>
        <w:spacing w:after="0" w:line="222"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income (expense), net on the condensed consolidated statement of operations, from forward contracts and other foreign currency transactions: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gain from forward contracts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(loss) gain</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1,424</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exchange loss,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capital lease,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77,883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26,003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20,447</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Assets under capital lease</w:t>
            </w:r>
          </w:p>
        </w:tc>
        <w:tc>
          <w:tcPr>
            <w:tcW w:w="20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16,067</w:t>
            </w: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157,420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133,797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(75,240)</w:t>
            </w:r>
          </w:p>
        </w:tc>
      </w:tr>
      <w:tr>
        <w:trPr>
          <w:trHeight w:val="24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64,503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leases by customers have a net carrying value of $8.8 million and $6.8 million at </w:t>
      </w:r>
      <w:r>
        <w:rPr>
          <w:rFonts w:ascii="Arial" w:cs="Arial" w:eastAsia="Arial" w:hAnsi="Arial"/>
          <w:sz w:val="18"/>
          <w:szCs w:val="18"/>
          <w:color w:val="000000"/>
        </w:rPr>
        <w:t>September 30, 2018</w:t>
      </w:r>
      <w:r>
        <w:rPr>
          <w:rFonts w:ascii="Arial" w:cs="Arial" w:eastAsia="Arial" w:hAnsi="Arial"/>
          <w:sz w:val="18"/>
          <w:szCs w:val="18"/>
          <w:color w:val="231F20"/>
        </w:rPr>
        <w:t xml:space="preserve"> and December 31, 2017, respectively, including assets that have not been placed in service of $2.6 million and $0.9 million, respectively. Depreciation and amortization expense relating to property and equipment, including capitalized leases, was $6.1 million and $5.1 million for the </w:t>
      </w:r>
      <w:r>
        <w:rPr>
          <w:rFonts w:ascii="Arial" w:cs="Arial" w:eastAsia="Arial" w:hAnsi="Arial"/>
          <w:sz w:val="18"/>
          <w:szCs w:val="18"/>
          <w:color w:val="000000"/>
        </w:rPr>
        <w:t>three months ended September 30, 2018</w:t>
      </w:r>
      <w:r>
        <w:rPr>
          <w:rFonts w:ascii="Arial" w:cs="Arial" w:eastAsia="Arial" w:hAnsi="Arial"/>
          <w:sz w:val="18"/>
          <w:szCs w:val="18"/>
          <w:color w:val="231F20"/>
        </w:rPr>
        <w:t xml:space="preserve"> and 2017, respectively, and $18.9 million and $14.7 million for the nine months ended September 30, 2018 and </w:t>
      </w:r>
      <w:r>
        <w:rPr>
          <w:rFonts w:ascii="Arial" w:cs="Arial" w:eastAsia="Arial" w:hAnsi="Arial"/>
          <w:sz w:val="18"/>
          <w:szCs w:val="18"/>
          <w:color w:val="000000"/>
        </w:rPr>
        <w:t>2017</w:t>
      </w:r>
      <w:r>
        <w:rPr>
          <w:rFonts w:ascii="Arial" w:cs="Arial" w:eastAsia="Arial" w:hAnsi="Arial"/>
          <w:sz w:val="18"/>
          <w:szCs w:val="18"/>
          <w:color w:val="231F20"/>
        </w:rPr>
        <w:t xml:space="preserve">, respectively. Accumulated depreciation under capital leases was $0.7 million at </w:t>
      </w:r>
      <w:r>
        <w:rPr>
          <w:rFonts w:ascii="Arial" w:cs="Arial" w:eastAsia="Arial" w:hAnsi="Arial"/>
          <w:sz w:val="18"/>
          <w:szCs w:val="18"/>
          <w:color w:val="000000"/>
        </w:rPr>
        <w:t>September 30, 2018</w:t>
      </w:r>
      <w:r>
        <w:rPr>
          <w:rFonts w:ascii="Arial" w:cs="Arial" w:eastAsia="Arial" w:hAnsi="Arial"/>
          <w:sz w:val="18"/>
          <w:szCs w:val="18"/>
          <w:color w:val="231F20"/>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Revenue from Contracts with Customers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2014, the FASB issued a new standard related to revenue recognition. Under the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January 1, 2018, the Company adopted ASC 606 using the modified retrospective method applied to those contracts which were not completed as of that date. Results for reporting periods beginning after January 1, 2018 are presented under ASC 606, while prior period amounts are not adjusted and continue to be reported under the accounting standards in effect for the prior period. The Company implemented internal controls and key system functionality to enable the preparation of financial information on adoption. The impact of the standard on the Company's financial statements relates to the Company's accounting for sales commissions. The Company previously expensed sales commissions as incurred. Under ASC 606, the Company is required to capitalize certain contract acquisition costs consisting primarily of commissions paid related to new business and upsells. Applying the practical expedient in ASC 340-40-25-4, the Company expenses commissions related to its contract renewals.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result of the adoption, the Company recorded an increase to retained earnings of $2.7 million as of January 1, 2018 which was the net cumulative impact associated with the capitalization of sales commissions. Additionally, the Company recorded a corresponding commission asset balance of $3.5 million and a related deferred tax liability of $0.8 million as of January 1, 2018. There was no impact to the Company's revenues as a result of adopting ASC 606.</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 Applying the practical expedient in ASC 340-40-25-4, the Company expenses commissions related to its contract renewals.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Commission asset balances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9"/>
                <w:szCs w:val="19"/>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7"/>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Commission asset, current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color w:val="auto"/>
              </w:rPr>
              <w:t>Commission asset, noncurrent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3,867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2,819</w:t>
            </w:r>
          </w:p>
        </w:tc>
      </w:tr>
    </w:tbl>
    <w:p>
      <w:pPr>
        <w:spacing w:after="0" w:line="23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and nine months ended September 30, 2018, the Company recognized $0.3 million and $0.8 million, respectively, of commission expense from amortization of its commission assets. During the same periods, there was no impairment loss related to capitalized costs. No contract costs were capitalized in the three and nine months ended September 30, 2017.</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liabilities (deferred revenue) balances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September 30, 2018</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606</w:t>
            </w:r>
          </w:p>
        </w:tc>
        <w:tc>
          <w:tcPr>
            <w:tcW w:w="140" w:type="dxa"/>
            <w:vAlign w:val="bottom"/>
          </w:tcPr>
          <w:p>
            <w:pPr>
              <w:spacing w:after="0"/>
              <w:rPr>
                <w:sz w:val="22"/>
                <w:szCs w:val="22"/>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Pr>
          <w:p>
            <w:pPr>
              <w:spacing w:after="0"/>
              <w:rPr>
                <w:sz w:val="22"/>
                <w:szCs w:val="22"/>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142,336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12,779</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155,115</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17,558</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158,017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14,656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172,673</w:t>
            </w: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January 1, 2018</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606</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Pr>
          <w:p>
            <w:pPr>
              <w:spacing w:after="0"/>
              <w:rPr>
                <w:sz w:val="22"/>
                <w:szCs w:val="22"/>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130,579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12,607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143,186</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17,136</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145,998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14,324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160,322</w:t>
            </w: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The increase in the Company's deferred revenue balances is primarily driven by cash payments received or due in advance of satisfying the Company's performance obligations, offset by revenue recognized in the period. $61.1 million and $50.2 million of subscription services revenue was recognized during the three months ended September 30, 2018 and September 30, 2017, respectively, which amounts were included in the unearned revenue balances as of June 30, 2018 and June 30, 2017, respectively. $126.6 million and $101.1 million of subscription revenue was recognized during the nine months ended September 30, 2018 and September 30, 2017, respectively, which amounts were included in the unearned revenue balances as of December 31, 2017 and December 31, 2016, respectively.</w:t>
      </w:r>
    </w:p>
    <w:p>
      <w:pPr>
        <w:spacing w:after="0" w:line="2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Company's performance obligations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the professional services as they are performed.</w:t>
      </w:r>
    </w:p>
    <w:p>
      <w:pPr>
        <w:spacing w:after="0" w:line="2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allocates the transaction price to all separate performance obligations, including transactions that are comprised of lease revenue, in proportion to the standalone selling prices ("SSP") of the goods or services underlying each of those performance obligations at contract inception. If a SSP is not directly observable, the Company determines the SSP using information that may include market conditions and other observable inputs. The Company typically has more than one SSP for individual products and services due to the stratification of those products and services by customers and circumstances. In these instances, the Company may use information such as the size of the customer and volume purchased in determining the SSP. The Company's transaction prices are typically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Consideration is fixed at the time of the contract, and governed by the price list to which that particular customer is subject. The Company’s customer and partner-specific pricing is negotiated and agreed upon via individual customer contracts. In some of its contracts, the Company incorporates tiered pricing based on the number of IP addresses the customer can scan. As customers are required to purchase larger quantities to qualify for the lower-priced tiers, the Company does not grant its customers any material rights. When customers increase their purchased quantities, the Company accounts for the additional purchased quantities and related price change prospectively as the pricing does not impact subscription services previously provided. Physical equipment (scanners and private cloud platforms) are accounted for as operating leases and revenue is recognized over the subscription term.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9"/>
                <w:szCs w:val="19"/>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7"/>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ASC 606 receivables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54,632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60,984</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Operating lease receivables</w:t>
            </w:r>
          </w:p>
        </w:tc>
        <w:tc>
          <w:tcPr>
            <w:tcW w:w="200" w:type="dxa"/>
            <w:vAlign w:val="bottom"/>
          </w:tcPr>
          <w:p>
            <w:pPr>
              <w:spacing w:after="0"/>
              <w:rPr>
                <w:sz w:val="22"/>
                <w:szCs w:val="22"/>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allowance for doubtful accounts</w:t>
            </w:r>
          </w:p>
        </w:tc>
        <w:tc>
          <w:tcPr>
            <w:tcW w:w="2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40"/>
        </w:trPr>
        <w:tc>
          <w:tcPr>
            <w:tcW w:w="7540" w:type="dxa"/>
            <w:vAlign w:val="bottom"/>
          </w:tcPr>
          <w:p>
            <w:pPr>
              <w:ind w:left="40"/>
              <w:spacing w:after="0"/>
              <w:rPr>
                <w:sz w:val="20"/>
                <w:szCs w:val="20"/>
                <w:color w:val="auto"/>
              </w:rPr>
            </w:pPr>
            <w:r>
              <w:rPr>
                <w:rFonts w:ascii="Arial" w:cs="Arial" w:eastAsia="Arial" w:hAnsi="Arial"/>
                <w:sz w:val="16"/>
                <w:szCs w:val="16"/>
                <w:color w:val="auto"/>
              </w:rPr>
              <w:t>Total accounts receivable,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58,612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64,412</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September 30, 2018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Operating Lease Expected</w:t>
            </w:r>
          </w:p>
        </w:tc>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28"/>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b w:val="1"/>
                <w:bCs w:val="1"/>
                <w:color w:val="auto"/>
              </w:rPr>
              <w:t>ASC 606 Expected Revenue</w:t>
            </w:r>
          </w:p>
        </w:tc>
        <w:tc>
          <w:tcPr>
            <w:tcW w:w="220" w:type="dxa"/>
            <w:vAlign w:val="bottom"/>
          </w:tcPr>
          <w:p>
            <w:pPr>
              <w:spacing w:after="0"/>
              <w:rPr>
                <w:sz w:val="19"/>
                <w:szCs w:val="19"/>
                <w:color w:val="auto"/>
              </w:rPr>
            </w:pPr>
          </w:p>
        </w:tc>
        <w:tc>
          <w:tcPr>
            <w:tcW w:w="2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 Expected Revenue</w:t>
            </w:r>
          </w:p>
        </w:tc>
      </w:tr>
      <w:tr>
        <w:trPr>
          <w:trHeight w:val="257"/>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(remaining three months)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12,755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14,818</w:t>
            </w:r>
          </w:p>
        </w:tc>
      </w:tr>
      <w:tr>
        <w:trPr>
          <w:trHeight w:val="260"/>
        </w:trPr>
        <w:tc>
          <w:tcPr>
            <w:tcW w:w="298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2"/>
                <w:szCs w:val="22"/>
                <w:color w:val="auto"/>
              </w:rPr>
            </w:pPr>
          </w:p>
        </w:tc>
        <w:tc>
          <w:tcPr>
            <w:tcW w:w="2540" w:type="dxa"/>
            <w:vAlign w:val="bottom"/>
          </w:tcPr>
          <w:p>
            <w:pPr>
              <w:jc w:val="right"/>
              <w:ind w:right="39"/>
              <w:spacing w:after="0"/>
              <w:rPr>
                <w:sz w:val="20"/>
                <w:szCs w:val="20"/>
                <w:color w:val="auto"/>
              </w:rPr>
            </w:pPr>
            <w:r>
              <w:rPr>
                <w:rFonts w:ascii="Arial" w:cs="Arial" w:eastAsia="Arial" w:hAnsi="Arial"/>
                <w:sz w:val="16"/>
                <w:szCs w:val="16"/>
                <w:color w:val="auto"/>
              </w:rPr>
              <w:t>36,624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4,322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40,946</w:t>
            </w:r>
          </w:p>
        </w:tc>
      </w:tr>
      <w:tr>
        <w:trPr>
          <w:trHeight w:val="28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20" w:type="dxa"/>
            <w:vAlign w:val="bottom"/>
            <w:shd w:val="clear" w:color="auto" w:fill="CCEEFF"/>
          </w:tcPr>
          <w:p>
            <w:pPr>
              <w:spacing w:after="0"/>
              <w:rPr>
                <w:sz w:val="24"/>
                <w:szCs w:val="24"/>
                <w:color w:val="auto"/>
              </w:rPr>
            </w:pPr>
          </w:p>
        </w:tc>
        <w:tc>
          <w:tcPr>
            <w:tcW w:w="2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20,327</w:t>
            </w:r>
          </w:p>
        </w:tc>
      </w:tr>
      <w:tr>
        <w:trPr>
          <w:trHeight w:val="260"/>
        </w:trPr>
        <w:tc>
          <w:tcPr>
            <w:tcW w:w="298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2"/>
                <w:szCs w:val="22"/>
                <w:color w:val="auto"/>
              </w:rPr>
            </w:pPr>
          </w:p>
        </w:tc>
        <w:tc>
          <w:tcPr>
            <w:tcW w:w="2540" w:type="dxa"/>
            <w:vAlign w:val="bottom"/>
          </w:tcPr>
          <w:p>
            <w:pPr>
              <w:jc w:val="right"/>
              <w:ind w:right="39"/>
              <w:spacing w:after="0"/>
              <w:rPr>
                <w:sz w:val="20"/>
                <w:szCs w:val="20"/>
                <w:color w:val="auto"/>
              </w:rPr>
            </w:pPr>
            <w:r>
              <w:rPr>
                <w:rFonts w:ascii="Arial" w:cs="Arial" w:eastAsia="Arial" w:hAnsi="Arial"/>
                <w:sz w:val="16"/>
                <w:szCs w:val="16"/>
                <w:color w:val="auto"/>
              </w:rPr>
              <w:t>6,562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tcPr>
          <w:p>
            <w:pPr>
              <w:jc w:val="right"/>
              <w:ind w:right="19"/>
              <w:spacing w:after="0"/>
              <w:rPr>
                <w:sz w:val="20"/>
                <w:szCs w:val="20"/>
                <w:color w:val="auto"/>
              </w:rPr>
            </w:pPr>
            <w:r>
              <w:rPr>
                <w:rFonts w:ascii="Arial" w:cs="Arial" w:eastAsia="Arial" w:hAnsi="Arial"/>
                <w:sz w:val="16"/>
                <w:szCs w:val="16"/>
                <w:color w:val="auto"/>
              </w:rPr>
              <w:t>7,183</w:t>
            </w:r>
          </w:p>
        </w:tc>
      </w:tr>
      <w:tr>
        <w:trPr>
          <w:trHeight w:val="28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spacing w:after="0"/>
              <w:rPr>
                <w:sz w:val="24"/>
                <w:szCs w:val="24"/>
                <w:color w:val="auto"/>
              </w:rPr>
            </w:pPr>
          </w:p>
        </w:tc>
        <w:tc>
          <w:tcPr>
            <w:tcW w:w="2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1,015</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2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r>
      <w:tr>
        <w:trPr>
          <w:trHeight w:val="24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84,576</w:t>
            </w: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which includes deferred revenue from open contracts and the amounts that will be invoiced and recognized as revenue in future periods. Remaining performance obligations represent the transaction price of firm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does not consider these contracts to contain a financing component as its customers typically initiate the longer terms, and the Company's reasoning for entering into the longer terms is not based on financing.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4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tcPr>
          <w:p>
            <w:pPr>
              <w:spacing w:after="0"/>
              <w:rPr>
                <w:sz w:val="19"/>
                <w:szCs w:val="19"/>
                <w:color w:val="auto"/>
              </w:rPr>
            </w:pPr>
          </w:p>
        </w:tc>
        <w:tc>
          <w:tcPr>
            <w:tcW w:w="4080" w:type="dxa"/>
            <w:vAlign w:val="bottom"/>
            <w:gridSpan w:val="7"/>
          </w:tcPr>
          <w:p>
            <w:pPr>
              <w:jc w:val="center"/>
              <w:ind w:right="119"/>
              <w:spacing w:after="0"/>
              <w:rPr>
                <w:sz w:val="20"/>
                <w:szCs w:val="20"/>
                <w:color w:val="auto"/>
              </w:rPr>
            </w:pPr>
            <w:r>
              <w:rPr>
                <w:rFonts w:ascii="Arial" w:cs="Arial" w:eastAsia="Arial" w:hAnsi="Arial"/>
                <w:sz w:val="16"/>
                <w:szCs w:val="16"/>
                <w:b w:val="1"/>
                <w:bCs w:val="1"/>
                <w:color w:val="auto"/>
              </w:rPr>
              <w:t>Nine Months Ended September 30, 2018</w:t>
            </w:r>
          </w:p>
        </w:tc>
      </w:tr>
      <w:tr>
        <w:trPr>
          <w:trHeight w:val="198"/>
        </w:trPr>
        <w:tc>
          <w:tcPr>
            <w:tcW w:w="26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ASC 606</w:t>
            </w:r>
          </w:p>
        </w:tc>
        <w:tc>
          <w:tcPr>
            <w:tcW w:w="148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Operating Lease</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ASC 606</w:t>
            </w:r>
          </w:p>
        </w:tc>
        <w:tc>
          <w:tcPr>
            <w:tcW w:w="148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Operating Lease</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Revenue</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Revenue</w:t>
            </w:r>
          </w:p>
        </w:tc>
      </w:tr>
      <w:tr>
        <w:trPr>
          <w:trHeight w:val="25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33,191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36,440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100,055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10,389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110,444</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32,428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86,993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94,245</w:t>
            </w: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65,619</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6,039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71,658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187,048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17,641</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204,689</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33"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2769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53" w:lineRule="exact"/>
        <w:rPr>
          <w:sz w:val="20"/>
          <w:szCs w:val="20"/>
          <w:color w:val="auto"/>
        </w:rPr>
      </w:pPr>
    </w:p>
    <w:p>
      <w:pPr>
        <w:ind w:left="3020"/>
        <w:spacing w:after="0"/>
        <w:tabs>
          <w:tab w:leader="none" w:pos="4200" w:val="left"/>
        </w:tabs>
        <w:rPr>
          <w:sz w:val="20"/>
          <w:szCs w:val="20"/>
          <w:color w:val="auto"/>
        </w:rPr>
      </w:pPr>
      <w:r>
        <w:rPr>
          <w:rFonts w:ascii="Arial" w:cs="Arial" w:eastAsia="Arial" w:hAnsi="Arial"/>
          <w:sz w:val="16"/>
          <w:szCs w:val="16"/>
          <w:b w:val="1"/>
          <w:bCs w:val="1"/>
          <w:color w:val="auto"/>
        </w:rPr>
        <w:t>ASC 605</w:t>
      </w:r>
      <w:r>
        <w:rPr>
          <w:sz w:val="20"/>
          <w:szCs w:val="20"/>
          <w:color w:val="auto"/>
        </w:rPr>
        <w:tab/>
      </w:r>
      <w:r>
        <w:rPr>
          <w:rFonts w:ascii="Arial" w:cs="Arial" w:eastAsia="Arial" w:hAnsi="Arial"/>
          <w:sz w:val="16"/>
          <w:szCs w:val="16"/>
          <w:b w:val="1"/>
          <w:bCs w:val="1"/>
          <w:color w:val="auto"/>
        </w:rPr>
        <w:t>Operating Lease</w:t>
      </w:r>
    </w:p>
    <w:p>
      <w:pPr>
        <w:spacing w:after="0" w:line="25" w:lineRule="exact"/>
        <w:rPr>
          <w:sz w:val="20"/>
          <w:szCs w:val="20"/>
          <w:color w:val="auto"/>
        </w:rPr>
      </w:pPr>
    </w:p>
    <w:p>
      <w:pPr>
        <w:ind w:left="3000"/>
        <w:spacing w:after="0"/>
        <w:tabs>
          <w:tab w:leader="none" w:pos="4500" w:val="left"/>
          <w:tab w:leader="none" w:pos="5760" w:val="left"/>
        </w:tabs>
        <w:rPr>
          <w:sz w:val="20"/>
          <w:szCs w:val="20"/>
          <w:color w:val="auto"/>
        </w:rPr>
      </w:pPr>
      <w:r>
        <w:rPr>
          <w:rFonts w:ascii="Arial" w:cs="Arial" w:eastAsia="Arial" w:hAnsi="Arial"/>
          <w:sz w:val="16"/>
          <w:szCs w:val="16"/>
          <w:b w:val="1"/>
          <w:bCs w:val="1"/>
          <w:color w:val="auto"/>
        </w:rPr>
        <w:t>Revenue</w:t>
      </w:r>
      <w:r>
        <w:rPr>
          <w:sz w:val="20"/>
          <w:szCs w:val="20"/>
          <w:color w:val="auto"/>
        </w:rPr>
        <w:tab/>
      </w:r>
      <w:r>
        <w:rPr>
          <w:rFonts w:ascii="Arial" w:cs="Arial" w:eastAsia="Arial" w:hAnsi="Arial"/>
          <w:sz w:val="16"/>
          <w:szCs w:val="16"/>
          <w:b w:val="1"/>
          <w:bCs w:val="1"/>
          <w:color w:val="auto"/>
        </w:rPr>
        <w:t>Revenue</w:t>
      </w:r>
      <w:r>
        <w:rPr>
          <w:sz w:val="20"/>
          <w:szCs w:val="20"/>
          <w:color w:val="auto"/>
        </w:rPr>
        <w:tab/>
      </w:r>
      <w:r>
        <w:rPr>
          <w:rFonts w:ascii="Arial" w:cs="Arial" w:eastAsia="Arial" w:hAnsi="Arial"/>
          <w:sz w:val="15"/>
          <w:szCs w:val="15"/>
          <w:b w:val="1"/>
          <w:bCs w:val="1"/>
          <w:color w:val="auto"/>
        </w:rPr>
        <w:t>Total Revenue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31750</wp:posOffset>
            </wp:positionV>
            <wp:extent cx="2735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3"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color w:val="auto"/>
        </w:rPr>
        <w:t>ASC 605</w:t>
      </w:r>
      <w:r>
        <w:rPr>
          <w:sz w:val="20"/>
          <w:szCs w:val="20"/>
          <w:color w:val="auto"/>
        </w:rPr>
        <w:tab/>
      </w:r>
      <w:r>
        <w:rPr>
          <w:rFonts w:ascii="Arial" w:cs="Arial" w:eastAsia="Arial" w:hAnsi="Arial"/>
          <w:sz w:val="16"/>
          <w:szCs w:val="16"/>
          <w:b w:val="1"/>
          <w:bCs w:val="1"/>
          <w:color w:val="auto"/>
        </w:rPr>
        <w:t>Operating Lease</w:t>
      </w:r>
    </w:p>
    <w:p>
      <w:pPr>
        <w:spacing w:after="0" w:line="25" w:lineRule="exact"/>
        <w:rPr>
          <w:sz w:val="20"/>
          <w:szCs w:val="20"/>
          <w:color w:val="auto"/>
        </w:rPr>
      </w:pPr>
    </w:p>
    <w:p>
      <w:pPr>
        <w:spacing w:after="0"/>
        <w:tabs>
          <w:tab w:leader="none" w:pos="1440" w:val="left"/>
          <w:tab w:leader="none" w:pos="2720" w:val="left"/>
        </w:tabs>
        <w:rPr>
          <w:sz w:val="20"/>
          <w:szCs w:val="20"/>
          <w:color w:val="auto"/>
        </w:rPr>
      </w:pPr>
      <w:r>
        <w:rPr>
          <w:rFonts w:ascii="Arial" w:cs="Arial" w:eastAsia="Arial" w:hAnsi="Arial"/>
          <w:sz w:val="16"/>
          <w:szCs w:val="16"/>
          <w:b w:val="1"/>
          <w:bCs w:val="1"/>
          <w:color w:val="auto"/>
        </w:rPr>
        <w:t>Revenue</w:t>
      </w:r>
      <w:r>
        <w:rPr>
          <w:sz w:val="20"/>
          <w:szCs w:val="20"/>
          <w:color w:val="auto"/>
        </w:rPr>
        <w:tab/>
      </w:r>
      <w:r>
        <w:rPr>
          <w:rFonts w:ascii="Arial" w:cs="Arial" w:eastAsia="Arial" w:hAnsi="Arial"/>
          <w:sz w:val="16"/>
          <w:szCs w:val="16"/>
          <w:b w:val="1"/>
          <w:bCs w:val="1"/>
          <w:color w:val="auto"/>
        </w:rPr>
        <w:t>Revenue</w:t>
      </w:r>
      <w:r>
        <w:rPr>
          <w:sz w:val="20"/>
          <w:szCs w:val="20"/>
          <w:color w:val="auto"/>
        </w:rPr>
        <w:tab/>
      </w:r>
      <w:r>
        <w:rPr>
          <w:rFonts w:ascii="Arial" w:cs="Arial" w:eastAsia="Arial" w:hAnsi="Arial"/>
          <w:sz w:val="15"/>
          <w:szCs w:val="15"/>
          <w:b w:val="1"/>
          <w:bCs w:val="1"/>
          <w:color w:val="auto"/>
        </w:rPr>
        <w:t>Total Revenue</w:t>
      </w:r>
    </w:p>
    <w:p>
      <w:pPr>
        <w:spacing w:after="0" w:line="11" w:lineRule="exact"/>
        <w:rPr>
          <w:sz w:val="20"/>
          <w:szCs w:val="20"/>
          <w:color w:val="auto"/>
        </w:rPr>
      </w:pPr>
    </w:p>
    <w:p>
      <w:pPr>
        <w:sectPr>
          <w:pgSz w:w="11900" w:h="16838" w:orient="portrait"/>
          <w:cols w:equalWidth="0" w:num="2">
            <w:col w:w="6860" w:space="600"/>
            <w:col w:w="3960"/>
          </w:cols>
          <w:pgMar w:left="240" w:top="14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27,639</w:t>
            </w: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3,335</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30,974</w:t>
            </w: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84,403</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10,268</w:t>
            </w: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94,671</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26,198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67,297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5,945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73,242</w:t>
            </w:r>
          </w:p>
        </w:tc>
      </w:tr>
      <w:tr>
        <w:trPr>
          <w:trHeight w:val="28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53,837</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59,490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151,700</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16,213</w:t>
            </w:r>
          </w:p>
        </w:tc>
        <w:tc>
          <w:tcPr>
            <w:tcW w:w="1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167,913</w:t>
            </w:r>
          </w:p>
        </w:tc>
      </w:tr>
      <w:tr>
        <w:trPr>
          <w:trHeight w:val="20"/>
        </w:trPr>
        <w:tc>
          <w:tcPr>
            <w:tcW w:w="2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April 1, 2018, the Company acquired the assets of 1Mobility Private Limited ("1Mobility"), a Singapore-based company. The acquisition allows the Company to provide enterprises of all sizes with the ability to create and continuously update an inventory of mobile devices on all versions of Android, iOS and Windows Mobile in their environment; and to continuously assess their security and compliance posture, while quarantining devices that are compromised or out-of-compliance. Total purchase consideration was $4.0 million, including $0.6 million of deferred consideration due eighteen months from the closing date of the acquisition, subject to potential adjustment from possible indemnity claims. Pro forma financial information for this acquisition has not been presented because it is not material to the Company's condensed consolidated financial statements.</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accounted for this transaction as a business combination and allocated $ 3.7 million of the purchase price to technology-based intangible assets and $0.3 million to goodwill. The acquired intangible assets relating to 1Mobility's developed technology are being amortized over the estimated useful lives of approximately four years. Goodwill arising from the 1Mobility acquisition is deductible for tax purposes over 15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Goodwill and Intangible Assets, Net</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September 30, 2018</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13,110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13,701</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6"/>
                <w:szCs w:val="16"/>
                <w:b w:val="1"/>
                <w:bCs w:val="1"/>
                <w:color w:val="auto"/>
              </w:rPr>
              <w:t>December 31, 2017</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Intangible asset amortization expense was $0.9 million and $0.2 million for the </w:t>
      </w:r>
      <w:r>
        <w:rPr>
          <w:rFonts w:ascii="Arial" w:cs="Arial" w:eastAsia="Arial" w:hAnsi="Arial"/>
          <w:sz w:val="18"/>
          <w:szCs w:val="18"/>
          <w:color w:val="000000"/>
        </w:rPr>
        <w:t>three months ended September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and $2.4 million and $0.4 million for the nine months ended September 30, 2018 and </w:t>
      </w:r>
      <w:r>
        <w:rPr>
          <w:rFonts w:ascii="Arial" w:cs="Arial" w:eastAsia="Arial" w:hAnsi="Arial"/>
          <w:sz w:val="18"/>
          <w:szCs w:val="18"/>
          <w:color w:val="000000"/>
        </w:rPr>
        <w:t>2017</w:t>
      </w:r>
      <w:r>
        <w:rPr>
          <w:rFonts w:ascii="Arial" w:cs="Arial" w:eastAsia="Arial" w:hAnsi="Arial"/>
          <w:sz w:val="18"/>
          <w:szCs w:val="18"/>
          <w:color w:val="231F20"/>
        </w:rPr>
        <w:t>,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the Company expects amortization expense in future periods to be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 (remaining three months)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3,456</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3,457</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2,302</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13,701</w:t>
            </w:r>
          </w:p>
        </w:tc>
      </w:tr>
    </w:tbl>
    <w:p>
      <w:pPr>
        <w:spacing w:after="0" w:line="25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 xml:space="preserve">Goodwill, which is not subject to amortization, totaled $1.8 million and </w:t>
      </w:r>
      <w:r>
        <w:rPr>
          <w:rFonts w:ascii="Arial" w:cs="Arial" w:eastAsia="Arial" w:hAnsi="Arial"/>
          <w:sz w:val="18"/>
          <w:szCs w:val="18"/>
          <w:color w:val="000000"/>
        </w:rPr>
        <w:t>$1.5 million</w:t>
      </w:r>
      <w:r>
        <w:rPr>
          <w:rFonts w:ascii="Arial" w:cs="Arial" w:eastAsia="Arial" w:hAnsi="Arial"/>
          <w:sz w:val="18"/>
          <w:szCs w:val="18"/>
          <w:color w:val="231F20"/>
        </w:rPr>
        <w:t xml:space="preserve"> as of </w:t>
      </w:r>
      <w:r>
        <w:rPr>
          <w:rFonts w:ascii="Arial" w:cs="Arial" w:eastAsia="Arial" w:hAnsi="Arial"/>
          <w:sz w:val="18"/>
          <w:szCs w:val="18"/>
          <w:color w:val="000000"/>
        </w:rPr>
        <w:t>September 30, 2018</w:t>
      </w:r>
      <w:r>
        <w:rPr>
          <w:rFonts w:ascii="Arial" w:cs="Arial" w:eastAsia="Arial" w:hAnsi="Arial"/>
          <w:sz w:val="18"/>
          <w:szCs w:val="18"/>
          <w:color w:val="231F20"/>
        </w:rPr>
        <w:t xml:space="preserve">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Commitments and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 In January 2018, the Company entered into a $3.5 million financing arrangement for data center storage equipment, accounted for as a capital lease, with an implied interest rate of 5%.</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September 30, 2018</w:t>
      </w:r>
      <w:r>
        <w:rPr>
          <w:rFonts w:ascii="Arial" w:cs="Arial" w:eastAsia="Arial" w:hAnsi="Arial"/>
          <w:sz w:val="18"/>
          <w:szCs w:val="18"/>
          <w:color w:val="231F20"/>
        </w:rPr>
        <w:t xml:space="preserve">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3"/>
        </w:trPr>
        <w:tc>
          <w:tcPr>
            <w:tcW w:w="7780" w:type="dxa"/>
            <w:vAlign w:val="bottom"/>
          </w:tcPr>
          <w:p>
            <w:pPr>
              <w:ind w:left="4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6,169</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5,752</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3"/>
        </w:trPr>
        <w:tc>
          <w:tcPr>
            <w:tcW w:w="7780" w:type="dxa"/>
            <w:vAlign w:val="bottom"/>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5,022</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4,536</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23,609</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46,787</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line="20" w:lineRule="exact"/>
              <w:rPr>
                <w:sz w:val="1"/>
                <w:szCs w:val="1"/>
                <w:color w:val="auto"/>
              </w:rPr>
            </w:pPr>
          </w:p>
        </w:tc>
      </w:tr>
      <w:tr>
        <w:trPr>
          <w:trHeight w:val="247"/>
        </w:trPr>
        <w:tc>
          <w:tcPr>
            <w:tcW w:w="77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Rent expense was $2.5 million and $2.4 million for the </w:t>
      </w:r>
      <w:r>
        <w:rPr>
          <w:rFonts w:ascii="Arial" w:cs="Arial" w:eastAsia="Arial" w:hAnsi="Arial"/>
          <w:sz w:val="18"/>
          <w:szCs w:val="18"/>
          <w:color w:val="000000"/>
        </w:rPr>
        <w:t>three months ended September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and $7.1 million and $4.3 million for the </w:t>
      </w:r>
      <w:r>
        <w:rPr>
          <w:rFonts w:ascii="Arial" w:cs="Arial" w:eastAsia="Arial" w:hAnsi="Arial"/>
          <w:sz w:val="18"/>
          <w:szCs w:val="18"/>
          <w:color w:val="000000"/>
        </w:rPr>
        <w:t>nine months ended September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Although certain of the operating lease agreements provide for rent free periods or escalating rent payments over the terms of the leases, rent expense under these agreements is recognized on a straight-line basis over the term of the lease, starting when the Company takes possession of the property from the landlord. As of </w:t>
      </w:r>
      <w:r>
        <w:rPr>
          <w:rFonts w:ascii="Arial" w:cs="Arial" w:eastAsia="Arial" w:hAnsi="Arial"/>
          <w:sz w:val="18"/>
          <w:szCs w:val="18"/>
          <w:color w:val="000000"/>
        </w:rPr>
        <w:t xml:space="preserve">September 30, 2018 </w:t>
      </w:r>
      <w:r>
        <w:rPr>
          <w:rFonts w:ascii="Arial" w:cs="Arial" w:eastAsia="Arial" w:hAnsi="Arial"/>
          <w:sz w:val="18"/>
          <w:szCs w:val="18"/>
          <w:color w:val="231F20"/>
        </w:rPr>
        <w:t>and</w:t>
      </w:r>
      <w:r>
        <w:rPr>
          <w:rFonts w:ascii="Arial" w:cs="Arial" w:eastAsia="Arial" w:hAnsi="Arial"/>
          <w:sz w:val="18"/>
          <w:szCs w:val="18"/>
          <w:color w:val="000000"/>
        </w:rPr>
        <w:t xml:space="preserve"> December 31, 2017</w:t>
      </w:r>
      <w:r>
        <w:rPr>
          <w:rFonts w:ascii="Arial" w:cs="Arial" w:eastAsia="Arial" w:hAnsi="Arial"/>
          <w:sz w:val="18"/>
          <w:szCs w:val="18"/>
          <w:color w:val="231F20"/>
        </w:rPr>
        <w:t>, the Company had accrued $10.9 million and $9.5 million, respectively, of deferred rent related to</w:t>
      </w:r>
      <w:r>
        <w:rPr>
          <w:rFonts w:ascii="Arial" w:cs="Arial" w:eastAsia="Arial" w:hAnsi="Arial"/>
          <w:sz w:val="18"/>
          <w:szCs w:val="18"/>
          <w:color w:val="000000"/>
        </w:rPr>
        <w:t xml:space="preserve"> </w:t>
      </w:r>
      <w:r>
        <w:rPr>
          <w:rFonts w:ascii="Arial" w:cs="Arial" w:eastAsia="Arial" w:hAnsi="Arial"/>
          <w:sz w:val="18"/>
          <w:szCs w:val="18"/>
          <w:color w:val="231F20"/>
        </w:rPr>
        <w:t>these agreements, which is reflected in accrued liabilities and other non-current liabilities in the accompanying condensed consolidated balance sheets.</w:t>
      </w:r>
    </w:p>
    <w:p>
      <w:pPr>
        <w:spacing w:after="0" w:line="16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the Company entered into a lease agreement for its new headquarters office facility. The lease payments commenced on May 1, 2018 and the lease has a ten-year term through April 30, 2028. The total commitment of $38.6 million is payable monthly with escalating rental payments throughout the lease term. </w:t>
      </w:r>
      <w:r>
        <w:rPr>
          <w:rFonts w:ascii="Arial" w:cs="Arial" w:eastAsia="Arial" w:hAnsi="Arial"/>
          <w:sz w:val="18"/>
          <w:szCs w:val="18"/>
          <w:color w:val="000000"/>
        </w:rPr>
        <w:t>In connection with this lease, the Company provided the landlord with a</w:t>
      </w:r>
      <w:r>
        <w:rPr>
          <w:rFonts w:ascii="Arial" w:cs="Arial" w:eastAsia="Arial" w:hAnsi="Arial"/>
          <w:sz w:val="18"/>
          <w:szCs w:val="18"/>
          <w:color w:val="231F20"/>
        </w:rPr>
        <w:t xml:space="preserve"> </w:t>
      </w:r>
      <w:r>
        <w:rPr>
          <w:rFonts w:ascii="Arial" w:cs="Arial" w:eastAsia="Arial" w:hAnsi="Arial"/>
          <w:sz w:val="18"/>
          <w:szCs w:val="18"/>
          <w:color w:val="000000"/>
        </w:rPr>
        <w:t>$1.2 million standby letter of credit to secure the Company’s obligations through the end of the lease term, which was classified as restricted cash in the accompanying condensed consolidated balance sheets.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The Company regularly licenses technology from various third party licensors. From time to time, the Company is audited by its licensors for compliance with the terms of the license agreements. During the quarter ended March 31, 2018, the Company commenced discussions with one of its vendors with respect to compliance with the terms of the applicable license agreement. During the </w:t>
      </w:r>
      <w:r>
        <w:rPr>
          <w:rFonts w:ascii="Arial" w:cs="Arial" w:eastAsia="Arial" w:hAnsi="Arial"/>
          <w:sz w:val="18"/>
          <w:szCs w:val="18"/>
          <w:color w:val="000000"/>
        </w:rPr>
        <w:t>three months ended June 30,</w:t>
      </w:r>
      <w:r>
        <w:rPr>
          <w:rFonts w:ascii="Arial" w:cs="Arial" w:eastAsia="Arial" w:hAnsi="Arial"/>
          <w:sz w:val="18"/>
          <w:szCs w:val="18"/>
          <w:color w:val="231F20"/>
        </w:rPr>
        <w:t xml:space="preserve"> </w:t>
      </w:r>
      <w:r>
        <w:rPr>
          <w:rFonts w:ascii="Arial" w:cs="Arial" w:eastAsia="Arial" w:hAnsi="Arial"/>
          <w:sz w:val="18"/>
          <w:szCs w:val="18"/>
          <w:color w:val="000000"/>
        </w:rPr>
        <w:t>2018, the audit was completed and the Company reached a resolution with its licensor. M</w:t>
      </w:r>
      <w:r>
        <w:rPr>
          <w:rFonts w:ascii="Arial" w:cs="Arial" w:eastAsia="Arial" w:hAnsi="Arial"/>
          <w:sz w:val="18"/>
          <w:szCs w:val="18"/>
          <w:color w:val="231F20"/>
        </w:rPr>
        <w:t>anagement sufficiently accrued for licensing</w:t>
      </w:r>
      <w:r>
        <w:rPr>
          <w:rFonts w:ascii="Arial" w:cs="Arial" w:eastAsia="Arial" w:hAnsi="Arial"/>
          <w:sz w:val="18"/>
          <w:szCs w:val="18"/>
          <w:color w:val="000000"/>
        </w:rPr>
        <w:t xml:space="preserve"> </w:t>
      </w:r>
      <w:r>
        <w:rPr>
          <w:rFonts w:ascii="Arial" w:cs="Arial" w:eastAsia="Arial" w:hAnsi="Arial"/>
          <w:sz w:val="18"/>
          <w:szCs w:val="18"/>
          <w:color w:val="231F20"/>
        </w:rPr>
        <w:t>agreement matters in the first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11,791,139 shares of common stock. Options may be granted with an exercise price that is at least equal to the fair market value of the Company's stock at the date of grant and are exercisable when vested. As of September 30, 2018, </w:t>
      </w:r>
      <w:r>
        <w:rPr>
          <w:rFonts w:ascii="Arial" w:cs="Arial" w:eastAsia="Arial" w:hAnsi="Arial"/>
          <w:sz w:val="18"/>
          <w:szCs w:val="18"/>
          <w:color w:val="000000"/>
        </w:rPr>
        <w:t>4,191,846</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The following table shows a summary of the stock-based compensation expense included in the condensed consolidated statements of operations for the </w:t>
      </w:r>
      <w:r>
        <w:rPr>
          <w:rFonts w:ascii="Arial" w:cs="Arial" w:eastAsia="Arial" w:hAnsi="Arial"/>
          <w:sz w:val="18"/>
          <w:szCs w:val="18"/>
          <w:color w:val="000000"/>
        </w:rPr>
        <w:t>three and nine months ended September 30,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4,229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11,361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9,280</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6,758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7,743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18,522</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xml:space="preserve">, the Company had $14.2 million of total unrecognized stock-based compensation cost related to unvested options that it expects to recognize over a weighted-average period of 2.1 years, and $40.8 million </w:t>
      </w:r>
      <w:r>
        <w:rPr>
          <w:rFonts w:ascii="Arial" w:cs="Arial" w:eastAsia="Arial" w:hAnsi="Arial"/>
          <w:sz w:val="18"/>
          <w:szCs w:val="18"/>
          <w:color w:val="000000"/>
        </w:rPr>
        <w:t>of unrecognized stock-based compensation</w:t>
      </w:r>
      <w:r>
        <w:rPr>
          <w:rFonts w:ascii="Arial" w:cs="Arial" w:eastAsia="Arial" w:hAnsi="Arial"/>
          <w:sz w:val="18"/>
          <w:szCs w:val="18"/>
          <w:color w:val="231F20"/>
        </w:rPr>
        <w:t xml:space="preserve"> </w:t>
      </w:r>
      <w:r>
        <w:rPr>
          <w:rFonts w:ascii="Arial" w:cs="Arial" w:eastAsia="Arial" w:hAnsi="Arial"/>
          <w:sz w:val="18"/>
          <w:szCs w:val="18"/>
          <w:color w:val="000000"/>
        </w:rPr>
        <w:t xml:space="preserve">cost related to unvested awards that it expects to recognize over a weighted-average period of 2.6 years. </w:t>
      </w:r>
      <w:r>
        <w:rPr>
          <w:rFonts w:ascii="Arial" w:cs="Arial" w:eastAsia="Arial" w:hAnsi="Arial"/>
          <w:sz w:val="18"/>
          <w:szCs w:val="18"/>
          <w:color w:val="231F20"/>
        </w:rPr>
        <w:t>Compensation cost is recognized on</w:t>
      </w:r>
      <w:r>
        <w:rPr>
          <w:rFonts w:ascii="Arial" w:cs="Arial" w:eastAsia="Arial" w:hAnsi="Arial"/>
          <w:sz w:val="18"/>
          <w:szCs w:val="18"/>
          <w:color w:val="000000"/>
        </w:rPr>
        <w:t xml:space="preserve"> </w:t>
      </w:r>
      <w:r>
        <w:rPr>
          <w:rFonts w:ascii="Arial" w:cs="Arial" w:eastAsia="Arial" w:hAnsi="Arial"/>
          <w:sz w:val="18"/>
          <w:szCs w:val="18"/>
          <w:color w:val="231F20"/>
        </w:rPr>
        <w:t>a straight-line basis over the service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period. Forfeitures are estimated at the time of grant and revised, if necessary, in subsequent periods if actual forfeitures differ from those estimates.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4,495,891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153,129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263,911</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81.19</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(1,042,279)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(215,312)</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39.32</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3,502,211</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206,931</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3,323,825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28.88</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200,599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2,465,495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158,857</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90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 Fair Value</w:t>
            </w:r>
          </w:p>
        </w:tc>
      </w:tr>
      <w:tr>
        <w:trPr>
          <w:trHeight w:val="228"/>
        </w:trPr>
        <w:tc>
          <w:tcPr>
            <w:tcW w:w="7900" w:type="dxa"/>
            <w:vAlign w:val="bottom"/>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and RSAs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Per Share</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1,410,588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242,046</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76.39</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(433,525)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39.08</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(178,938)</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41.84</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2018</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1,040,171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49.00</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Arial" w:cs="Arial" w:eastAsia="Arial" w:hAnsi="Arial"/>
                <w:sz w:val="16"/>
                <w:szCs w:val="16"/>
                <w:color w:val="auto"/>
              </w:rPr>
              <w:t>Outstanding and expected to vest - September 30, 2018</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904,092</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48.39</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23,469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37,584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39,170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37,162</w:t>
            </w:r>
          </w:p>
        </w:tc>
      </w:tr>
      <w:tr>
        <w:trPr>
          <w:trHeight w:val="260"/>
        </w:trPr>
        <w:tc>
          <w:tcPr>
            <w:tcW w:w="526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r>
      <w:tr>
        <w:trPr>
          <w:trHeight w:val="264"/>
        </w:trPr>
        <w:tc>
          <w:tcPr>
            <w:tcW w:w="52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r>
      <w:tr>
        <w:trPr>
          <w:trHeight w:val="257"/>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42,197</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40,299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39,601</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260" w:type="dxa"/>
            <w:vAlign w:val="bottom"/>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0.95</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6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gridSpan w:val="3"/>
          </w:tcPr>
          <w:p>
            <w:pPr>
              <w:ind w:left="38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r>
      <w:tr>
        <w:trPr>
          <w:trHeight w:val="264"/>
        </w:trPr>
        <w:tc>
          <w:tcPr>
            <w:tcW w:w="52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10.Stockholder's Equity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February 5, 2018, the Company's Board of Directors authorized a $100.0 million two-year share repurchase program, which was announced on February 12, 2018. The Company's stock repurchases may be effected from time to time through open market purchases.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20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31F20"/>
        </w:rPr>
        <w:t>nine months ended September 30, 2018</w:t>
      </w:r>
      <w:r>
        <w:rPr>
          <w:rFonts w:ascii="Arial" w:cs="Arial" w:eastAsia="Arial" w:hAnsi="Arial"/>
          <w:sz w:val="18"/>
          <w:szCs w:val="18"/>
          <w:color w:val="auto"/>
        </w:rPr>
        <w:t>, the Company repurchased 567,642 shares of its common stock for approximately $46.5 million. All share repurchases were made using cash resources. As of September 30, 2018, approximately $53.5 million remained available for share repurchases pursuant to the Company's share repurchase program.</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On October 25, 2018, the Company's Board of Directors authorized an additional $100.0 million two-year share repurchase program, which was announced on October 30, 2018.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The Company recorded an income tax benefit of $4.2 million and income tax provision of $3.1 million for the three months ended September 30, 2018 and 2017, respectively, resulting in an effective </w:t>
      </w:r>
      <w:r>
        <w:rPr>
          <w:rFonts w:ascii="Arial" w:cs="Arial" w:eastAsia="Arial" w:hAnsi="Arial"/>
          <w:sz w:val="18"/>
          <w:szCs w:val="18"/>
          <w:color w:val="231F20"/>
        </w:rPr>
        <w:t>tax rate of (22.0)% and 26.6%, respectively. The tax benefit for the</w:t>
      </w:r>
      <w:r>
        <w:rPr>
          <w:rFonts w:ascii="Arial" w:cs="Arial" w:eastAsia="Arial" w:hAnsi="Arial"/>
          <w:sz w:val="18"/>
          <w:szCs w:val="18"/>
          <w:color w:val="auto"/>
        </w:rPr>
        <w:t xml:space="preserve"> three months ended September 30, 2018 </w:t>
      </w:r>
      <w:r>
        <w:rPr>
          <w:rFonts w:ascii="Arial" w:cs="Arial" w:eastAsia="Arial" w:hAnsi="Arial"/>
          <w:sz w:val="18"/>
          <w:szCs w:val="18"/>
          <w:color w:val="231F20"/>
        </w:rPr>
        <w:t>as compared to the tax provision for the three months ended September 30, 2017 changed primarily due to</w:t>
      </w:r>
      <w:r>
        <w:rPr>
          <w:rFonts w:ascii="Arial" w:cs="Arial" w:eastAsia="Arial" w:hAnsi="Arial"/>
          <w:sz w:val="18"/>
          <w:szCs w:val="18"/>
          <w:color w:val="auto"/>
        </w:rPr>
        <w:t xml:space="preserve"> </w:t>
      </w:r>
      <w:r>
        <w:rPr>
          <w:rFonts w:ascii="Arial" w:cs="Arial" w:eastAsia="Arial" w:hAnsi="Arial"/>
          <w:sz w:val="18"/>
          <w:szCs w:val="18"/>
          <w:color w:val="231F20"/>
        </w:rPr>
        <w:t>the benefit of the lower U.S. federal tax rate that became effective in 2018 as well as the tax benefit of excess stock-based compensation deductions.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recorded an income tax benefit of $2.2 million and $8.6 million for the </w:t>
      </w:r>
      <w:r>
        <w:rPr>
          <w:rFonts w:ascii="Arial" w:cs="Arial" w:eastAsia="Arial" w:hAnsi="Arial"/>
          <w:sz w:val="18"/>
          <w:szCs w:val="18"/>
          <w:color w:val="231F20"/>
        </w:rPr>
        <w:t>nine months ended September 30, 2018 and</w:t>
      </w:r>
      <w:r>
        <w:rPr>
          <w:rFonts w:ascii="Arial" w:cs="Arial" w:eastAsia="Arial" w:hAnsi="Arial"/>
          <w:sz w:val="18"/>
          <w:szCs w:val="18"/>
          <w:color w:val="auto"/>
        </w:rPr>
        <w:t xml:space="preserve"> 2017, respectively, resulting in an effec</w:t>
      </w:r>
      <w:r>
        <w:rPr>
          <w:rFonts w:ascii="Arial" w:cs="Arial" w:eastAsia="Arial" w:hAnsi="Arial"/>
          <w:sz w:val="18"/>
          <w:szCs w:val="18"/>
          <w:color w:val="231F20"/>
        </w:rPr>
        <w:t>tive tax rate of (5.5)% and (29.6)%, respectively. The tax benefit for the nine months ended September 30,</w:t>
      </w:r>
      <w:r>
        <w:rPr>
          <w:rFonts w:ascii="Arial" w:cs="Arial" w:eastAsia="Arial" w:hAnsi="Arial"/>
          <w:sz w:val="18"/>
          <w:szCs w:val="18"/>
          <w:color w:val="auto"/>
        </w:rPr>
        <w:t xml:space="preserve"> </w:t>
      </w:r>
      <w:r>
        <w:rPr>
          <w:rFonts w:ascii="Arial" w:cs="Arial" w:eastAsia="Arial" w:hAnsi="Arial"/>
          <w:sz w:val="18"/>
          <w:szCs w:val="18"/>
          <w:color w:val="231F20"/>
        </w:rPr>
        <w:t>2018 compared to the nine months ended September 30, 2017 decreased as a result of a reduction in the amount of excess benefits of stock-based compensation realized.</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On December 22, 2017, the 2017 Tax Act was enacted into law. The new legislation contains significant tax provisions that affect the Company, including a one-time repatriation tax on accumulated foreign earnings, a reduction of the corporate income tax rate from 35% to 21%, which was effective January 1, 2018, and a change from a worldwide tax system to a modified territorial system.</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In accordance with Staff Accounting Bulletin No. 118 ("SAB 118"), the effects of the 2017 Tax Act may be adjusted within a one-year measurement period from the enactment date of the 2017 Tax Act for items that were previously reported as provisional estimates, or where a provisional estimate could not be made. The income tax provision for the nine months ended September 30, 2018, does not reflect any adjustment to the provisional estimates recorded in the year ended December 31, 2017. The Company will continue to assess forthcoming guidance and accounting interpretations on the effects of the 2017 Tax Act and expects to complete its analysis in the fourth quarter of fiscal 2018, which timing is in accordance with the SEC guidance. Such analysis includes both the accounting policy election related to the Global Intangible Low-Taxed Income, as well as the detailed analysis of historical foreign earnings for purposes of the one-time transition tax.</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$6.0 million</w:t>
      </w:r>
      <w:r>
        <w:rPr>
          <w:rFonts w:ascii="Arial" w:cs="Arial" w:eastAsia="Arial" w:hAnsi="Arial"/>
          <w:sz w:val="18"/>
          <w:szCs w:val="18"/>
          <w:color w:val="231F20"/>
        </w:rPr>
        <w:t xml:space="preserve">, of which </w:t>
      </w:r>
      <w:r>
        <w:rPr>
          <w:rFonts w:ascii="Arial" w:cs="Arial" w:eastAsia="Arial" w:hAnsi="Arial"/>
          <w:sz w:val="18"/>
          <w:szCs w:val="18"/>
          <w:color w:val="000000"/>
        </w:rPr>
        <w:t>$3.3 million</w:t>
      </w:r>
      <w:r>
        <w:rPr>
          <w:rFonts w:ascii="Arial" w:cs="Arial" w:eastAsia="Arial" w:hAnsi="Arial"/>
          <w:sz w:val="18"/>
          <w:szCs w:val="18"/>
          <w:color w:val="231F20"/>
        </w:rPr>
        <w:t xml:space="preserve">, if recognized, would favorably impact the Company's effective tax rate. As of December 31, 2017, the Company had unrecognized tax benefits of </w:t>
      </w:r>
      <w:r>
        <w:rPr>
          <w:rFonts w:ascii="Arial" w:cs="Arial" w:eastAsia="Arial" w:hAnsi="Arial"/>
          <w:sz w:val="18"/>
          <w:szCs w:val="18"/>
          <w:color w:val="000000"/>
        </w:rPr>
        <w:t>$5.1 million</w:t>
      </w:r>
      <w:r>
        <w:rPr>
          <w:rFonts w:ascii="Arial" w:cs="Arial" w:eastAsia="Arial" w:hAnsi="Arial"/>
          <w:sz w:val="18"/>
          <w:szCs w:val="18"/>
          <w:color w:val="231F20"/>
        </w:rPr>
        <w:t xml:space="preserve">, of which </w:t>
      </w:r>
      <w:r>
        <w:rPr>
          <w:rFonts w:ascii="Arial" w:cs="Arial" w:eastAsia="Arial" w:hAnsi="Arial"/>
          <w:sz w:val="18"/>
          <w:szCs w:val="18"/>
          <w:color w:val="000000"/>
        </w:rPr>
        <w:t>$2.8 million</w:t>
      </w:r>
      <w:r>
        <w:rPr>
          <w:rFonts w:ascii="Arial" w:cs="Arial" w:eastAsia="Arial" w:hAnsi="Arial"/>
          <w:sz w:val="18"/>
          <w:szCs w:val="18"/>
          <w:color w:val="231F20"/>
        </w:rPr>
        <w:t>, if recognized, would favorably impact the Company's effective tax rate. The Company does not anticipate a material change in its unrecognized tax benefits in the next 12 months.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12.Segment Information and Information about Geographic Area</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000000"/>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President and Chief</w:t>
      </w:r>
      <w:r>
        <w:rPr>
          <w:rFonts w:ascii="Arial" w:cs="Arial" w:eastAsia="Arial" w:hAnsi="Arial"/>
          <w:sz w:val="18"/>
          <w:szCs w:val="18"/>
          <w:color w:val="000000"/>
        </w:rPr>
        <w:t xml:space="preserve"> </w:t>
      </w:r>
      <w:r>
        <w:rPr>
          <w:rFonts w:ascii="Arial" w:cs="Arial" w:eastAsia="Arial" w:hAnsi="Arial"/>
          <w:sz w:val="18"/>
          <w:szCs w:val="18"/>
          <w:color w:val="231F20"/>
        </w:rPr>
        <w:t>Executive Officer, who makes operating decisions, assesses performance and allocates resources on a consolidated basis. All of the Company’s principal operations and decision-making functions are located in the United States.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geographic area, based on the location of the customer, are as follows (in thousands):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tcPr>
          <w:p>
            <w:pPr>
              <w:spacing w:after="0"/>
              <w:rPr>
                <w:sz w:val="19"/>
                <w:szCs w:val="19"/>
                <w:color w:val="auto"/>
              </w:rPr>
            </w:pPr>
          </w:p>
        </w:tc>
        <w:tc>
          <w:tcPr>
            <w:tcW w:w="408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rPr>
              <w:t>Nine Months Ended September 30, 2018</w:t>
            </w:r>
          </w:p>
        </w:tc>
      </w:tr>
      <w:tr>
        <w:trPr>
          <w:trHeight w:val="198"/>
        </w:trPr>
        <w:tc>
          <w:tcPr>
            <w:tcW w:w="26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ASC 606</w:t>
            </w: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ASC 606</w:t>
            </w: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Revenue</w:t>
            </w:r>
          </w:p>
        </w:tc>
      </w:tr>
      <w:tr>
        <w:trPr>
          <w:trHeight w:val="257"/>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43,240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47,336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125,223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12,226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137,449</w:t>
            </w:r>
          </w:p>
        </w:tc>
      </w:tr>
      <w:tr>
        <w:trPr>
          <w:trHeight w:val="264"/>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22,379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61,825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67,240</w:t>
            </w:r>
          </w:p>
        </w:tc>
      </w:tr>
      <w:tr>
        <w:trPr>
          <w:trHeight w:val="24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65,619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71,658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187,048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204,689</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rPr>
              <w:t>Three Months Ended September 30, 2017</w:t>
            </w:r>
          </w:p>
        </w:tc>
        <w:tc>
          <w:tcPr>
            <w:tcW w:w="220" w:type="dxa"/>
            <w:vAlign w:val="bottom"/>
          </w:tcPr>
          <w:p>
            <w:pPr>
              <w:spacing w:after="0"/>
              <w:rPr>
                <w:sz w:val="19"/>
                <w:szCs w:val="19"/>
                <w:color w:val="auto"/>
              </w:rPr>
            </w:pPr>
          </w:p>
        </w:tc>
        <w:tc>
          <w:tcPr>
            <w:tcW w:w="408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rPr>
              <w:t>Nine Months Ended September 30, 2017</w:t>
            </w:r>
          </w:p>
        </w:tc>
      </w:tr>
      <w:tr>
        <w:trPr>
          <w:trHeight w:val="198"/>
        </w:trPr>
        <w:tc>
          <w:tcPr>
            <w:tcW w:w="26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ASC 605</w:t>
            </w: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ASC 605</w:t>
            </w: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Operating Lease</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Revenue</w:t>
            </w:r>
          </w:p>
        </w:tc>
      </w:tr>
      <w:tr>
        <w:trPr>
          <w:trHeight w:val="257"/>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38,191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42,287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11,445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118,786</w:t>
            </w:r>
          </w:p>
        </w:tc>
      </w:tr>
      <w:tr>
        <w:trPr>
          <w:trHeight w:val="264"/>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44,359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49,127</w:t>
            </w:r>
          </w:p>
        </w:tc>
      </w:tr>
      <w:tr>
        <w:trPr>
          <w:trHeight w:val="24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53,837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151,700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167,913</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50,785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7,772</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64,503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October 16, 2018, the Company completed the acquisition of Layered Insight, a pioneer and global leader in container native application protection, providing accurate insight into container images, adaptive analysis of running containers, and automated enforcement of the container environment. Total consideration related to the acquisition was $12.0 million in cash, of which $1.6 million is payable in the future subject to terms and conditions of the purchase agreement. The Company also agreed to pay up to an additional $4.0 million if the acquired business achieves certain financial milestones for the annual period ending December 31, 2019. Shareholders of Layered Insight will receive $4.0 million in future payments if certain key employees continue their employment with the Company through December 31, 2019. The Company expects to account for this acquisition as a business combination and is currently determining the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2017, filed with the Securities and Exchange Commission, or SEC, on February 23, 2018.</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2"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09"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We are a pioneer and leading provider of a cloud-based platform delivering security and compliance solutions that enable organizations to 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 as our solution offers a single platform for information security, application security, endpoint, developer security and cloud teams.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 xml:space="preserve">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new solutions to help customers manage increasing IT security and compliance requirements. Today, the suite of solutions offered on our cloud platform, which we refer to as the Qualys Cloud Apps, includes: Asset Inventory (AI), CMDB Sync (SYN), VM, Continuous Monitoring (CM), Cloud Agent Platform (CAP), Container Security (CS), Cloud Inventory (CI), Cloud Security Assessment (CSA), Certificate Inventory (CRI), Certificate Assessment (CRA), Threat Protection (TP), Security Configuration Assessment (SCA), Indication of Compromise (IOC), Policy Compliance (PC), PCI Compliance (PCI), Security Assessment Questionnaire (SAQ), File Integrity Monitoring (FIM), Web Application Scanning (WAS) and Web Application Firewall (WAF). Our VM solutions (including VM, AI, SYN, CM, TP, Cloud Agent for VM, allocated scanner revenue and Qualys Private Cloud Platform) have provided a substantial majority of our revenues to date, representing 75% of our revenues for the </w:t>
      </w:r>
      <w:r>
        <w:rPr>
          <w:rFonts w:ascii="Arial" w:cs="Arial" w:eastAsia="Arial" w:hAnsi="Arial"/>
          <w:sz w:val="18"/>
          <w:szCs w:val="18"/>
          <w:color w:val="231F20"/>
        </w:rPr>
        <w:t>nine months ended September 30, 2018</w:t>
      </w:r>
      <w:r>
        <w:rPr>
          <w:rFonts w:ascii="Arial" w:cs="Arial" w:eastAsia="Arial" w:hAnsi="Arial"/>
          <w:sz w:val="18"/>
          <w:szCs w:val="18"/>
          <w:color w:val="auto"/>
        </w:rPr>
        <w:t>.</w:t>
      </w:r>
    </w:p>
    <w:p>
      <w:pPr>
        <w:spacing w:after="0" w:line="212"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w:t>
      </w:r>
      <w:r>
        <w:rPr>
          <w:rFonts w:ascii="Arial" w:cs="Arial" w:eastAsia="Arial" w:hAnsi="Arial"/>
          <w:sz w:val="18"/>
          <w:szCs w:val="18"/>
          <w:color w:val="231F20"/>
        </w:rPr>
        <w:t>cant revenue growth from existing customers as they renew and purchase additional</w:t>
      </w:r>
      <w:r>
        <w:rPr>
          <w:rFonts w:ascii="Arial" w:cs="Arial" w:eastAsia="Arial" w:hAnsi="Arial"/>
          <w:sz w:val="18"/>
          <w:szCs w:val="18"/>
          <w:color w:val="auto"/>
        </w:rPr>
        <w:t xml:space="preserve"> </w:t>
      </w:r>
      <w:r>
        <w:rPr>
          <w:rFonts w:ascii="Arial" w:cs="Arial" w:eastAsia="Arial" w:hAnsi="Arial"/>
          <w:sz w:val="18"/>
          <w:szCs w:val="18"/>
          <w:color w:val="231F20"/>
        </w:rPr>
        <w:t>subscriptions</w:t>
      </w:r>
      <w:r>
        <w:rPr>
          <w:rFonts w:ascii="Arial" w:cs="Arial" w:eastAsia="Arial" w:hAnsi="Arial"/>
          <w:sz w:val="18"/>
          <w:szCs w:val="18"/>
          <w:color w:val="000000"/>
        </w:rPr>
        <w:t>.</w:t>
      </w:r>
    </w:p>
    <w:p>
      <w:pPr>
        <w:spacing w:after="0" w:line="20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Our revenues increased to $ 204.7 million in the nine months ended September 30, 2018 from $167.9 million for the comparable period in 2017, representing an increase of $36.8 million or 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8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24"/>
                <w:szCs w:val="24"/>
                <w:color w:val="auto"/>
              </w:rPr>
            </w:pPr>
          </w:p>
        </w:tc>
        <w:tc>
          <w:tcPr>
            <w:tcW w:w="184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24"/>
                <w:szCs w:val="24"/>
                <w:color w:val="auto"/>
              </w:rPr>
            </w:pPr>
          </w:p>
        </w:tc>
      </w:tr>
      <w:tr>
        <w:trPr>
          <w:trHeight w:val="264"/>
        </w:trPr>
        <w:tc>
          <w:tcPr>
            <w:tcW w:w="48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47"/>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6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31,887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23,863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83,239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61,090</w:t>
            </w: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0"/>
        </w:trPr>
        <w:tc>
          <w:tcPr>
            <w:tcW w:w="48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(5) stock-based compensation, (6) non-recurring expenses and (7) acquisition-related expenses that do not reflect ongoing costs of operating the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unaudited table presents the reconciliation of net income to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2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2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23,469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37,584</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6,110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18,862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14,662</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(8,586)</w:t>
            </w: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16,791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61,998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44,055</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6,758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18,522</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Acquisition-related expense</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2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31,887</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23,863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83,239</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61,090</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440" w:firstLine="8"/>
        <w:spacing w:after="0" w:line="279" w:lineRule="auto"/>
        <w:tabs>
          <w:tab w:leader="none" w:pos="2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for the three and nine months ended September 30, 2018 excludes approximately less than $0.1 million and $1.9 million, respectively, of compensation expense from the acquisition of NetWatcher.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288"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Cost of revenues consists primarily of personnel expenses, comprised of salaries, benefits, amortization of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w:t>
      </w:r>
      <w:r>
        <w:rPr>
          <w:rFonts w:ascii="Arial" w:cs="Arial" w:eastAsia="Arial" w:hAnsi="Arial"/>
          <w:sz w:val="18"/>
          <w:szCs w:val="18"/>
          <w:color w:val="000000"/>
        </w:rPr>
        <w:t>technology-based</w:t>
      </w:r>
      <w:r>
        <w:rPr>
          <w:rFonts w:ascii="Arial" w:cs="Arial" w:eastAsia="Arial" w:hAnsi="Arial"/>
          <w:sz w:val="18"/>
          <w:szCs w:val="18"/>
          <w:color w:val="231F20"/>
        </w:rPr>
        <w:t xml:space="preserve">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 All research and development costs are expensed as incurred, except for capitalized cost related to new products' internal-use software development. For new products' internal-use software, after completing the preliminary project stage, research and development expense are capitalized from application development start stage to post implementation-operation stage.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w:t>
      </w:r>
      <w:r>
        <w:rPr>
          <w:rFonts w:ascii="Arial" w:cs="Arial" w:eastAsia="Arial" w:hAnsi="Arial"/>
          <w:sz w:val="18"/>
          <w:szCs w:val="18"/>
          <w:color w:val="000000"/>
        </w:rPr>
        <w:t>ales</w:t>
      </w:r>
      <w:r>
        <w:rPr>
          <w:rFonts w:ascii="Arial" w:cs="Arial" w:eastAsia="Arial" w:hAnsi="Arial"/>
          <w:sz w:val="18"/>
          <w:szCs w:val="18"/>
          <w:color w:val="231F20"/>
        </w:rPr>
        <w:t xml:space="preserve"> </w:t>
      </w:r>
      <w:r>
        <w:rPr>
          <w:rFonts w:ascii="Arial" w:cs="Arial" w:eastAsia="Arial" w:hAnsi="Arial"/>
          <w:sz w:val="18"/>
          <w:szCs w:val="18"/>
          <w:color w:val="000000"/>
        </w:rPr>
        <w:t>commissions cost related to new business and upsells are capitalized as an asset. We amortize the capitalized commission cost as a selling expense on a straight-line basis over a period of five years. We expense s</w:t>
      </w:r>
      <w:r>
        <w:rPr>
          <w:rFonts w:ascii="Arial" w:cs="Arial" w:eastAsia="Arial" w:hAnsi="Arial"/>
          <w:sz w:val="18"/>
          <w:szCs w:val="18"/>
          <w:color w:val="231F20"/>
        </w:rPr>
        <w:t>ales commissions related to its contract renewals</w:t>
      </w:r>
      <w:r>
        <w:rPr>
          <w:rFonts w:ascii="Arial" w:cs="Arial" w:eastAsia="Arial" w:hAnsi="Arial"/>
          <w:sz w:val="18"/>
          <w:szCs w:val="18"/>
          <w:color w:val="000000"/>
        </w:rPr>
        <w:t xml:space="preserve">. </w:t>
      </w:r>
      <w:r>
        <w:rPr>
          <w:rFonts w:ascii="Arial" w:cs="Arial" w:eastAsia="Arial" w:hAnsi="Arial"/>
          <w:sz w:val="18"/>
          <w:szCs w:val="18"/>
          <w:color w:val="231F20"/>
        </w:rPr>
        <w:t>Our new sales</w:t>
      </w:r>
      <w:r>
        <w:rPr>
          <w:rFonts w:ascii="Arial" w:cs="Arial" w:eastAsia="Arial" w:hAnsi="Arial"/>
          <w:sz w:val="18"/>
          <w:szCs w:val="18"/>
          <w:color w:val="000000"/>
        </w:rPr>
        <w:t xml:space="preserve"> </w:t>
      </w:r>
      <w:r>
        <w:rPr>
          <w:rFonts w:ascii="Arial" w:cs="Arial" w:eastAsia="Arial" w:hAnsi="Arial"/>
          <w:sz w:val="18"/>
          <w:szCs w:val="18"/>
          <w:color w:val="231F20"/>
        </w:rPr>
        <w:t>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insurance, fees, and software licenses. We expect that general and administrative expenses will increase in absolute dollars, as we continue to add personnel and incur professional services to support our growth and compliance with legal requirements.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losses on disposal of property and equipment; and impairment of long-lived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higher than U.S. tax rates, and may be subject to U.S. income taxes.</w:t>
      </w:r>
    </w:p>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tax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estimated effective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On December 22, 2017, the Tax Cuts and Jobs Act (the “2017 Tax Act”) was enacted into law. The new legislation contains significant tax provisions that affect us, including a one-time repatriation tax on accumulated foreign earnings, a reduction of the corporate income tax rate from 35% to 21%, which was effective January 1, 2018, and a change from a worldwide tax system to a modified territorial system.</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accordance with Staff Accounting Bulletin No. 118 ("SAB 118"), the effects of the 2017 Tax Act may be adjusted within a one-year measurement period from the enactment date of the 2017 Tax Act for items that were previously reported as provisional estimates, or where a provisional estimate could not be made. The income tax provision for the nine months ended September 30, 2018 does not reflect any adjustment to the provisional estimates recorded in the year ended December 31, 2017. We will continue to assess forthcoming guidance and accounting interpretations on the effects of the 2017 Tax Act and expect to complete our analysis in the fourth quarter of fiscal 2018, which timing is in accordance with the SEC guidance. Such analysis includes both the accounting policy election related to the Global Intangible Low-Taxed Income, as well as the detailed analysis of historical foreign earnings for purposes of the one-time transition tax.</w:t>
      </w:r>
    </w:p>
    <w:p>
      <w:pPr>
        <w:spacing w:after="0" w:line="2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71,658</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59,490</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204,689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231F20"/>
              </w:rPr>
              <w:t>167,913</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180" w:type="dxa"/>
            <w:vAlign w:val="bottom"/>
            <w:tcBorders>
              <w:bottom w:val="single" w:sz="8" w:color="231F20"/>
            </w:tcBorders>
            <w:shd w:val="clear" w:color="auto" w:fill="CCEEFF"/>
          </w:tcPr>
          <w:p>
            <w:pPr>
              <w:jc w:val="right"/>
              <w:ind w:right="39"/>
              <w:spacing w:after="0"/>
              <w:rPr>
                <w:sz w:val="20"/>
                <w:szCs w:val="20"/>
                <w:color w:val="auto"/>
              </w:rPr>
            </w:pPr>
            <w:r>
              <w:rPr>
                <w:rFonts w:ascii="Arial" w:cs="Arial" w:eastAsia="Arial" w:hAnsi="Arial"/>
                <w:sz w:val="16"/>
                <w:szCs w:val="16"/>
                <w:color w:val="231F20"/>
              </w:rPr>
              <w:t>16,511</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12,728</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48,660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231F20"/>
            </w:tcBorders>
            <w:shd w:val="clear" w:color="auto" w:fill="CCEEFF"/>
          </w:tcPr>
          <w:p>
            <w:pPr>
              <w:spacing w:after="0"/>
              <w:rPr>
                <w:sz w:val="24"/>
                <w:szCs w:val="24"/>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37,175</w:t>
            </w:r>
          </w:p>
        </w:tc>
      </w:tr>
      <w:tr>
        <w:trPr>
          <w:trHeight w:val="240"/>
        </w:trPr>
        <w:tc>
          <w:tcPr>
            <w:tcW w:w="526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55,147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46,762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156,029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130,738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5260" w:type="dxa"/>
            <w:vAlign w:val="bottom"/>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12,501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10,892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38,182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231F20"/>
              </w:rPr>
              <w:t>31,240</w:t>
            </w: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15,489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15,475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50,698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46,872</w:t>
            </w:r>
          </w:p>
        </w:tc>
      </w:tr>
      <w:tr>
        <w:trPr>
          <w:trHeight w:val="27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231F20"/>
              </w:rPr>
              <w:t>9,040</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9,546</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29,731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25,112</w:t>
            </w:r>
          </w:p>
        </w:tc>
      </w:tr>
      <w:tr>
        <w:trPr>
          <w:trHeight w:val="244"/>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37,030</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35,913</w:t>
            </w: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118,611</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103,224</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18,117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10,849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37,418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27,514</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671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1,484</w:t>
            </w: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19,233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28,998</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tcBorders>
              <w:bottom w:val="single" w:sz="8" w:color="231F20"/>
            </w:tcBorders>
            <w:shd w:val="clear" w:color="auto" w:fill="CCEEFF"/>
          </w:tcPr>
          <w:p>
            <w:pPr>
              <w:spacing w:after="0"/>
              <w:rPr>
                <w:sz w:val="23"/>
                <w:szCs w:val="23"/>
                <w:color w:val="auto"/>
              </w:rPr>
            </w:pPr>
          </w:p>
        </w:tc>
        <w:tc>
          <w:tcPr>
            <w:tcW w:w="11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(4,236)</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3,068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(2,241)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(8,586)</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23,469</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8,452</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42,904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37,584</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231F20"/>
          <w:vertAlign w:val="superscript"/>
        </w:rPr>
      </w:pPr>
      <w:r>
        <w:rPr>
          <w:rFonts w:ascii="Arial" w:cs="Arial" w:eastAsia="Arial" w:hAnsi="Arial"/>
          <w:sz w:val="14"/>
          <w:szCs w:val="14"/>
          <w:color w:val="231F20"/>
        </w:rPr>
        <w:t>Includes stock-based compensation as follows:</w:t>
      </w:r>
    </w:p>
    <w:p>
      <w:pPr>
        <w:spacing w:after="0" w:line="38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0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3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49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47"/>
        </w:trPr>
        <w:tc>
          <w:tcPr>
            <w:tcW w:w="4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r>
      <w:tr>
        <w:trPr>
          <w:trHeight w:val="260"/>
        </w:trPr>
        <w:tc>
          <w:tcPr>
            <w:tcW w:w="49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1,937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4,229</w:t>
            </w: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1,163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r>
      <w:tr>
        <w:trPr>
          <w:trHeight w:val="26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3,033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9,280</w:t>
            </w:r>
          </w:p>
        </w:tc>
      </w:tr>
      <w:tr>
        <w:trPr>
          <w:trHeight w:val="24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6,758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7,743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18,522</w:t>
            </w: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66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0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57"/>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w:t>
            </w:r>
          </w:p>
        </w:tc>
      </w:tr>
      <w:tr>
        <w:trPr>
          <w:trHeight w:val="257"/>
        </w:trPr>
        <w:tc>
          <w:tcPr>
            <w:tcW w:w="6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r>
      <w:tr>
        <w:trPr>
          <w:trHeight w:val="260"/>
        </w:trPr>
        <w:tc>
          <w:tcPr>
            <w:tcW w:w="60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60"/>
        </w:trPr>
        <w:tc>
          <w:tcPr>
            <w:tcW w:w="604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28</w:t>
            </w:r>
          </w:p>
        </w:tc>
      </w:tr>
      <w:tr>
        <w:trPr>
          <w:trHeight w:val="273"/>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50"/>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w:t>
            </w:r>
          </w:p>
        </w:tc>
      </w:tr>
      <w:tr>
        <w:trPr>
          <w:trHeight w:val="257"/>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r>
      <w:tr>
        <w:trPr>
          <w:trHeight w:val="257"/>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r>
      <w:tr>
        <w:trPr>
          <w:trHeight w:val="24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and Nine </w:t>
      </w:r>
      <w:r>
        <w:rPr>
          <w:rFonts w:ascii="Arial" w:cs="Arial" w:eastAsia="Arial" w:hAnsi="Arial"/>
          <w:sz w:val="18"/>
          <w:szCs w:val="18"/>
          <w:b w:val="1"/>
          <w:bCs w:val="1"/>
          <w:color w:val="000000"/>
        </w:rPr>
        <w:t>Months Ended September 30, 2018</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6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71,658</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12,168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  $</w:t>
            </w:r>
          </w:p>
        </w:tc>
        <w:tc>
          <w:tcPr>
            <w:tcW w:w="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204,689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167,913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36,776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Revenues increased $12.2 million for the </w:t>
      </w:r>
      <w:r>
        <w:rPr>
          <w:rFonts w:ascii="Arial" w:cs="Arial" w:eastAsia="Arial" w:hAnsi="Arial"/>
          <w:sz w:val="18"/>
          <w:szCs w:val="18"/>
          <w:color w:val="000000"/>
        </w:rPr>
        <w:t>three months ended September 30,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2017</w:t>
      </w:r>
      <w:r>
        <w:rPr>
          <w:rFonts w:ascii="Arial" w:cs="Arial" w:eastAsia="Arial" w:hAnsi="Arial"/>
          <w:sz w:val="18"/>
          <w:szCs w:val="18"/>
          <w:color w:val="231F20"/>
        </w:rPr>
        <w:t>, due to an increase in the purchase of subscriptions from existing customers and new customer subscriptions entered into after</w:t>
      </w:r>
      <w:r>
        <w:rPr>
          <w:rFonts w:ascii="Arial" w:cs="Arial" w:eastAsia="Arial" w:hAnsi="Arial"/>
          <w:sz w:val="18"/>
          <w:szCs w:val="18"/>
          <w:color w:val="000000"/>
        </w:rPr>
        <w:t xml:space="preserve"> </w:t>
      </w:r>
      <w:r>
        <w:rPr>
          <w:rFonts w:ascii="Arial" w:cs="Arial" w:eastAsia="Arial" w:hAnsi="Arial"/>
          <w:sz w:val="18"/>
          <w:szCs w:val="18"/>
          <w:color w:val="231F20"/>
        </w:rPr>
        <w:t xml:space="preserve">September 30, 2017. Of the total increase of </w:t>
      </w:r>
      <w:r>
        <w:rPr>
          <w:rFonts w:ascii="Arial" w:cs="Arial" w:eastAsia="Arial" w:hAnsi="Arial"/>
          <w:sz w:val="18"/>
          <w:szCs w:val="18"/>
          <w:color w:val="000000"/>
        </w:rPr>
        <w:t>$12.2 million</w:t>
      </w:r>
      <w:r>
        <w:rPr>
          <w:rFonts w:ascii="Arial" w:cs="Arial" w:eastAsia="Arial" w:hAnsi="Arial"/>
          <w:sz w:val="18"/>
          <w:szCs w:val="18"/>
          <w:color w:val="231F20"/>
        </w:rPr>
        <w:t>, $5.1 million was from customers in the United States and the remaining $7.1 million was from customers in foreign countries.</w:t>
      </w:r>
    </w:p>
    <w:p>
      <w:pPr>
        <w:spacing w:after="0" w:line="25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Revenues increased $36.8 million for the nine months ended September 30, 2018 compared to the nine months ended September 30, 2017, due to an increase in the purchase of subscriptions from existing customers and new customer subscriptions entered into after September 30, 2017. Of the total increase of $36.8 million, $ 18.7 million was from customers in the United States and the remaining $18.1 million was from customers in foreign countries. </w:t>
      </w:r>
      <w:r>
        <w:rPr>
          <w:rFonts w:ascii="Arial" w:cs="Arial" w:eastAsia="Arial" w:hAnsi="Arial"/>
          <w:sz w:val="18"/>
          <w:szCs w:val="18"/>
          <w:color w:val="000000"/>
        </w:rPr>
        <w:t>We expect revenue growth from existing and new customers to continue. The growth in</w:t>
      </w:r>
      <w:r>
        <w:rPr>
          <w:rFonts w:ascii="Arial" w:cs="Arial" w:eastAsia="Arial" w:hAnsi="Arial"/>
          <w:sz w:val="18"/>
          <w:szCs w:val="18"/>
          <w:color w:val="231F20"/>
        </w:rPr>
        <w:t xml:space="preserve"> </w:t>
      </w:r>
      <w:r>
        <w:rPr>
          <w:rFonts w:ascii="Arial" w:cs="Arial" w:eastAsia="Arial" w:hAnsi="Arial"/>
          <w:sz w:val="18"/>
          <w:szCs w:val="18"/>
          <w:color w:val="000000"/>
        </w:rPr>
        <w:t>revenues reflects the continued demand for our solutions. There was no impact to our revenues as a result of adopting Accounting Standards Codification ("ASC") 606. See Note 4, “Revenue from Contracts with Customers”, to the unaudited condensed consolidated financial statements in Part I, Item 1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238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16,511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3,783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48,660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11,485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bl>
    <w:p>
      <w:pPr>
        <w:spacing w:after="0" w:line="2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31F20"/>
        </w:rPr>
        <w:t xml:space="preserve">Cost of revenues increased $3.8 million for the </w:t>
      </w:r>
      <w:r>
        <w:rPr>
          <w:rFonts w:ascii="Arial" w:cs="Arial" w:eastAsia="Arial" w:hAnsi="Arial"/>
          <w:sz w:val="18"/>
          <w:szCs w:val="18"/>
          <w:color w:val="000000"/>
        </w:rPr>
        <w:t>three months ended September 30,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 xml:space="preserve">September 30, 2017, </w:t>
      </w:r>
      <w:r>
        <w:rPr>
          <w:rFonts w:ascii="Arial" w:cs="Arial" w:eastAsia="Arial" w:hAnsi="Arial"/>
          <w:sz w:val="18"/>
          <w:szCs w:val="18"/>
          <w:color w:val="231F20"/>
        </w:rPr>
        <w:t>primarily due to an increase in personnel expenses of $1.2 million, driven by an increase in the number of employees to</w:t>
      </w:r>
      <w:r>
        <w:rPr>
          <w:rFonts w:ascii="Arial" w:cs="Arial" w:eastAsia="Arial" w:hAnsi="Arial"/>
          <w:sz w:val="18"/>
          <w:szCs w:val="18"/>
          <w:color w:val="000000"/>
        </w:rPr>
        <w:t xml:space="preserve"> </w:t>
      </w:r>
      <w:r>
        <w:rPr>
          <w:rFonts w:ascii="Arial" w:cs="Arial" w:eastAsia="Arial" w:hAnsi="Arial"/>
          <w:sz w:val="18"/>
          <w:szCs w:val="18"/>
          <w:color w:val="231F20"/>
        </w:rPr>
        <w:t>support the continued growth of our business; increased data center and supplies costs of $0.7 million; a $0.7 million increase in amortization expense related to acquired technology resulting from our business acquisitions; a $0.5 million increase in depreciation expense related to additional computer hardware and software; and increased third-party software license and maintenance expenses of $0.5 million resulting from our continued business growth.</w:t>
      </w:r>
    </w:p>
    <w:p>
      <w:pPr>
        <w:spacing w:after="0" w:line="26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For the nine months ended September 30, 2018, cost of revenues increased $11.5 million compared to the nine months ended September 30, 2017</w:t>
      </w:r>
      <w:r>
        <w:rPr>
          <w:rFonts w:ascii="Arial" w:cs="Arial" w:eastAsia="Arial" w:hAnsi="Arial"/>
          <w:sz w:val="18"/>
          <w:szCs w:val="18"/>
          <w:color w:val="000000"/>
        </w:rPr>
        <w:t>,</w:t>
      </w:r>
      <w:r>
        <w:rPr>
          <w:rFonts w:ascii="Arial" w:cs="Arial" w:eastAsia="Arial" w:hAnsi="Arial"/>
          <w:sz w:val="18"/>
          <w:szCs w:val="18"/>
          <w:color w:val="231F20"/>
        </w:rPr>
        <w:t xml:space="preserve"> primarily due to increased personnel expenses of $4.5 million to support the continued growth of our business; a $2.0 million increase in depreciation expense related to additional computer hardware and software; a $2.2 million increase in amortization expense related to acquired technology resulting from our business acquisitions; increased data center and supplies costs of $1.4 million; and increased third-party software license and maintenance expenses of $1.0 million resulting from our continued business growth.</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12,501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1,609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  $</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38,182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31,240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6,942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51"/>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Percentage of revenues</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8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Research and development expenses increased $1.6 million for the three months ended September 30, 2018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2017</w:t>
      </w:r>
      <w:r>
        <w:rPr>
          <w:rFonts w:ascii="Arial" w:cs="Arial" w:eastAsia="Arial" w:hAnsi="Arial"/>
          <w:sz w:val="18"/>
          <w:szCs w:val="18"/>
          <w:color w:val="231F20"/>
        </w:rPr>
        <w:t>, primarily due to an increase in personnel expenses of $1.5 million, driven by additional employees hired to</w:t>
      </w:r>
      <w:r>
        <w:rPr>
          <w:rFonts w:ascii="Arial" w:cs="Arial" w:eastAsia="Arial" w:hAnsi="Arial"/>
          <w:sz w:val="18"/>
          <w:szCs w:val="18"/>
          <w:color w:val="000000"/>
        </w:rPr>
        <w:t xml:space="preserve"> </w:t>
      </w:r>
      <w:r>
        <w:rPr>
          <w:rFonts w:ascii="Arial" w:cs="Arial" w:eastAsia="Arial" w:hAnsi="Arial"/>
          <w:sz w:val="18"/>
          <w:szCs w:val="18"/>
          <w:color w:val="231F20"/>
        </w:rPr>
        <w:t>support the growth of our business; increased data center, third-party software license and maintenance expenses of $0.3 million resulting from our continued business growth; increased consulting and professional services costs of $0.3 million; and increased related facilities costs and expenses of $0.2 million to support our research and development activities. These increases were partially offset by the capitalization of internally developed software cost of $0.8 million.</w:t>
      </w:r>
    </w:p>
    <w:p>
      <w:pPr>
        <w:spacing w:after="0" w:line="31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Research and development expenses increased $6.9 million for the nine months ended September 30, 2018 compared to the nine months ended September 30, 2017, primarily due to an increase in personnel expenses of $5.3 million, driven by additional employees hired to support the growth of our business; increased related facilities costs and expenses of $0.9 million to support our research and development activities; increased consulting and professional services costs of $0.7 million; and increased data center, third-party software license and maintenance expenses of $0.7 million. These increases were partially offset by the capitalization of internally developed software cost of $0.8 million. We continue to significantly invest in and expand our research and development teams to continuously improve our platform and existing solutions, as well as develop new solutions and capabilities.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22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8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15,489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15,475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14</w:t>
            </w:r>
          </w:p>
        </w:tc>
        <w:tc>
          <w:tcPr>
            <w:tcW w:w="16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  $    50,698</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46,872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3,826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51"/>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Sales and marketing expenses remained flat for the three months ended September 30, 2018 compared to the three months ended September 30, 2017. The increase in personnel expenses of $0.5 million; recruiting expenses of $0.1 million; and consulting and temporary services of $0.1 million, were primarily offset by a decrease in commission expense of $0.7 million primarily due to the adoption of ASC 606, resulting in us capitalizing commissions on new business and upsells in the three months ended September 30, 2018 versus expensing all commissions in the </w:t>
      </w:r>
      <w:r>
        <w:rPr>
          <w:rFonts w:ascii="Arial" w:cs="Arial" w:eastAsia="Arial" w:hAnsi="Arial"/>
          <w:sz w:val="18"/>
          <w:szCs w:val="18"/>
          <w:color w:val="000000"/>
        </w:rPr>
        <w:t>three months ended September 30, 2017</w:t>
      </w:r>
      <w:r>
        <w:rPr>
          <w:rFonts w:ascii="Arial" w:cs="Arial" w:eastAsia="Arial" w:hAnsi="Arial"/>
          <w:sz w:val="18"/>
          <w:szCs w:val="18"/>
          <w:color w:val="231F20"/>
        </w:rPr>
        <w:t>.</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Sales and marketing expenses increased $3.8 million for the nine months ended September 30, 2018 compared to the nine months ended September 30, 2017, primarily due to an increase in personnel expenses of $2.8 million, driven by additional employees hired to support the growth of our business; a $1.8 million compensation expense from the acquisition of Netwatcher; increased recruiting, consulting and temporary services of $0.9 million; and increased travel and entertainment expense of $0.5 million. These increases were partially offset by a decrease in commission expense of $2.3 million primarily due to the adoption of ASC 606, resulting in us capitalizing commissions on new business and upsells in the nine months ended September 30, 2018 versus expensing all commissions in the nine months ended September 30, 2017.</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9,040</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(506)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  $</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29,731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25,112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4,619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General and administrative expenses decreased $ 0.5 million for the </w:t>
      </w:r>
      <w:r>
        <w:rPr>
          <w:rFonts w:ascii="Arial" w:cs="Arial" w:eastAsia="Arial" w:hAnsi="Arial"/>
          <w:sz w:val="18"/>
          <w:szCs w:val="18"/>
          <w:color w:val="000000"/>
        </w:rPr>
        <w:t>three months ended September 30,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2017</w:t>
      </w:r>
      <w:r>
        <w:rPr>
          <w:rFonts w:ascii="Arial" w:cs="Arial" w:eastAsia="Arial" w:hAnsi="Arial"/>
          <w:sz w:val="18"/>
          <w:szCs w:val="18"/>
          <w:color w:val="231F20"/>
        </w:rPr>
        <w:t>, primarily due to a decrease in personnel expenses of $1.1 million, primarily from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The decrease was partially offset by an increase in depreciation expense related to leasehold improvements, additional computer hardware and software of $0.5 million.</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General and administrative expenses increased $4.6 million for the nine months ended September 30, 2018 compared to the nine months ended September 30, 2017, primarily driven by increased depreciation expense related to leasehold improvements, additional computer hardware and software of $2.2 million; increased consulting and professional services costs of $1.3 million; and increased personnel expenses of $1.0 million, primarily from stock-based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3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1,116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671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445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66%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3,245</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1,761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51"/>
        </w:trPr>
        <w:tc>
          <w:tcPr>
            <w:tcW w:w="2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Total other income, net increased by $ 0.4 million for the three months ended September 30, 2018 compared to the three months ended September 30, 2017, and by $1.8 million for the nine months ended September 30, 2018 compared to the nine months ended September 30, 2017, primarily due to the accretion of purchase discounts from marketable securities balances increasing year over year.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4"/>
          </w:tcPr>
          <w:p>
            <w:pPr>
              <w:ind w:left="100"/>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4"/>
          </w:tcPr>
          <w:p>
            <w:pPr>
              <w:ind w:left="4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00" w:type="dxa"/>
            <w:vAlign w:val="bottom"/>
          </w:tcPr>
          <w:p>
            <w:pPr>
              <w:ind w:left="5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0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2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8"/>
        </w:trPr>
        <w:tc>
          <w:tcPr>
            <w:tcW w:w="2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4"/>
        </w:trPr>
        <w:tc>
          <w:tcPr>
            <w:tcW w:w="2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(4,236)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(7,304)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(238)%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(2,241)</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6,345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51"/>
        </w:trPr>
        <w:tc>
          <w:tcPr>
            <w:tcW w:w="206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6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benefit of $4.2 million</w:t>
      </w:r>
      <w:r>
        <w:rPr>
          <w:rFonts w:ascii="Arial" w:cs="Arial" w:eastAsia="Arial" w:hAnsi="Arial"/>
          <w:sz w:val="18"/>
          <w:szCs w:val="18"/>
          <w:color w:val="231F20"/>
        </w:rPr>
        <w:t xml:space="preserve"> and income tax provision of $3.1 million for the three months ended September 30, 2018 and </w:t>
      </w:r>
      <w:r>
        <w:rPr>
          <w:rFonts w:ascii="Arial" w:cs="Arial" w:eastAsia="Arial" w:hAnsi="Arial"/>
          <w:sz w:val="18"/>
          <w:szCs w:val="18"/>
          <w:color w:val="000000"/>
        </w:rPr>
        <w:t>2017</w:t>
      </w:r>
      <w:r>
        <w:rPr>
          <w:rFonts w:ascii="Arial" w:cs="Arial" w:eastAsia="Arial" w:hAnsi="Arial"/>
          <w:sz w:val="18"/>
          <w:szCs w:val="18"/>
          <w:color w:val="231F20"/>
        </w:rPr>
        <w:t>, respectively. The decrease in income tax provision for the three months ended September 30, 2018 is primarily due to the year-over-year increase in the benefit of excess stock-based compensation deductions.</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benefit of $2.2 million and $8.6 million for the</w:t>
      </w:r>
      <w:r>
        <w:rPr>
          <w:rFonts w:ascii="Arial" w:cs="Arial" w:eastAsia="Arial" w:hAnsi="Arial"/>
          <w:sz w:val="18"/>
          <w:szCs w:val="18"/>
          <w:color w:val="231F20"/>
        </w:rPr>
        <w:t xml:space="preserve"> nine months ended September 30, 2018 and </w:t>
      </w:r>
      <w:r>
        <w:rPr>
          <w:rFonts w:ascii="Arial" w:cs="Arial" w:eastAsia="Arial" w:hAnsi="Arial"/>
          <w:sz w:val="18"/>
          <w:szCs w:val="18"/>
          <w:color w:val="000000"/>
        </w:rPr>
        <w:t>2017,</w:t>
      </w:r>
      <w:r>
        <w:rPr>
          <w:rFonts w:ascii="Arial" w:cs="Arial" w:eastAsia="Arial" w:hAnsi="Arial"/>
          <w:sz w:val="18"/>
          <w:szCs w:val="18"/>
          <w:color w:val="231F20"/>
        </w:rPr>
        <w:t xml:space="preserve"> </w:t>
      </w:r>
      <w:r>
        <w:rPr>
          <w:rFonts w:ascii="Arial" w:cs="Arial" w:eastAsia="Arial" w:hAnsi="Arial"/>
          <w:sz w:val="18"/>
          <w:szCs w:val="18"/>
          <w:color w:val="000000"/>
        </w:rPr>
        <w:t xml:space="preserve">respectively. </w:t>
      </w:r>
      <w:r>
        <w:rPr>
          <w:rFonts w:ascii="Arial" w:cs="Arial" w:eastAsia="Arial" w:hAnsi="Arial"/>
          <w:sz w:val="18"/>
          <w:szCs w:val="18"/>
          <w:color w:val="231F20"/>
        </w:rPr>
        <w:t>The decrease in income tax benefit for the nine months ended September 30, 2018 is primarily due to a reduction in the amount of</w:t>
      </w:r>
      <w:r>
        <w:rPr>
          <w:rFonts w:ascii="Arial" w:cs="Arial" w:eastAsia="Arial" w:hAnsi="Arial"/>
          <w:sz w:val="18"/>
          <w:szCs w:val="18"/>
          <w:color w:val="000000"/>
        </w:rPr>
        <w:t xml:space="preserve"> </w:t>
      </w:r>
      <w:r>
        <w:rPr>
          <w:rFonts w:ascii="Arial" w:cs="Arial" w:eastAsia="Arial" w:hAnsi="Arial"/>
          <w:sz w:val="18"/>
          <w:szCs w:val="18"/>
          <w:color w:val="231F20"/>
        </w:rPr>
        <w:t>excess benefits of stock-based compensation realized.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2018</w:t>
      </w:r>
      <w:r>
        <w:rPr>
          <w:rFonts w:ascii="Arial" w:cs="Arial" w:eastAsia="Arial" w:hAnsi="Arial"/>
          <w:sz w:val="18"/>
          <w:szCs w:val="18"/>
          <w:color w:val="231F20"/>
        </w:rPr>
        <w:t>, our principal source of liquidity was cash, cash equivalents, and marketable securities of $390.6 million, including $9.6 million held outside of the United States by our foreign subsidiaries. We do not anticipate that we will need funds generated from foreign operations to fund our domestic operations. However, if we repatriate these funds, we could be subject to foreign withholding taxes.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We experienced positive cash flows from operations during each of the nine months ended September 30, 2018 and 2017.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98,820</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81,779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(48,546)</w:t>
            </w: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(83,206)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(38,859)</w:t>
            </w: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5,207</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For the nine months ended September 30, 2018, cash flows from operating activities of $98.8 million primarily resulted from our net income of approximately $42.9 million, as adjusted for non-cash items including stock-based compensation of $22.7 million and depreciation and amortization expense of $21.2 million; and an increase in deferred revenues of $12.4 million attributable to our continued growth.</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For the nine months ended September 30, 2017, cash flows from operating activities of $81.8 million primarily resulted from our net income of approximately $37.6 million, as adjusted by an increase in deferred revenues of $ 17.7 million attributable to our continued growth. This working capital increase was further increased by non-cash items including stock-based compensation of $18.5 million, depreciation and amortization expense of $15.1 million and excess tax benefits included in deferred tax assets of $7.9 million. These increases were partially offset by the increase to our deferred tax asset of $17.6 million, which resulted in our benefit from income taxes for the nine months ended September 30, 2017, and was primarily driven by excess tax benefits from stock option exercises.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2018</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$48.5 million was attributable to purchases of</w:t>
      </w:r>
      <w:r>
        <w:rPr>
          <w:rFonts w:ascii="Arial" w:cs="Arial" w:eastAsia="Arial" w:hAnsi="Arial"/>
          <w:sz w:val="18"/>
          <w:szCs w:val="18"/>
          <w:color w:val="231F20"/>
        </w:rPr>
        <w:t xml:space="preserve"> </w:t>
      </w:r>
      <w:r>
        <w:rPr>
          <w:rFonts w:ascii="Arial" w:cs="Arial" w:eastAsia="Arial" w:hAnsi="Arial"/>
          <w:sz w:val="18"/>
          <w:szCs w:val="18"/>
          <w:color w:val="000000"/>
        </w:rPr>
        <w:t xml:space="preserve">marketable securities, net of sales and maturities of </w:t>
      </w:r>
      <w:r>
        <w:rPr>
          <w:rFonts w:ascii="Arial" w:cs="Arial" w:eastAsia="Arial" w:hAnsi="Arial"/>
          <w:sz w:val="18"/>
          <w:szCs w:val="18"/>
          <w:color w:val="231F20"/>
        </w:rPr>
        <w:t>$23.2 million</w:t>
      </w:r>
      <w:r>
        <w:rPr>
          <w:rFonts w:ascii="Arial" w:cs="Arial" w:eastAsia="Arial" w:hAnsi="Arial"/>
          <w:sz w:val="18"/>
          <w:szCs w:val="18"/>
          <w:color w:val="000000"/>
        </w:rPr>
        <w:t xml:space="preserve">, and </w:t>
      </w:r>
      <w:r>
        <w:rPr>
          <w:rFonts w:ascii="Arial" w:cs="Arial" w:eastAsia="Arial" w:hAnsi="Arial"/>
          <w:sz w:val="18"/>
          <w:szCs w:val="18"/>
          <w:color w:val="231F20"/>
        </w:rPr>
        <w:t>$19.5 million</w:t>
      </w:r>
      <w:r>
        <w:rPr>
          <w:rFonts w:ascii="Arial" w:cs="Arial" w:eastAsia="Arial" w:hAnsi="Arial"/>
          <w:sz w:val="18"/>
          <w:szCs w:val="18"/>
          <w:color w:val="000000"/>
        </w:rPr>
        <w:t xml:space="preserve">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$3.4 million in cash in connection with our acquisition of the assets of 1Mobility and $2.5 million for our purchase of an investment in a privately-held company.</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For the nine months ended September 30, 2017, cash used in investing activities of $83.2 million </w:t>
      </w:r>
      <w:r>
        <w:rPr>
          <w:rFonts w:ascii="Arial" w:cs="Arial" w:eastAsia="Arial" w:hAnsi="Arial"/>
          <w:sz w:val="18"/>
          <w:szCs w:val="18"/>
          <w:color w:val="000000"/>
        </w:rPr>
        <w:t>was attributable to purchases of</w:t>
      </w:r>
      <w:r>
        <w:rPr>
          <w:rFonts w:ascii="Arial" w:cs="Arial" w:eastAsia="Arial" w:hAnsi="Arial"/>
          <w:sz w:val="18"/>
          <w:szCs w:val="18"/>
          <w:color w:val="231F20"/>
        </w:rPr>
        <w:t xml:space="preserve"> </w:t>
      </w:r>
      <w:r>
        <w:rPr>
          <w:rFonts w:ascii="Arial" w:cs="Arial" w:eastAsia="Arial" w:hAnsi="Arial"/>
          <w:sz w:val="18"/>
          <w:szCs w:val="18"/>
          <w:color w:val="000000"/>
        </w:rPr>
        <w:t>investments, net of sales and maturities of $50.8 million, $26.6 million of cash used for capital expenditures, including computer hardware and software for our data centers to support our growth, and $5.8 million used in the purchase of Nevis.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2018</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$38.9 million</w:t>
      </w:r>
      <w:r>
        <w:rPr>
          <w:rFonts w:ascii="Arial" w:cs="Arial" w:eastAsia="Arial" w:hAnsi="Arial"/>
          <w:sz w:val="18"/>
          <w:szCs w:val="18"/>
          <w:color w:val="231F20"/>
        </w:rPr>
        <w:t xml:space="preserve"> was attributable to share repurchases of $46.5 million</w:t>
      </w:r>
      <w:r>
        <w:rPr>
          <w:rFonts w:ascii="Arial" w:cs="Arial" w:eastAsia="Arial" w:hAnsi="Arial"/>
          <w:sz w:val="18"/>
          <w:szCs w:val="18"/>
          <w:color w:val="000000"/>
        </w:rPr>
        <w:t>, the payment of employee payroll taxes related to the net share settlement of equity awards of</w:t>
      </w:r>
      <w:r>
        <w:rPr>
          <w:rFonts w:ascii="Arial" w:cs="Arial" w:eastAsia="Arial" w:hAnsi="Arial"/>
          <w:sz w:val="18"/>
          <w:szCs w:val="18"/>
          <w:color w:val="231F20"/>
        </w:rPr>
        <w:t xml:space="preserve"> $12.0 million, and principal payments under capital lease obligations of $1.2 million. These decreases were offset by the proceeds from the exercise of stock options of $20.9 million.</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For the nine months ended September 30, 2017, cash provided by financing activities of $ 5.2 million was attributable to the proceeds from the exercise of stock options of $22.8 million, partially offset by payments for taxes related to employee net share settlement of equity awards of $17.6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office equipment and capital leases. The following table summarizes our contractual cash obligations, including future interest payments, at </w:t>
      </w:r>
      <w:r>
        <w:rPr>
          <w:rFonts w:ascii="Arial" w:cs="Arial" w:eastAsia="Arial" w:hAnsi="Arial"/>
          <w:sz w:val="18"/>
          <w:szCs w:val="18"/>
          <w:color w:val="000000"/>
        </w:rPr>
        <w:t>September 30, 2018</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Payment Due by Period</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2018 (remaining</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 and</w:t>
            </w:r>
          </w:p>
        </w:tc>
      </w:tr>
      <w:tr>
        <w:trPr>
          <w:trHeight w:val="180"/>
        </w:trPr>
        <w:tc>
          <w:tcPr>
            <w:tcW w:w="33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5"/>
                <w:szCs w:val="15"/>
                <w:color w:val="auto"/>
              </w:rPr>
            </w:pPr>
          </w:p>
        </w:tc>
        <w:tc>
          <w:tcPr>
            <w:tcW w:w="1280" w:type="dxa"/>
            <w:vAlign w:val="bottom"/>
            <w:gridSpan w:val="2"/>
          </w:tcPr>
          <w:p>
            <w:pPr>
              <w:ind w:left="220"/>
              <w:spacing w:after="0" w:line="181"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5"/>
                <w:szCs w:val="15"/>
                <w:color w:val="auto"/>
              </w:rPr>
            </w:pPr>
          </w:p>
        </w:tc>
        <w:tc>
          <w:tcPr>
            <w:tcW w:w="164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rPr>
              <w:t>three months)</w:t>
            </w:r>
          </w:p>
        </w:tc>
        <w:tc>
          <w:tcPr>
            <w:tcW w:w="240" w:type="dxa"/>
            <w:vAlign w:val="bottom"/>
          </w:tcPr>
          <w:p>
            <w:pPr>
              <w:spacing w:after="0"/>
              <w:rPr>
                <w:sz w:val="15"/>
                <w:szCs w:val="15"/>
                <w:color w:val="auto"/>
              </w:rPr>
            </w:pPr>
          </w:p>
        </w:tc>
        <w:tc>
          <w:tcPr>
            <w:tcW w:w="124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2019-2020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2021-2022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7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0"/>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46,787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23,609</w:t>
            </w:r>
          </w:p>
        </w:tc>
      </w:tr>
      <w:tr>
        <w:trPr>
          <w:trHeight w:val="264"/>
        </w:trPr>
        <w:tc>
          <w:tcPr>
            <w:tcW w:w="33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Capital lease obligations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23,609</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we entered into a lease agreement (included in the table above) for our new headquarters office facility. The lease payments commenced on May 1, 2018 and the lease has a ten-year term through April 2028. The total commitment of $38.6 million is payable monthly with escalating rental payments throughout the lease term. In connection with this lease, we provided the landlord with a $1.2 million standby letter of credit </w:t>
      </w:r>
      <w:r>
        <w:rPr>
          <w:rFonts w:ascii="Arial" w:cs="Arial" w:eastAsia="Arial" w:hAnsi="Arial"/>
          <w:sz w:val="18"/>
          <w:szCs w:val="18"/>
          <w:color w:val="000000"/>
        </w:rPr>
        <w:t>to secure our obligations through the end of the lease term, which was classified as restricted cash in the accompanying</w:t>
      </w:r>
      <w:r>
        <w:rPr>
          <w:rFonts w:ascii="Arial" w:cs="Arial" w:eastAsia="Arial" w:hAnsi="Arial"/>
          <w:sz w:val="18"/>
          <w:szCs w:val="18"/>
          <w:color w:val="231F20"/>
        </w:rPr>
        <w:t xml:space="preserve"> </w:t>
      </w:r>
      <w:r>
        <w:rPr>
          <w:rFonts w:ascii="Arial" w:cs="Arial" w:eastAsia="Arial" w:hAnsi="Arial"/>
          <w:sz w:val="18"/>
          <w:szCs w:val="18"/>
          <w:color w:val="000000"/>
        </w:rPr>
        <w:t>condensed consolidated balance sheets.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nine months ended September 30, 2018</w:t>
      </w:r>
      <w:r>
        <w:rPr>
          <w:rFonts w:ascii="Arial" w:cs="Arial" w:eastAsia="Arial" w:hAnsi="Arial"/>
          <w:sz w:val="18"/>
          <w:szCs w:val="18"/>
          <w:color w:val="231F20"/>
        </w:rPr>
        <w:t>, we made regular payments on our operating lease obligations of $3.9 million.</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Capital lease obligations represent financing on data center storage equipment. During the </w:t>
      </w:r>
      <w:r>
        <w:rPr>
          <w:rFonts w:ascii="Arial" w:cs="Arial" w:eastAsia="Arial" w:hAnsi="Arial"/>
          <w:sz w:val="18"/>
          <w:szCs w:val="18"/>
          <w:color w:val="000000"/>
        </w:rPr>
        <w:t>nine months ended September 30, 2018</w:t>
      </w:r>
      <w:r>
        <w:rPr>
          <w:rFonts w:ascii="Arial" w:cs="Arial" w:eastAsia="Arial" w:hAnsi="Arial"/>
          <w:sz w:val="18"/>
          <w:szCs w:val="18"/>
          <w:color w:val="231F20"/>
        </w:rPr>
        <w:t>, we made regular principal payments on our capital lease obligations of $1.2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2017, filed with the SEC on February 23, 2018,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Except for the changes below, there have been no material changes to our critical accounting policies and estimates as compared to the critical accounting policies and estimates as described in our Annual Report on Form 10-K for the fiscal year ended December 31, 2017, filed with the SEC on February 23, 2018.</w:t>
      </w:r>
    </w:p>
    <w:p>
      <w:pPr>
        <w:spacing w:after="0" w:line="2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adopted ASC 606, "Revenue from Contracts with Customers" with a date of initial application of January 1, 2018. We adopted ASC 606 using the modified retrospective method and recognized the cumulative effect as an adjustment to the opening balance of equity at January 1, 2018. Therefore, the comparative information has not been adjusted and continues to be reported under ASC 605. The significant impact of adopting ASC 606 was related to the deferral of sales commission costs for new business and when customers increase their renewal orders (“upsells”). We previously expensed sales commission as incurred. Under ASC 606, sales commissions cost related to new business and upsells are recorded as an asset. We amortize the capitalized commission cost as a selling expense on a straight-line basis over a period of five years. Five years represents the estimated life of the customer relationship taking into account factors such as peer estimates of technology lives and customer lives as well as our own historical data. Applying the practical expedient in ASC 340-40-25-4, we expense commissions related to contract renewals with a renewal contract term of one year or less. The current and noncurrent portions of deferred commissions are included in prepaid expenses and other current assets, and other noncurrent assets, respectively,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Pounds.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have $390.6 million in cash, cash equivalents and marketable securities at September 30, 2018. Cash and cash equivalents include cash held in banks, highly liquid money market funds, U.S. government agency securities, and commercial paper. Marketable securities consist of fixed-income U.S.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 We implemented internal controls to ensure we adequately evaluated our contracts and properly assessed the impact of the new accounting standard related to revenue recognition on our financial statements. There were no significant changes to our internal control over financial reporting due to the adoption of the new standard.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derived approximately 75% of our revenues from subscriptions to our VM solutions for the nine months ended September 30, 2018.</w:t>
      </w:r>
    </w:p>
    <w:p>
      <w:pPr>
        <w:spacing w:after="0" w:line="22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jc w:val="both"/>
        <w:ind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hanging="328"/>
        <w:spacing w:after="0" w:line="3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income tax credits that we recognize resulting from excess tax benefits related to stock-based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We compete with large and small public companies, such as Carbon Black, Inc., FireEye, Inc., Imperva, Inc., International Business Machines Corporation, Micro Focus International plc, Rapid7, Inc., Symantec Corporation,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and Tenable Holdings, Inc., as well as privately held security providers including Barracuda Networks Inc., BeyondTrust Software, Inc., </w:t>
      </w:r>
      <w:r>
        <w:rPr>
          <w:rFonts w:ascii="Arial" w:cs="Arial" w:eastAsia="Arial" w:hAnsi="Arial"/>
          <w:sz w:val="18"/>
          <w:szCs w:val="18"/>
          <w:color w:val="000000"/>
        </w:rPr>
        <w:t xml:space="preserve">CrowdStrike Inc., Tanium Inc., Tripwire, Inc. and Trustwave Holdings, Inc. </w:t>
      </w:r>
      <w:r>
        <w:rPr>
          <w:rFonts w:ascii="Arial" w:cs="Arial" w:eastAsia="Arial" w:hAnsi="Arial"/>
          <w:sz w:val="18"/>
          <w:szCs w:val="18"/>
          <w:color w:val="231F20"/>
        </w:rPr>
        <w:t>We also seek to replace IT security and compliance solutions that</w:t>
      </w:r>
      <w:r>
        <w:rPr>
          <w:rFonts w:ascii="Arial" w:cs="Arial" w:eastAsia="Arial" w:hAnsi="Arial"/>
          <w:sz w:val="18"/>
          <w:szCs w:val="18"/>
          <w:color w:val="000000"/>
        </w:rPr>
        <w:t xml:space="preserve"> </w:t>
      </w:r>
      <w:r>
        <w:rPr>
          <w:rFonts w:ascii="Arial" w:cs="Arial" w:eastAsia="Arial" w:hAnsi="Arial"/>
          <w:sz w:val="18"/>
          <w:szCs w:val="18"/>
          <w:color w:val="231F20"/>
        </w:rPr>
        <w:t>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loss of customers and sales, increased costs to remedy any incorrect information or problem, or claims by aggrieved parties. Similar issues may be generated by the misuse of our tools to identify and exploit vulnerabilities.</w:t>
      </w:r>
    </w:p>
    <w:p>
      <w:pPr>
        <w:spacing w:after="0" w:line="1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General Data Protection Regulation, or GDPR, to supersede the Data Protection Directive. This regulation, which took full effect on May 25, 2018, causes EU data protection requirements to be more stringent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and provides for greater penalties. Noncompliance with the GDPR can trigger fines of up to €20 million or 4% of global annual revenues, whichever is higher.</w:t>
      </w:r>
    </w:p>
    <w:p>
      <w:pPr>
        <w:spacing w:after="0" w:line="19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as of September 30, 2018, approximately 65%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Our headcount increased from 510 employees at the beginning of </w:t>
      </w:r>
      <w:r>
        <w:rPr>
          <w:rFonts w:ascii="Arial" w:cs="Arial" w:eastAsia="Arial" w:hAnsi="Arial"/>
          <w:sz w:val="18"/>
          <w:szCs w:val="18"/>
          <w:color w:val="000000"/>
        </w:rPr>
        <w:t xml:space="preserve">2016 </w:t>
      </w:r>
      <w:r>
        <w:rPr>
          <w:rFonts w:ascii="Arial" w:cs="Arial" w:eastAsia="Arial" w:hAnsi="Arial"/>
          <w:sz w:val="18"/>
          <w:szCs w:val="18"/>
          <w:color w:val="231F20"/>
        </w:rPr>
        <w:t>to 1,117 employees as of September 30, 2018. We rely on information technology systems to help manage critical functions such as</w:t>
      </w:r>
      <w:r>
        <w:rPr>
          <w:rFonts w:ascii="Arial" w:cs="Arial" w:eastAsia="Arial" w:hAnsi="Arial"/>
          <w:sz w:val="18"/>
          <w:szCs w:val="18"/>
          <w:color w:val="000000"/>
        </w:rPr>
        <w:t xml:space="preserve"> </w:t>
      </w:r>
      <w:r>
        <w:rPr>
          <w:rFonts w:ascii="Arial" w:cs="Arial" w:eastAsia="Arial" w:hAnsi="Arial"/>
          <w:sz w:val="18"/>
          <w:szCs w:val="18"/>
          <w:color w:val="231F20"/>
        </w:rPr>
        <w:t>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nine months ended September 30, 2018, we derived approximately </w:t>
      </w:r>
      <w:r>
        <w:rPr>
          <w:rFonts w:ascii="Arial" w:cs="Arial" w:eastAsia="Arial" w:hAnsi="Arial"/>
          <w:sz w:val="18"/>
          <w:szCs w:val="18"/>
          <w:color w:val="000000"/>
        </w:rPr>
        <w:t>46%</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nine months ended September 30, 2018, we incurred approximately 20% of our expenses outside of the United States in foreign currencies, primarily Euros, British Pounds, and Indian Rupee, principally with respect to salaries and related personnel expenses associated with our European and Indian operations. Additionally, for the nine months ended September 30, 2018, approximately 19%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21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2"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222222"/>
        </w:rPr>
        <w:t>September 30, 2018</w:t>
      </w:r>
      <w:r>
        <w:rPr>
          <w:rFonts w:ascii="Arial" w:cs="Arial" w:eastAsia="Arial" w:hAnsi="Arial"/>
          <w:sz w:val="18"/>
          <w:szCs w:val="18"/>
          <w:color w:val="231F20"/>
        </w:rPr>
        <w:t>, we had fourteen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accessing the Internet or on commerce conducted via the Internet. These laws or charges could limit the viability of Internet-based solutions such as ours and reduce the demand for our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 viewed negatively by customers, financial markets or</w:t>
      </w:r>
      <w:r>
        <w:rPr>
          <w:rFonts w:ascii="Arial" w:cs="Arial" w:eastAsia="Arial" w:hAnsi="Arial"/>
          <w:sz w:val="18"/>
          <w:szCs w:val="18"/>
          <w:color w:val="231F20"/>
        </w:rPr>
        <w:t xml:space="preserve"> </w:t>
      </w:r>
      <w:r>
        <w:rPr>
          <w:rFonts w:ascii="Arial" w:cs="Arial" w:eastAsia="Arial" w:hAnsi="Arial"/>
          <w:sz w:val="18"/>
          <w:szCs w:val="18"/>
          <w:color w:val="000000"/>
        </w:rPr>
        <w:t xml:space="preserve">investors. </w:t>
      </w:r>
      <w:r>
        <w:rPr>
          <w:rFonts w:ascii="Arial" w:cs="Arial" w:eastAsia="Arial" w:hAnsi="Arial"/>
          <w:sz w:val="18"/>
          <w:szCs w:val="18"/>
          <w:color w:val="231F20"/>
        </w:rPr>
        <w:t>The acquisition and integration process is complex, expensive and time-consuming, and may cause an interruption of, or loss of</w:t>
      </w:r>
      <w:r>
        <w:rPr>
          <w:rFonts w:ascii="Arial" w:cs="Arial" w:eastAsia="Arial" w:hAnsi="Arial"/>
          <w:sz w:val="18"/>
          <w:szCs w:val="18"/>
          <w:color w:val="000000"/>
        </w:rPr>
        <w:t xml:space="preserve"> </w:t>
      </w:r>
      <w:r>
        <w:rPr>
          <w:rFonts w:ascii="Arial" w:cs="Arial" w:eastAsia="Arial" w:hAnsi="Arial"/>
          <w:sz w:val="18"/>
          <w:szCs w:val="18"/>
          <w:color w:val="231F20"/>
        </w:rPr>
        <w:t xml:space="preserve">momentum in, product development and sales activities and operations of both companies </w:t>
      </w:r>
      <w:r>
        <w:rPr>
          <w:rFonts w:ascii="Arial" w:cs="Arial" w:eastAsia="Arial" w:hAnsi="Arial"/>
          <w:sz w:val="18"/>
          <w:szCs w:val="18"/>
          <w:color w:val="000000"/>
        </w:rPr>
        <w:t>and we may incur substantial cost and expense, as</w:t>
      </w:r>
      <w:r>
        <w:rPr>
          <w:rFonts w:ascii="Arial" w:cs="Arial" w:eastAsia="Arial" w:hAnsi="Arial"/>
          <w:sz w:val="18"/>
          <w:szCs w:val="18"/>
          <w:color w:val="231F20"/>
        </w:rPr>
        <w:t xml:space="preserve"> </w:t>
      </w:r>
      <w:r>
        <w:rPr>
          <w:rFonts w:ascii="Arial" w:cs="Arial" w:eastAsia="Arial" w:hAnsi="Arial"/>
          <w:sz w:val="18"/>
          <w:szCs w:val="18"/>
          <w:color w:val="000000"/>
        </w:rPr>
        <w:t>well as divert the attention of management. We may issue equity securities which could dilute current stockholders’ ownership, incur debt, assume contingent or other liabilities and expend cash in acquisitions, which could negatively impact our financial position, stockholder equity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and stock price. </w:t>
      </w:r>
      <w:r>
        <w:rPr>
          <w:rFonts w:ascii="Arial" w:cs="Arial" w:eastAsia="Arial" w:hAnsi="Arial"/>
          <w:sz w:val="18"/>
          <w:szCs w:val="18"/>
          <w:color w:val="231F20"/>
        </w:rPr>
        <w:t>We may not find suitable acquisition candidates, and acquisitions we complete may be unsuccessful. If we consummate a</w:t>
      </w:r>
      <w:r>
        <w:rPr>
          <w:rFonts w:ascii="Arial" w:cs="Arial" w:eastAsia="Arial" w:hAnsi="Arial"/>
          <w:sz w:val="18"/>
          <w:szCs w:val="18"/>
          <w:color w:val="auto"/>
        </w:rPr>
        <w:t xml:space="preserve"> </w:t>
      </w:r>
      <w:r>
        <w:rPr>
          <w:rFonts w:ascii="Arial" w:cs="Arial" w:eastAsia="Arial" w:hAnsi="Arial"/>
          <w:sz w:val="18"/>
          <w:szCs w:val="18"/>
          <w:color w:val="231F20"/>
        </w:rPr>
        <w:t>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or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300"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 Accordingly, we expect our commission expense to grow in future periods as a result of the adoption of ASC 606. Without the adoption of ASC 606, commission expenses would have been $0.5 million higher in our third quarter of 2018.</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$54.4 million as of December 31, 2017. As a result of the Tax Cuts and Jobs Act (the "2017 Tax Act”), which was enacted by the U.S. federal government on December 22, 2017, our federal tax rate decreased in 2018. Accordingly, our operating results have fluctuated and may not be comparable to historical periods and may continue to fluctuate in the future. Increases in our effective tax rate could harm our operating results.</w:t>
      </w:r>
    </w:p>
    <w:p>
      <w:pPr>
        <w:spacing w:after="0" w:line="20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Uncertainties in the interpretation and application of the 2017 Tax Act could materially affect our tax obligations and effective tax rate.</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The 2017 Tax Act significantly affected U.S. tax law by changing how the U.S. imposes income tax on multinational corporations. 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2017 Tax Act. In accordance with SAB 118, the effects of the 2017 Tax Act may be adjusted within a one-year measurement period from the enactment date of the 2017 Tax Act for items that were previously reported as provisional estimates, or where a provisional estimate could not be made. We will continue to assess forthcoming guidance and accounting interpretations on the effects of the 2017 Tax Act and expect to complete our analysis within the measurement period in accordance with the SEC guidance. Final resolution of provisional amounts relating to the effects of the 2017 Tax Act may impact our effective tax rate, and may have an adverse effect on our business, financial condition, results of operations, or cash flows.</w:t>
      </w:r>
    </w:p>
    <w:p>
      <w:pPr>
        <w:spacing w:after="0" w:line="1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20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U.S. GAAP. Our </w:t>
      </w:r>
      <w:r>
        <w:rPr>
          <w:rFonts w:ascii="Arial" w:cs="Arial" w:eastAsia="Arial" w:hAnsi="Arial"/>
          <w:sz w:val="18"/>
          <w:szCs w:val="18"/>
          <w:color w:val="231F20"/>
        </w:rPr>
        <w:t>current controls and any new controls that we develop</w:t>
      </w:r>
      <w:r>
        <w:rPr>
          <w:rFonts w:ascii="Arial" w:cs="Arial" w:eastAsia="Arial" w:hAnsi="Arial"/>
          <w:sz w:val="18"/>
          <w:szCs w:val="18"/>
          <w:color w:val="000000"/>
        </w:rPr>
        <w:t xml:space="preserve"> </w:t>
      </w:r>
      <w:r>
        <w:rPr>
          <w:rFonts w:ascii="Arial" w:cs="Arial" w:eastAsia="Arial" w:hAnsi="Arial"/>
          <w:sz w:val="18"/>
          <w:szCs w:val="18"/>
          <w:color w:val="231F20"/>
        </w:rPr>
        <w:t>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2017,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hanging="328"/>
        <w:spacing w:after="0" w:line="35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As of September 30, 2018, our executive officers, directors and holders of 10% or more of our outstanding common stock beneficially owned, in the aggregate, approximately 27%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2018, we had approximately 39.3 million shares of our common stock outstanding. Certain holders of shares of our common stock have rights, subject to some conditions, to require us to file registration statements covering their shares or to include these shares in registration statements that we may file for ourselves or other stockholders.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September 30, 2018, there were approximately 1.0 million restricted stock units and options to purchase approximately 3.5 million shares of our common stock outstanding. If such options are exercised and restricted stock units are released, these additional shares will become available for sale. As of September 30, 2018, we had an aggregate of 4.2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February 2018, we announced a $100.0 million stock repurchase program and in October 2018, we announced an additional $100.0 million stock repurchase program.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nine months ended September 30, 2018, we repurchased 567,642 shares of our common stock for an aggregate purchase price of approximately $46.5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October 25, 2018, the Company's Board of Directors authorized an additional $100.0 million two-year share repurchase program, which was announced on October 30, 2018. Our stock repurchases may be effected from time to time through open market purchases or pursuant to a Rule 10b5-1 plan. All share repurchases were made using cash resources. As of September 30, 2018, approximately $53.5 million remained available for share repurchases pursuant to our share repurchase program.</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third quarter of 2018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Plan or Program</w:t>
            </w: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1, 2018 - July 31, 2018</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80,643,620</w:t>
            </w: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August 1, 2018 - August 31, 2018</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310,815</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87.47</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310,815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53,458,021</w:t>
            </w: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September 1, 2018 - September 30, 2018</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53,458,021</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310,815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310,815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231F20"/>
        </w:rPr>
        <w:t>Item 6. Exhibits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31.3</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32.3^</w:t>
      </w:r>
    </w:p>
    <w:p>
      <w:pPr>
        <w:spacing w:after="0" w:line="200" w:lineRule="exact"/>
        <w:rPr>
          <w:sz w:val="20"/>
          <w:szCs w:val="20"/>
          <w:color w:val="auto"/>
        </w:rPr>
      </w:pPr>
    </w:p>
    <w:p>
      <w:pPr>
        <w:spacing w:after="0" w:line="255" w:lineRule="exact"/>
        <w:rPr>
          <w:sz w:val="20"/>
          <w:szCs w:val="20"/>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089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ind w:right="80"/>
        <w:spacing w:after="0" w:line="246"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Offer Letter, between Qualys, Inc. and Sheila Cheung, dated March 8, 2018 (incorporated herein by reference to Exhibit</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10.1 to the Registrant's Current Report on Form 8-K filed with the Commission on July 31, 2018).</w:t>
        </w:r>
      </w:hyperlink>
    </w:p>
    <w:p>
      <w:pPr>
        <w:spacing w:after="0" w:line="237"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0">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1">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80"/>
        <w:spacing w:after="0" w:line="246" w:lineRule="auto"/>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Certification of Chief Accounting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78"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37" w:lineRule="exact"/>
        <w:rPr>
          <w:sz w:val="20"/>
          <w:szCs w:val="20"/>
          <w:color w:val="auto"/>
        </w:rPr>
      </w:pPr>
    </w:p>
    <w:p>
      <w:pPr>
        <w:ind w:right="80"/>
        <w:spacing w:after="0" w:line="246" w:lineRule="auto"/>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Certification of Chief Accounting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5">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360" w:space="480"/>
            <w:col w:w="9580"/>
          </w:cols>
          <w:pgMar w:left="240" w:top="360" w:right="239" w:bottom="1440" w:gutter="0" w:footer="0" w:header="0"/>
        </w:sectPr>
      </w:pPr>
    </w:p>
    <w:p>
      <w:pPr>
        <w:spacing w:after="0" w:line="66" w:lineRule="exact"/>
        <w:rPr>
          <w:sz w:val="20"/>
          <w:szCs w:val="20"/>
          <w:color w:val="auto"/>
        </w:rPr>
      </w:pPr>
    </w:p>
    <w:p>
      <w:pPr>
        <w:jc w:val="both"/>
        <w:ind w:left="500" w:hanging="6"/>
        <w:spacing w:after="0" w:line="254" w:lineRule="auto"/>
        <w:tabs>
          <w:tab w:leader="none" w:pos="837"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Exhibits 32.1, 32.2 and 32.3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0" w:right="2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November 2, 2018.</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officer)</w:t>
      </w:r>
    </w:p>
    <w:p>
      <w:pPr>
        <w:spacing w:after="0" w:line="213"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SHEILA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Sheila Cheung</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Accounting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31.3</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ACCOUNTING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Sheila Cheung, certify that:</w:t>
      </w:r>
    </w:p>
    <w:p>
      <w:pPr>
        <w:spacing w:after="0" w:line="33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Sheila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Sheila Cheung</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2018,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3" w:name="page74"/>
    <w:bookmarkEnd w:id="73"/>
    <w:p>
      <w:pPr>
        <w:ind w:left="1042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2018,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32.3</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ACCOUNTING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2018, as filed with the Securities and Exchange Commission on the date hereof (the “Report”), I, Sheila Cheung, Chief Accounting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Sheila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Sheila Cheung</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606"/>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01"/>
    </w:lvl>
  </w:abstractNum>
  <w:abstractNum w:abstractNumId="18">
    <w:nsid w:val="8EDBDAB"/>
    <w:multiLevelType w:val="hybridMultilevel"/>
    <w:lvl w:ilvl="0">
      <w:lvlJc w:val="left"/>
      <w:lvlText w:val="%1"/>
      <w:numFmt w:val="decimal"/>
      <w:start w:val="101"/>
    </w:lvl>
  </w:abstractNum>
  <w:abstractNum w:abstractNumId="19">
    <w:nsid w:val="79838CB2"/>
    <w:multiLevelType w:val="hybridMultilevel"/>
    <w:lvl w:ilvl="0">
      <w:lvlJc w:val="left"/>
      <w:lvlText w:val="%1"/>
      <w:numFmt w:val="decimal"/>
      <w:start w:val="101"/>
    </w:lvl>
  </w:abstractNum>
  <w:abstractNum w:abstractNumId="20">
    <w:nsid w:val="4353D0CD"/>
    <w:multiLevelType w:val="hybridMultilevel"/>
    <w:lvl w:ilvl="0">
      <w:lvlJc w:val="left"/>
      <w:lvlText w:val="%1"/>
      <w:numFmt w:val="decimal"/>
      <w:start w:val="101"/>
    </w:lvl>
  </w:abstractNum>
  <w:abstractNum w:abstractNumId="21">
    <w:nsid w:val="B03E0C6"/>
    <w:multiLevelType w:val="hybridMultilevel"/>
    <w:lvl w:ilvl="0">
      <w:lvlJc w:val="left"/>
      <w:lvlText w:val="%1"/>
      <w:numFmt w:val="decimal"/>
      <w:start w:val="101"/>
    </w:lvl>
  </w:abstractNum>
  <w:abstractNum w:abstractNumId="22">
    <w:nsid w:val="189A769B"/>
    <w:multiLevelType w:val="hybridMultilevel"/>
    <w:lvl w:ilvl="0">
      <w:lvlJc w:val="left"/>
      <w:lvlText w:val="%1"/>
      <w:numFmt w:val="decimal"/>
      <w:start w:val="10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decimal"/>
      <w:start w:val="2"/>
    </w:lvl>
  </w:abstractNum>
  <w:abstractNum w:abstractNumId="28">
    <w:nsid w:val="3A95F874"/>
    <w:multiLevelType w:val="hybridMultilevel"/>
    <w:lvl w:ilvl="0">
      <w:lvlJc w:val="left"/>
      <w:lvlText w:val="(%1)"/>
      <w:numFmt w:val="decimal"/>
      <w:start w:val="1"/>
    </w:lvl>
    <w:lvl w:ilvl="1">
      <w:lvlJc w:val="left"/>
      <w:lvlText w:val="(%2)"/>
      <w:numFmt w:val="decimal"/>
      <w:start w:val="2"/>
    </w:lvl>
  </w:abstractNum>
  <w:abstractNum w:abstractNumId="29">
    <w:nsid w:val="813864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7" Type="http://schemas.openxmlformats.org/officeDocument/2006/relationships/hyperlink" Target="http://www.sec.gov/Archives/edgar/data/1107843/000119312518233288/d5897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2019-12-28T18:26:41Z</dcterms:created>
  <dcterms:modified xsi:type="dcterms:W3CDTF">2019-12-28T18:26:41Z</dcterms:modified>
</cp:coreProperties>
</file>