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FORM 10-K</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71" w:lineRule="exact"/>
        <w:rPr>
          <w:sz w:val="24"/>
          <w:szCs w:val="24"/>
          <w:color w:val="auto"/>
        </w:rPr>
      </w:pPr>
    </w:p>
    <w:p>
      <w:pPr>
        <w:ind w:left="700" w:hanging="665"/>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5"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6"/>
          <w:szCs w:val="16"/>
          <w:b w:val="1"/>
          <w:bCs w:val="1"/>
          <w:color w:val="auto"/>
        </w:rPr>
        <w:t>For the Annual Period Ended December 31, 2016</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760" w:hanging="72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249" w:right="239" w:bottom="60" w:gutter="0" w:footer="0" w:header="0"/>
        </w:sectPr>
      </w:pPr>
    </w:p>
    <w:p>
      <w:pPr>
        <w:spacing w:after="0" w:line="81"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560" w:space="440"/>
            <w:col w:w="4420"/>
          </w:cols>
          <w:pgMar w:left="240" w:top="249" w:right="239" w:bottom="6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001-35662</w:t>
      </w:r>
    </w:p>
    <w:p>
      <w:pPr>
        <w:spacing w:after="0" w:line="5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6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QUALYS,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60" w:gutter="0" w:footer="0" w:header="0"/>
          <w:type w:val="continuous"/>
        </w:sectPr>
      </w:pPr>
    </w:p>
    <w:p>
      <w:pPr>
        <w:spacing w:after="0" w:line="213" w:lineRule="exact"/>
        <w:rPr>
          <w:sz w:val="24"/>
          <w:szCs w:val="24"/>
          <w:color w:val="auto"/>
        </w:rPr>
      </w:pPr>
    </w:p>
    <w:p>
      <w:pPr>
        <w:ind w:left="20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77-0534145</w:t>
      </w:r>
    </w:p>
    <w:p>
      <w:pPr>
        <w:spacing w:after="0" w:line="109" w:lineRule="exact"/>
        <w:rPr>
          <w:sz w:val="24"/>
          <w:szCs w:val="24"/>
          <w:color w:val="auto"/>
        </w:rPr>
      </w:pPr>
    </w:p>
    <w:p>
      <w:pPr>
        <w:sectPr>
          <w:pgSz w:w="11900" w:h="16838" w:orient="portrait"/>
          <w:cols w:equalWidth="0" w:num="2">
            <w:col w:w="7860" w:space="720"/>
            <w:col w:w="2840"/>
          </w:cols>
          <w:pgMar w:left="240" w:top="249" w:right="239" w:bottom="60"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w:t>
      </w:r>
    </w:p>
    <w:p>
      <w:pPr>
        <w:spacing w:after="0" w:line="109" w:lineRule="exact"/>
        <w:rPr>
          <w:sz w:val="24"/>
          <w:szCs w:val="24"/>
          <w:color w:val="auto"/>
        </w:rPr>
      </w:pPr>
    </w:p>
    <w:p>
      <w:pPr>
        <w:sectPr>
          <w:pgSz w:w="11900" w:h="16838" w:orient="portrait"/>
          <w:cols w:equalWidth="0" w:num="2">
            <w:col w:w="7700" w:space="720"/>
            <w:col w:w="3000"/>
          </w:cols>
          <w:pgMar w:left="240" w:top="249" w:right="239" w:bottom="60" w:gutter="0" w:footer="0" w:header="0"/>
          <w:type w:val="continuous"/>
        </w:sectPr>
      </w:pPr>
    </w:p>
    <w:p>
      <w:pPr>
        <w:ind w:left="13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Identification Number)</w:t>
      </w:r>
    </w:p>
    <w:p>
      <w:pPr>
        <w:spacing w:after="0" w:line="82" w:lineRule="exact"/>
        <w:rPr>
          <w:sz w:val="24"/>
          <w:szCs w:val="24"/>
          <w:color w:val="auto"/>
        </w:rPr>
      </w:pPr>
    </w:p>
    <w:p>
      <w:pPr>
        <w:sectPr>
          <w:pgSz w:w="11900" w:h="16838" w:orient="portrait"/>
          <w:cols w:equalWidth="0" w:num="2">
            <w:col w:w="7480" w:space="720"/>
            <w:col w:w="3220"/>
          </w:cols>
          <w:pgMar w:left="240" w:top="249" w:right="239" w:bottom="6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1600 Bridge Parkway, Redwood City, California 94065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801-6100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ectPr>
          <w:pgSz w:w="11900" w:h="16838" w:orient="portrait"/>
          <w:cols w:equalWidth="0" w:num="1">
            <w:col w:w="11420"/>
          </w:cols>
          <w:pgMar w:left="240" w:top="249" w:right="239" w:bottom="60" w:gutter="0" w:footer="0" w:header="0"/>
          <w:type w:val="continuous"/>
        </w:sect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 of each class</w:t>
            </w:r>
          </w:p>
        </w:tc>
        <w:tc>
          <w:tcPr>
            <w:tcW w:w="1360" w:type="dxa"/>
            <w:vAlign w:val="bottom"/>
          </w:tcPr>
          <w:p>
            <w:pPr>
              <w:spacing w:after="0"/>
              <w:rPr>
                <w:sz w:val="17"/>
                <w:szCs w:val="17"/>
                <w:color w:val="auto"/>
              </w:rPr>
            </w:pPr>
          </w:p>
        </w:tc>
        <w:tc>
          <w:tcPr>
            <w:tcW w:w="50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Common stock, $0.001 par value per share</w:t>
            </w:r>
          </w:p>
        </w:tc>
        <w:tc>
          <w:tcPr>
            <w:tcW w:w="5020" w:type="dxa"/>
            <w:vAlign w:val="bottom"/>
          </w:tcPr>
          <w:p>
            <w:pPr>
              <w:ind w:left="40"/>
              <w:spacing w:after="0"/>
              <w:rPr>
                <w:sz w:val="20"/>
                <w:szCs w:val="20"/>
                <w:color w:val="auto"/>
              </w:rPr>
            </w:pPr>
            <w:r>
              <w:rPr>
                <w:rFonts w:ascii="Arial" w:cs="Arial" w:eastAsia="Arial" w:hAnsi="Arial"/>
                <w:sz w:val="18"/>
                <w:szCs w:val="18"/>
                <w:color w:val="auto"/>
              </w:rPr>
              <w:t>NASDAQ Stock Market</w:t>
            </w:r>
          </w:p>
        </w:tc>
      </w:tr>
    </w:tbl>
    <w:p>
      <w:pPr>
        <w:spacing w:after="0" w:line="270"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 xml:space="preserve">Securities registered pursuant to section 12(g) of the Act: </w:t>
      </w:r>
      <w:r>
        <w:rPr>
          <w:rFonts w:ascii="Arial" w:cs="Arial" w:eastAsia="Arial" w:hAnsi="Arial"/>
          <w:sz w:val="14"/>
          <w:szCs w:val="14"/>
          <w:color w:val="231F20"/>
        </w:rPr>
        <w:t>None</w:t>
      </w:r>
    </w:p>
    <w:p>
      <w:pPr>
        <w:spacing w:after="0" w:line="58" w:lineRule="exact"/>
        <w:rPr>
          <w:sz w:val="24"/>
          <w:szCs w:val="24"/>
          <w:color w:val="auto"/>
        </w:rPr>
      </w:pPr>
    </w:p>
    <w:p>
      <w:pPr>
        <w:ind w:right="2140"/>
        <w:spacing w:after="0" w:line="46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7"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47" w:lineRule="exact"/>
        <w:rPr>
          <w:sz w:val="24"/>
          <w:szCs w:val="24"/>
          <w:color w:val="auto"/>
        </w:rPr>
      </w:pPr>
    </w:p>
    <w:p>
      <w:pPr>
        <w:jc w:val="both"/>
        <w:ind w:right="22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61" w:lineRule="exact"/>
        <w:rPr>
          <w:sz w:val="24"/>
          <w:szCs w:val="24"/>
          <w:color w:val="auto"/>
        </w:rPr>
      </w:pPr>
    </w:p>
    <w:p>
      <w:pPr>
        <w:ind w:right="160"/>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49" w:right="239" w:bottom="60" w:gutter="0" w:footer="0" w:header="0"/>
          <w:type w:val="continuous"/>
        </w:sectPr>
      </w:pPr>
    </w:p>
    <w:p>
      <w:pPr>
        <w:spacing w:after="0" w:line="155"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84" w:lineRule="exact"/>
        <w:rPr>
          <w:sz w:val="24"/>
          <w:szCs w:val="24"/>
          <w:color w:val="auto"/>
        </w:rPr>
      </w:pPr>
    </w:p>
    <w:p>
      <w:pPr>
        <w:sectPr>
          <w:pgSz w:w="11900" w:h="16838" w:orient="portrait"/>
          <w:cols w:equalWidth="0" w:num="8">
            <w:col w:w="1660" w:space="720"/>
            <w:col w:w="80" w:space="560"/>
            <w:col w:w="1260" w:space="720"/>
            <w:col w:w="80" w:space="580"/>
            <w:col w:w="1480" w:space="700"/>
            <w:col w:w="80" w:space="560"/>
            <w:col w:w="1940" w:space="700"/>
            <w:col w:w="300"/>
          </w:cols>
          <w:pgMar w:left="240" w:top="249" w:right="239" w:bottom="60" w:gutter="0" w:footer="0" w:header="0"/>
          <w:type w:val="continuous"/>
        </w:sectPr>
      </w:pPr>
    </w:p>
    <w:p>
      <w:pPr>
        <w:jc w:val="center"/>
        <w:ind w:left="23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23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420"/>
          </w:cols>
          <w:pgMar w:left="240" w:top="249" w:right="239" w:bottom="60" w:gutter="0" w:footer="0" w:header="0"/>
          <w:type w:val="continuous"/>
        </w:sectPr>
      </w:pP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8" w:lineRule="exact"/>
        <w:rPr>
          <w:sz w:val="24"/>
          <w:szCs w:val="24"/>
          <w:color w:val="auto"/>
        </w:rPr>
      </w:pPr>
    </w:p>
    <w:p>
      <w:pPr>
        <w:sectPr>
          <w:pgSz w:w="11900" w:h="16838" w:orient="portrait"/>
          <w:cols w:equalWidth="0" w:num="5">
            <w:col w:w="8100" w:space="180"/>
            <w:col w:w="260" w:space="80"/>
            <w:col w:w="100" w:space="160"/>
            <w:col w:w="200" w:space="80"/>
            <w:col w:w="2260"/>
          </w:cols>
          <w:pgMar w:left="240" w:top="249" w:right="239" w:bottom="60" w:gutter="0" w:footer="0" w:header="0"/>
          <w:type w:val="continuous"/>
        </w:sectPr>
      </w:pPr>
    </w:p>
    <w:p>
      <w:pPr>
        <w:ind w:right="100"/>
        <w:spacing w:after="0" w:line="251" w:lineRule="auto"/>
        <w:rPr>
          <w:sz w:val="20"/>
          <w:szCs w:val="20"/>
          <w:color w:val="auto"/>
        </w:rPr>
      </w:pPr>
      <w:r>
        <w:rPr>
          <w:rFonts w:ascii="Arial" w:cs="Arial" w:eastAsia="Arial" w:hAnsi="Arial"/>
          <w:sz w:val="16"/>
          <w:szCs w:val="16"/>
          <w:color w:val="auto"/>
        </w:rPr>
        <w:t>As of June 30, 2016, the aggregate market value of voting shares of common stock held by non-affiliates of the registrant was $874 million based on the last reported sale price of the registrant's common stock on June 30, 2016.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January 31, 2017 was 36,359,340 shares.</w:t>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Portions of the registrant's Proxy Statement for its 2017 Annual Meeting of Stockholders are incorporated by reference in Part III of this Annual Report on Form 10-K where indicated. Such proxy statement will be filed with the Securities and Exchange Commission within 120 days of the registrant's fiscal year ended December 31, 2016.</w:t>
      </w:r>
    </w:p>
    <w:p>
      <w:pPr>
        <w:sectPr>
          <w:pgSz w:w="11900" w:h="16838" w:orient="portrait"/>
          <w:cols w:equalWidth="0" w:num="1">
            <w:col w:w="11420"/>
          </w:cols>
          <w:pgMar w:left="240" w:top="249" w:right="239" w:bottom="60" w:gutter="0" w:footer="0" w:header="0"/>
          <w:type w:val="continuous"/>
        </w:sectPr>
      </w:pPr>
    </w:p>
    <w:bookmarkStart w:id="1" w:name="page2"/>
    <w:bookmarkEnd w:id="1"/>
    <w:p>
      <w:pPr>
        <w:spacing w:after="0" w:line="253"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0" w:type="dxa"/>
            <w:vAlign w:val="bottom"/>
          </w:tcPr>
          <w:p>
            <w:pPr>
              <w:jc w:val="center"/>
              <w:spacing w:after="0"/>
              <w:rPr>
                <w:sz w:val="20"/>
                <w:szCs w:val="20"/>
                <w:color w:val="auto"/>
              </w:rPr>
            </w:pPr>
            <w:r>
              <w:rPr>
                <w:rFonts w:ascii="Arial" w:cs="Arial" w:eastAsia="Arial" w:hAnsi="Arial"/>
                <w:sz w:val="18"/>
                <w:szCs w:val="18"/>
                <w:b w:val="1"/>
                <w:bCs w:val="1"/>
                <w:color w:val="231F20"/>
              </w:rPr>
              <w:t>Qualys, Inc.</w:t>
            </w:r>
          </w:p>
        </w:tc>
        <w:tc>
          <w:tcPr>
            <w:tcW w:w="800" w:type="dxa"/>
            <w:vAlign w:val="bottom"/>
          </w:tcPr>
          <w:p>
            <w:pPr>
              <w:spacing w:after="0"/>
              <w:rPr>
                <w:sz w:val="18"/>
                <w:szCs w:val="18"/>
                <w:color w:val="auto"/>
              </w:rPr>
            </w:pPr>
          </w:p>
        </w:tc>
      </w:tr>
      <w:tr>
        <w:trPr>
          <w:trHeight w:val="239"/>
        </w:trPr>
        <w:tc>
          <w:tcPr>
            <w:tcW w:w="780" w:type="dxa"/>
            <w:vAlign w:val="bottom"/>
          </w:tcPr>
          <w:p>
            <w:pPr>
              <w:spacing w:after="0"/>
              <w:rPr>
                <w:sz w:val="20"/>
                <w:szCs w:val="20"/>
                <w:color w:val="auto"/>
              </w:rPr>
            </w:pPr>
          </w:p>
        </w:tc>
        <w:tc>
          <w:tcPr>
            <w:tcW w:w="9800" w:type="dxa"/>
            <w:vAlign w:val="bottom"/>
          </w:tcPr>
          <w:p>
            <w:pPr>
              <w:jc w:val="center"/>
              <w:spacing w:after="0"/>
              <w:rPr>
                <w:sz w:val="20"/>
                <w:szCs w:val="20"/>
                <w:color w:val="auto"/>
              </w:rPr>
            </w:pPr>
            <w:r>
              <w:rPr>
                <w:rFonts w:ascii="Arial" w:cs="Arial" w:eastAsia="Arial" w:hAnsi="Arial"/>
                <w:sz w:val="18"/>
                <w:szCs w:val="18"/>
                <w:b w:val="1"/>
                <w:bCs w:val="1"/>
                <w:color w:val="231F20"/>
                <w:w w:val="98"/>
              </w:rPr>
              <w:t>TABLE OF CONTENTS</w:t>
            </w:r>
          </w:p>
        </w:tc>
        <w:tc>
          <w:tcPr>
            <w:tcW w:w="800" w:type="dxa"/>
            <w:vAlign w:val="bottom"/>
          </w:tcPr>
          <w:p>
            <w:pPr>
              <w:spacing w:after="0"/>
              <w:rPr>
                <w:sz w:val="20"/>
                <w:szCs w:val="20"/>
                <w:color w:val="auto"/>
              </w:rPr>
            </w:pPr>
          </w:p>
        </w:tc>
      </w:tr>
      <w:tr>
        <w:trPr>
          <w:trHeight w:val="372"/>
        </w:trPr>
        <w:tc>
          <w:tcPr>
            <w:tcW w:w="7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Page</w:t>
            </w:r>
          </w:p>
        </w:tc>
      </w:tr>
      <w:tr>
        <w:trPr>
          <w:trHeight w:val="210"/>
        </w:trPr>
        <w:tc>
          <w:tcPr>
            <w:tcW w:w="780" w:type="dxa"/>
            <w:vAlign w:val="bottom"/>
          </w:tcPr>
          <w:p>
            <w:pPr>
              <w:spacing w:after="0"/>
              <w:rPr>
                <w:sz w:val="18"/>
                <w:szCs w:val="18"/>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9"/>
              </w:rPr>
              <w:t>PART I</w:t>
            </w:r>
          </w:p>
        </w:tc>
        <w:tc>
          <w:tcPr>
            <w:tcW w:w="800" w:type="dxa"/>
            <w:vAlign w:val="bottom"/>
          </w:tcPr>
          <w:p>
            <w:pPr>
              <w:spacing w:after="0"/>
              <w:rPr>
                <w:sz w:val="18"/>
                <w:szCs w:val="18"/>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tcPr>
          <w:p>
            <w:pPr>
              <w:ind w:left="20"/>
              <w:spacing w:after="0"/>
              <w:rPr>
                <w:rFonts w:ascii="Arial" w:cs="Arial" w:eastAsia="Arial" w:hAnsi="Arial"/>
                <w:sz w:val="16"/>
                <w:szCs w:val="16"/>
                <w:color w:val="0000EE"/>
              </w:rPr>
            </w:pPr>
            <w:hyperlink w:anchor="page5">
              <w:r>
                <w:rPr>
                  <w:rFonts w:ascii="Arial" w:cs="Arial" w:eastAsia="Arial" w:hAnsi="Arial"/>
                  <w:sz w:val="16"/>
                  <w:szCs w:val="16"/>
                  <w:color w:val="0000EE"/>
                </w:rPr>
                <w:t>Business</w:t>
              </w:r>
            </w:hyperlink>
          </w:p>
        </w:tc>
        <w:tc>
          <w:tcPr>
            <w:tcW w:w="800" w:type="dxa"/>
            <w:vAlign w:val="bottom"/>
          </w:tcPr>
          <w:p>
            <w:pPr>
              <w:jc w:val="cente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1A.</w:t>
            </w:r>
          </w:p>
        </w:tc>
        <w:tc>
          <w:tcPr>
            <w:tcW w:w="9800" w:type="dxa"/>
            <w:vAlign w:val="bottom"/>
          </w:tcPr>
          <w:p>
            <w:pPr>
              <w:ind w:left="20"/>
              <w:spacing w:after="0"/>
              <w:rPr>
                <w:rFonts w:ascii="Arial" w:cs="Arial" w:eastAsia="Arial" w:hAnsi="Arial"/>
                <w:sz w:val="16"/>
                <w:szCs w:val="16"/>
                <w:color w:val="0000EE"/>
              </w:rPr>
            </w:pPr>
            <w:hyperlink w:anchor="page14">
              <w:r>
                <w:rPr>
                  <w:rFonts w:ascii="Arial" w:cs="Arial" w:eastAsia="Arial" w:hAnsi="Arial"/>
                  <w:sz w:val="16"/>
                  <w:szCs w:val="16"/>
                  <w:color w:val="0000EE"/>
                </w:rPr>
                <w:t>Risk Factors</w:t>
              </w:r>
            </w:hyperlink>
          </w:p>
        </w:tc>
        <w:tc>
          <w:tcPr>
            <w:tcW w:w="800" w:type="dxa"/>
            <w:vAlign w:val="bottom"/>
          </w:tcPr>
          <w:p>
            <w:pPr>
              <w:jc w:val="center"/>
              <w:spacing w:after="0"/>
              <w:rPr>
                <w:rFonts w:ascii="Arial" w:cs="Arial" w:eastAsia="Arial" w:hAnsi="Arial"/>
                <w:sz w:val="16"/>
                <w:szCs w:val="16"/>
                <w:color w:val="0000EE"/>
              </w:rPr>
            </w:pPr>
            <w:hyperlink w:anchor="page14">
              <w:r>
                <w:rPr>
                  <w:rFonts w:ascii="Arial" w:cs="Arial" w:eastAsia="Arial" w:hAnsi="Arial"/>
                  <w:sz w:val="16"/>
                  <w:szCs w:val="16"/>
                  <w:color w:val="0000EE"/>
                </w:rPr>
                <w:t>13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1B.</w:t>
            </w:r>
          </w:p>
        </w:tc>
        <w:tc>
          <w:tcPr>
            <w:tcW w:w="9800" w:type="dxa"/>
            <w:vAlign w:val="bottom"/>
          </w:tcPr>
          <w:p>
            <w:pPr>
              <w:ind w:left="20"/>
              <w:spacing w:after="0"/>
              <w:rPr>
                <w:rFonts w:ascii="Arial" w:cs="Arial" w:eastAsia="Arial" w:hAnsi="Arial"/>
                <w:sz w:val="16"/>
                <w:szCs w:val="16"/>
                <w:color w:val="0000EE"/>
              </w:rPr>
            </w:pPr>
            <w:hyperlink w:anchor="page34">
              <w:r>
                <w:rPr>
                  <w:rFonts w:ascii="Arial" w:cs="Arial" w:eastAsia="Arial" w:hAnsi="Arial"/>
                  <w:sz w:val="16"/>
                  <w:szCs w:val="16"/>
                  <w:color w:val="0000EE"/>
                </w:rPr>
                <w:t>Unresolved Staff Comments</w:t>
              </w:r>
            </w:hyperlink>
          </w:p>
        </w:tc>
        <w:tc>
          <w:tcPr>
            <w:tcW w:w="800" w:type="dxa"/>
            <w:vAlign w:val="bottom"/>
          </w:tcPr>
          <w:p>
            <w:pPr>
              <w:jc w:val="center"/>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tcPr>
          <w:p>
            <w:pPr>
              <w:ind w:left="20"/>
              <w:spacing w:after="0"/>
              <w:rPr>
                <w:rFonts w:ascii="Arial" w:cs="Arial" w:eastAsia="Arial" w:hAnsi="Arial"/>
                <w:sz w:val="16"/>
                <w:szCs w:val="16"/>
                <w:color w:val="0000EE"/>
              </w:rPr>
            </w:pPr>
            <w:hyperlink w:anchor="page35">
              <w:r>
                <w:rPr>
                  <w:rFonts w:ascii="Arial" w:cs="Arial" w:eastAsia="Arial" w:hAnsi="Arial"/>
                  <w:sz w:val="16"/>
                  <w:szCs w:val="16"/>
                  <w:color w:val="0000EE"/>
                </w:rPr>
                <w:t>Properties</w:t>
              </w:r>
            </w:hyperlink>
          </w:p>
        </w:tc>
        <w:tc>
          <w:tcPr>
            <w:tcW w:w="80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9800" w:type="dxa"/>
            <w:vAlign w:val="bottom"/>
          </w:tcPr>
          <w:p>
            <w:pPr>
              <w:ind w:left="20"/>
              <w:spacing w:after="0"/>
              <w:rPr>
                <w:rFonts w:ascii="Arial" w:cs="Arial" w:eastAsia="Arial" w:hAnsi="Arial"/>
                <w:sz w:val="16"/>
                <w:szCs w:val="16"/>
                <w:color w:val="0000EE"/>
              </w:rPr>
            </w:pPr>
            <w:hyperlink w:anchor="page35">
              <w:r>
                <w:rPr>
                  <w:rFonts w:ascii="Arial" w:cs="Arial" w:eastAsia="Arial" w:hAnsi="Arial"/>
                  <w:sz w:val="16"/>
                  <w:szCs w:val="16"/>
                  <w:color w:val="0000EE"/>
                </w:rPr>
                <w:t>Legal Proceedings</w:t>
              </w:r>
            </w:hyperlink>
          </w:p>
        </w:tc>
        <w:tc>
          <w:tcPr>
            <w:tcW w:w="80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tcPr>
          <w:p>
            <w:pPr>
              <w:ind w:left="20"/>
              <w:spacing w:after="0"/>
              <w:rPr>
                <w:rFonts w:ascii="Arial" w:cs="Arial" w:eastAsia="Arial" w:hAnsi="Arial"/>
                <w:sz w:val="16"/>
                <w:szCs w:val="16"/>
                <w:color w:val="0000EE"/>
              </w:rPr>
            </w:pPr>
            <w:hyperlink w:anchor="page35">
              <w:r>
                <w:rPr>
                  <w:rFonts w:ascii="Arial" w:cs="Arial" w:eastAsia="Arial" w:hAnsi="Arial"/>
                  <w:sz w:val="16"/>
                  <w:szCs w:val="16"/>
                  <w:color w:val="0000EE"/>
                </w:rPr>
                <w:t>Mine Safety Disclosures</w:t>
              </w:r>
            </w:hyperlink>
          </w:p>
        </w:tc>
        <w:tc>
          <w:tcPr>
            <w:tcW w:w="80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8"/>
              </w:rPr>
              <w:t>PART II</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5.</w:t>
            </w:r>
          </w:p>
        </w:tc>
        <w:tc>
          <w:tcPr>
            <w:tcW w:w="9800" w:type="dxa"/>
            <w:vAlign w:val="bottom"/>
          </w:tcPr>
          <w:p>
            <w:pPr>
              <w:ind w:left="20"/>
              <w:spacing w:after="0"/>
              <w:rPr>
                <w:rFonts w:ascii="Arial" w:cs="Arial" w:eastAsia="Arial" w:hAnsi="Arial"/>
                <w:sz w:val="16"/>
                <w:szCs w:val="16"/>
                <w:color w:val="0000EE"/>
              </w:rPr>
            </w:pPr>
            <w:hyperlink w:anchor="page36">
              <w:r>
                <w:rPr>
                  <w:rFonts w:ascii="Arial" w:cs="Arial" w:eastAsia="Arial" w:hAnsi="Arial"/>
                  <w:sz w:val="16"/>
                  <w:szCs w:val="16"/>
                  <w:color w:val="0000EE"/>
                </w:rPr>
                <w:t>Market for Registrant's Common Equity, Related Stockholder Matters and Issuer Purchases of Equity Securities</w:t>
              </w:r>
            </w:hyperlink>
          </w:p>
        </w:tc>
        <w:tc>
          <w:tcPr>
            <w:tcW w:w="800" w:type="dxa"/>
            <w:vAlign w:val="bottom"/>
          </w:tcPr>
          <w:p>
            <w:pPr>
              <w:jc w:val="center"/>
              <w:spacing w:after="0"/>
              <w:rPr>
                <w:rFonts w:ascii="Arial" w:cs="Arial" w:eastAsia="Arial" w:hAnsi="Arial"/>
                <w:sz w:val="16"/>
                <w:szCs w:val="16"/>
                <w:color w:val="0000EE"/>
              </w:rPr>
            </w:pPr>
            <w:hyperlink w:anchor="page36">
              <w:r>
                <w:rPr>
                  <w:rFonts w:ascii="Arial" w:cs="Arial" w:eastAsia="Arial" w:hAnsi="Arial"/>
                  <w:sz w:val="16"/>
                  <w:szCs w:val="16"/>
                  <w:color w:val="0000EE"/>
                </w:rPr>
                <w:t>35</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tcPr>
          <w:p>
            <w:pPr>
              <w:ind w:left="20"/>
              <w:spacing w:after="0"/>
              <w:rPr>
                <w:rFonts w:ascii="Arial" w:cs="Arial" w:eastAsia="Arial" w:hAnsi="Arial"/>
                <w:sz w:val="16"/>
                <w:szCs w:val="16"/>
                <w:color w:val="0000EE"/>
              </w:rPr>
            </w:pPr>
            <w:hyperlink w:anchor="page38">
              <w:r>
                <w:rPr>
                  <w:rFonts w:ascii="Arial" w:cs="Arial" w:eastAsia="Arial" w:hAnsi="Arial"/>
                  <w:sz w:val="16"/>
                  <w:szCs w:val="16"/>
                  <w:color w:val="0000EE"/>
                </w:rPr>
                <w:t>Selected Consolidated Financial Data</w:t>
              </w:r>
            </w:hyperlink>
          </w:p>
        </w:tc>
        <w:tc>
          <w:tcPr>
            <w:tcW w:w="800" w:type="dxa"/>
            <w:vAlign w:val="bottom"/>
          </w:tcPr>
          <w:p>
            <w:pPr>
              <w:jc w:val="center"/>
              <w:spacing w:after="0"/>
              <w:rPr>
                <w:rFonts w:ascii="Arial" w:cs="Arial" w:eastAsia="Arial" w:hAnsi="Arial"/>
                <w:sz w:val="16"/>
                <w:szCs w:val="16"/>
                <w:color w:val="0000EE"/>
              </w:rPr>
            </w:pPr>
            <w:hyperlink w:anchor="page38">
              <w:r>
                <w:rPr>
                  <w:rFonts w:ascii="Arial" w:cs="Arial" w:eastAsia="Arial" w:hAnsi="Arial"/>
                  <w:sz w:val="16"/>
                  <w:szCs w:val="16"/>
                  <w:color w:val="0000EE"/>
                </w:rPr>
                <w:t>37</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7.</w:t>
            </w:r>
          </w:p>
        </w:tc>
        <w:tc>
          <w:tcPr>
            <w:tcW w:w="9800" w:type="dxa"/>
            <w:vAlign w:val="bottom"/>
          </w:tcPr>
          <w:p>
            <w:pPr>
              <w:ind w:left="20"/>
              <w:spacing w:after="0"/>
              <w:rPr>
                <w:rFonts w:ascii="Arial" w:cs="Arial" w:eastAsia="Arial" w:hAnsi="Arial"/>
                <w:sz w:val="16"/>
                <w:szCs w:val="16"/>
                <w:color w:val="0000EE"/>
              </w:rPr>
            </w:pPr>
            <w:hyperlink w:anchor="page40">
              <w:r>
                <w:rPr>
                  <w:rFonts w:ascii="Arial" w:cs="Arial" w:eastAsia="Arial" w:hAnsi="Arial"/>
                  <w:sz w:val="16"/>
                  <w:szCs w:val="16"/>
                  <w:color w:val="0000EE"/>
                </w:rPr>
                <w:t>Management's Discussion and Analysis of Financial Condition and Results of Operations</w:t>
              </w:r>
            </w:hyperlink>
          </w:p>
        </w:tc>
        <w:tc>
          <w:tcPr>
            <w:tcW w:w="800" w:type="dxa"/>
            <w:vAlign w:val="bottom"/>
          </w:tcPr>
          <w:p>
            <w:pPr>
              <w:jc w:val="center"/>
              <w:spacing w:after="0"/>
              <w:rPr>
                <w:rFonts w:ascii="Arial" w:cs="Arial" w:eastAsia="Arial" w:hAnsi="Arial"/>
                <w:sz w:val="16"/>
                <w:szCs w:val="16"/>
                <w:color w:val="0000EE"/>
              </w:rPr>
            </w:pPr>
            <w:hyperlink w:anchor="page40">
              <w:r>
                <w:rPr>
                  <w:rFonts w:ascii="Arial" w:cs="Arial" w:eastAsia="Arial" w:hAnsi="Arial"/>
                  <w:sz w:val="16"/>
                  <w:szCs w:val="16"/>
                  <w:color w:val="0000EE"/>
                </w:rPr>
                <w:t>39</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7A.</w:t>
            </w:r>
          </w:p>
        </w:tc>
        <w:tc>
          <w:tcPr>
            <w:tcW w:w="9800" w:type="dxa"/>
            <w:vAlign w:val="bottom"/>
          </w:tcPr>
          <w:p>
            <w:pPr>
              <w:ind w:left="20"/>
              <w:spacing w:after="0"/>
              <w:rPr>
                <w:rFonts w:ascii="Arial" w:cs="Arial" w:eastAsia="Arial" w:hAnsi="Arial"/>
                <w:sz w:val="16"/>
                <w:szCs w:val="16"/>
                <w:color w:val="0000EE"/>
              </w:rPr>
            </w:pPr>
            <w:hyperlink w:anchor="page56">
              <w:r>
                <w:rPr>
                  <w:rFonts w:ascii="Arial" w:cs="Arial" w:eastAsia="Arial" w:hAnsi="Arial"/>
                  <w:sz w:val="16"/>
                  <w:szCs w:val="16"/>
                  <w:color w:val="0000EE"/>
                </w:rPr>
                <w:t>Quantitative and Qualitative Disclosures About Market Risk</w:t>
              </w:r>
            </w:hyperlink>
          </w:p>
        </w:tc>
        <w:tc>
          <w:tcPr>
            <w:tcW w:w="800" w:type="dxa"/>
            <w:vAlign w:val="bottom"/>
          </w:tcPr>
          <w:p>
            <w:pPr>
              <w:jc w:val="center"/>
              <w:spacing w:after="0"/>
              <w:rPr>
                <w:rFonts w:ascii="Arial" w:cs="Arial" w:eastAsia="Arial" w:hAnsi="Arial"/>
                <w:sz w:val="16"/>
                <w:szCs w:val="16"/>
                <w:color w:val="0000EE"/>
              </w:rPr>
            </w:pPr>
            <w:hyperlink w:anchor="page56">
              <w:r>
                <w:rPr>
                  <w:rFonts w:ascii="Arial" w:cs="Arial" w:eastAsia="Arial" w:hAnsi="Arial"/>
                  <w:sz w:val="16"/>
                  <w:szCs w:val="16"/>
                  <w:color w:val="0000EE"/>
                </w:rPr>
                <w:t>55</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8.</w:t>
            </w:r>
          </w:p>
        </w:tc>
        <w:tc>
          <w:tcPr>
            <w:tcW w:w="9800" w:type="dxa"/>
            <w:vAlign w:val="bottom"/>
          </w:tcPr>
          <w:p>
            <w:pPr>
              <w:ind w:left="20"/>
              <w:spacing w:after="0"/>
              <w:rPr>
                <w:rFonts w:ascii="Arial" w:cs="Arial" w:eastAsia="Arial" w:hAnsi="Arial"/>
                <w:sz w:val="16"/>
                <w:szCs w:val="16"/>
                <w:color w:val="0000EE"/>
              </w:rPr>
            </w:pPr>
            <w:hyperlink w:anchor="page57">
              <w:r>
                <w:rPr>
                  <w:rFonts w:ascii="Arial" w:cs="Arial" w:eastAsia="Arial" w:hAnsi="Arial"/>
                  <w:sz w:val="16"/>
                  <w:szCs w:val="16"/>
                  <w:color w:val="0000EE"/>
                </w:rPr>
                <w:t>Financial Statements and Supplementary Data</w:t>
              </w:r>
            </w:hyperlink>
          </w:p>
        </w:tc>
        <w:tc>
          <w:tcPr>
            <w:tcW w:w="800" w:type="dxa"/>
            <w:vAlign w:val="bottom"/>
          </w:tcPr>
          <w:p>
            <w:pPr>
              <w:jc w:val="center"/>
              <w:spacing w:after="0"/>
              <w:rPr>
                <w:rFonts w:ascii="Arial" w:cs="Arial" w:eastAsia="Arial" w:hAnsi="Arial"/>
                <w:sz w:val="16"/>
                <w:szCs w:val="16"/>
                <w:color w:val="0000EE"/>
              </w:rPr>
            </w:pPr>
            <w:hyperlink w:anchor="page57">
              <w:r>
                <w:rPr>
                  <w:rFonts w:ascii="Arial" w:cs="Arial" w:eastAsia="Arial" w:hAnsi="Arial"/>
                  <w:sz w:val="16"/>
                  <w:szCs w:val="16"/>
                  <w:color w:val="0000EE"/>
                </w:rPr>
                <w:t>56</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w:t>
            </w:r>
          </w:p>
        </w:tc>
        <w:tc>
          <w:tcPr>
            <w:tcW w:w="9800" w:type="dxa"/>
            <w:vAlign w:val="bottom"/>
          </w:tcPr>
          <w:p>
            <w:pPr>
              <w:ind w:left="20"/>
              <w:spacing w:after="0"/>
              <w:rPr>
                <w:rFonts w:ascii="Arial" w:cs="Arial" w:eastAsia="Arial" w:hAnsi="Arial"/>
                <w:sz w:val="16"/>
                <w:szCs w:val="16"/>
                <w:color w:val="0000EE"/>
              </w:rPr>
            </w:pPr>
            <w:hyperlink w:anchor="page87">
              <w:r>
                <w:rPr>
                  <w:rFonts w:ascii="Arial" w:cs="Arial" w:eastAsia="Arial" w:hAnsi="Arial"/>
                  <w:sz w:val="16"/>
                  <w:szCs w:val="16"/>
                  <w:color w:val="0000EE"/>
                </w:rPr>
                <w:t>Changes in and Disagreements with Accountants on Accounting and Financial Disclosure</w:t>
              </w:r>
            </w:hyperlink>
          </w:p>
        </w:tc>
        <w:tc>
          <w:tcPr>
            <w:tcW w:w="800" w:type="dxa"/>
            <w:vAlign w:val="bottom"/>
          </w:tcPr>
          <w:p>
            <w:pPr>
              <w:jc w:val="center"/>
              <w:spacing w:after="0"/>
              <w:rPr>
                <w:rFonts w:ascii="Arial" w:cs="Arial" w:eastAsia="Arial" w:hAnsi="Arial"/>
                <w:sz w:val="16"/>
                <w:szCs w:val="16"/>
                <w:color w:val="0000EE"/>
              </w:rPr>
            </w:pPr>
            <w:hyperlink w:anchor="page87">
              <w:r>
                <w:rPr>
                  <w:rFonts w:ascii="Arial" w:cs="Arial" w:eastAsia="Arial" w:hAnsi="Arial"/>
                  <w:sz w:val="16"/>
                  <w:szCs w:val="16"/>
                  <w:color w:val="0000EE"/>
                </w:rPr>
                <w:t>86</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9A.</w:t>
            </w:r>
          </w:p>
        </w:tc>
        <w:tc>
          <w:tcPr>
            <w:tcW w:w="9800" w:type="dxa"/>
            <w:vAlign w:val="bottom"/>
          </w:tcPr>
          <w:p>
            <w:pPr>
              <w:ind w:left="20"/>
              <w:spacing w:after="0"/>
              <w:rPr>
                <w:rFonts w:ascii="Arial" w:cs="Arial" w:eastAsia="Arial" w:hAnsi="Arial"/>
                <w:sz w:val="16"/>
                <w:szCs w:val="16"/>
                <w:color w:val="0000EE"/>
              </w:rPr>
            </w:pPr>
            <w:hyperlink w:anchor="page87">
              <w:r>
                <w:rPr>
                  <w:rFonts w:ascii="Arial" w:cs="Arial" w:eastAsia="Arial" w:hAnsi="Arial"/>
                  <w:sz w:val="16"/>
                  <w:szCs w:val="16"/>
                  <w:color w:val="0000EE"/>
                </w:rPr>
                <w:t>Controls and Procedures</w:t>
              </w:r>
            </w:hyperlink>
          </w:p>
        </w:tc>
        <w:tc>
          <w:tcPr>
            <w:tcW w:w="800" w:type="dxa"/>
            <w:vAlign w:val="bottom"/>
          </w:tcPr>
          <w:p>
            <w:pPr>
              <w:jc w:val="center"/>
              <w:spacing w:after="0"/>
              <w:rPr>
                <w:rFonts w:ascii="Arial" w:cs="Arial" w:eastAsia="Arial" w:hAnsi="Arial"/>
                <w:sz w:val="16"/>
                <w:szCs w:val="16"/>
                <w:color w:val="0000EE"/>
              </w:rPr>
            </w:pPr>
            <w:hyperlink w:anchor="page87">
              <w:r>
                <w:rPr>
                  <w:rFonts w:ascii="Arial" w:cs="Arial" w:eastAsia="Arial" w:hAnsi="Arial"/>
                  <w:sz w:val="16"/>
                  <w:szCs w:val="16"/>
                  <w:color w:val="0000EE"/>
                </w:rPr>
                <w:t>86</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9B.</w:t>
            </w:r>
          </w:p>
        </w:tc>
        <w:tc>
          <w:tcPr>
            <w:tcW w:w="9800" w:type="dxa"/>
            <w:vAlign w:val="bottom"/>
          </w:tcPr>
          <w:p>
            <w:pPr>
              <w:ind w:left="20"/>
              <w:spacing w:after="0"/>
              <w:rPr>
                <w:rFonts w:ascii="Arial" w:cs="Arial" w:eastAsia="Arial" w:hAnsi="Arial"/>
                <w:sz w:val="16"/>
                <w:szCs w:val="16"/>
                <w:color w:val="0000EE"/>
              </w:rPr>
            </w:pPr>
            <w:hyperlink w:anchor="page88">
              <w:r>
                <w:rPr>
                  <w:rFonts w:ascii="Arial" w:cs="Arial" w:eastAsia="Arial" w:hAnsi="Arial"/>
                  <w:sz w:val="16"/>
                  <w:szCs w:val="16"/>
                  <w:color w:val="0000EE"/>
                </w:rPr>
                <w:t>Other Information</w:t>
              </w:r>
            </w:hyperlink>
          </w:p>
        </w:tc>
        <w:tc>
          <w:tcPr>
            <w:tcW w:w="800" w:type="dxa"/>
            <w:vAlign w:val="bottom"/>
          </w:tcPr>
          <w:p>
            <w:pPr>
              <w:jc w:val="center"/>
              <w:spacing w:after="0"/>
              <w:rPr>
                <w:rFonts w:ascii="Arial" w:cs="Arial" w:eastAsia="Arial" w:hAnsi="Arial"/>
                <w:sz w:val="16"/>
                <w:szCs w:val="16"/>
                <w:color w:val="0000EE"/>
              </w:rPr>
            </w:pPr>
            <w:hyperlink w:anchor="page88">
              <w:r>
                <w:rPr>
                  <w:rFonts w:ascii="Arial" w:cs="Arial" w:eastAsia="Arial" w:hAnsi="Arial"/>
                  <w:sz w:val="16"/>
                  <w:szCs w:val="16"/>
                  <w:color w:val="0000EE"/>
                </w:rPr>
                <w:t>87</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rPr>
              <w:t>PART III</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10.</w:t>
            </w:r>
          </w:p>
        </w:tc>
        <w:tc>
          <w:tcPr>
            <w:tcW w:w="9800" w:type="dxa"/>
            <w:vAlign w:val="bottom"/>
          </w:tcPr>
          <w:p>
            <w:pPr>
              <w:ind w:left="20"/>
              <w:spacing w:after="0"/>
              <w:rPr>
                <w:rFonts w:ascii="Arial" w:cs="Arial" w:eastAsia="Arial" w:hAnsi="Arial"/>
                <w:sz w:val="16"/>
                <w:szCs w:val="16"/>
                <w:color w:val="0000EE"/>
              </w:rPr>
            </w:pPr>
            <w:hyperlink w:anchor="page89">
              <w:r>
                <w:rPr>
                  <w:rFonts w:ascii="Arial" w:cs="Arial" w:eastAsia="Arial" w:hAnsi="Arial"/>
                  <w:sz w:val="16"/>
                  <w:szCs w:val="16"/>
                  <w:color w:val="0000EE"/>
                </w:rPr>
                <w:t>Directors, Executive Officers and Corporate Governance</w:t>
              </w:r>
            </w:hyperlink>
          </w:p>
        </w:tc>
        <w:tc>
          <w:tcPr>
            <w:tcW w:w="80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11.</w:t>
            </w:r>
          </w:p>
        </w:tc>
        <w:tc>
          <w:tcPr>
            <w:tcW w:w="9800" w:type="dxa"/>
            <w:vAlign w:val="bottom"/>
          </w:tcPr>
          <w:p>
            <w:pPr>
              <w:ind w:left="20"/>
              <w:spacing w:after="0"/>
              <w:rPr>
                <w:rFonts w:ascii="Arial" w:cs="Arial" w:eastAsia="Arial" w:hAnsi="Arial"/>
                <w:sz w:val="16"/>
                <w:szCs w:val="16"/>
                <w:color w:val="0000EE"/>
              </w:rPr>
            </w:pPr>
            <w:hyperlink w:anchor="page89">
              <w:r>
                <w:rPr>
                  <w:rFonts w:ascii="Arial" w:cs="Arial" w:eastAsia="Arial" w:hAnsi="Arial"/>
                  <w:sz w:val="16"/>
                  <w:szCs w:val="16"/>
                  <w:color w:val="0000EE"/>
                </w:rPr>
                <w:t>Executive Compensation</w:t>
              </w:r>
            </w:hyperlink>
          </w:p>
        </w:tc>
        <w:tc>
          <w:tcPr>
            <w:tcW w:w="80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12.</w:t>
            </w:r>
          </w:p>
        </w:tc>
        <w:tc>
          <w:tcPr>
            <w:tcW w:w="9800" w:type="dxa"/>
            <w:vAlign w:val="bottom"/>
          </w:tcPr>
          <w:p>
            <w:pPr>
              <w:ind w:left="20"/>
              <w:spacing w:after="0"/>
              <w:rPr>
                <w:rFonts w:ascii="Arial" w:cs="Arial" w:eastAsia="Arial" w:hAnsi="Arial"/>
                <w:sz w:val="16"/>
                <w:szCs w:val="16"/>
                <w:color w:val="0000EE"/>
              </w:rPr>
            </w:pPr>
            <w:hyperlink w:anchor="page89">
              <w:r>
                <w:rPr>
                  <w:rFonts w:ascii="Arial" w:cs="Arial" w:eastAsia="Arial" w:hAnsi="Arial"/>
                  <w:sz w:val="16"/>
                  <w:szCs w:val="16"/>
                  <w:color w:val="0000EE"/>
                </w:rPr>
                <w:t>Security Ownership of Certain Beneficial Owners and Management and Related Stockholder Matters</w:t>
              </w:r>
            </w:hyperlink>
          </w:p>
        </w:tc>
        <w:tc>
          <w:tcPr>
            <w:tcW w:w="80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13.</w:t>
            </w:r>
          </w:p>
        </w:tc>
        <w:tc>
          <w:tcPr>
            <w:tcW w:w="9800" w:type="dxa"/>
            <w:vAlign w:val="bottom"/>
          </w:tcPr>
          <w:p>
            <w:pPr>
              <w:ind w:left="20"/>
              <w:spacing w:after="0"/>
              <w:rPr>
                <w:rFonts w:ascii="Arial" w:cs="Arial" w:eastAsia="Arial" w:hAnsi="Arial"/>
                <w:sz w:val="16"/>
                <w:szCs w:val="16"/>
                <w:color w:val="0000EE"/>
              </w:rPr>
            </w:pPr>
            <w:hyperlink w:anchor="page89">
              <w:r>
                <w:rPr>
                  <w:rFonts w:ascii="Arial" w:cs="Arial" w:eastAsia="Arial" w:hAnsi="Arial"/>
                  <w:sz w:val="16"/>
                  <w:szCs w:val="16"/>
                  <w:color w:val="0000EE"/>
                </w:rPr>
                <w:t>Certain Relationships and Related Transactions, and Director Independence</w:t>
              </w:r>
            </w:hyperlink>
          </w:p>
        </w:tc>
        <w:tc>
          <w:tcPr>
            <w:tcW w:w="80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14.</w:t>
            </w:r>
          </w:p>
        </w:tc>
        <w:tc>
          <w:tcPr>
            <w:tcW w:w="9800" w:type="dxa"/>
            <w:vAlign w:val="bottom"/>
          </w:tcPr>
          <w:p>
            <w:pPr>
              <w:ind w:left="20"/>
              <w:spacing w:after="0"/>
              <w:rPr>
                <w:rFonts w:ascii="Arial" w:cs="Arial" w:eastAsia="Arial" w:hAnsi="Arial"/>
                <w:sz w:val="16"/>
                <w:szCs w:val="16"/>
                <w:color w:val="0000EE"/>
              </w:rPr>
            </w:pPr>
            <w:hyperlink w:anchor="page89">
              <w:r>
                <w:rPr>
                  <w:rFonts w:ascii="Arial" w:cs="Arial" w:eastAsia="Arial" w:hAnsi="Arial"/>
                  <w:sz w:val="16"/>
                  <w:szCs w:val="16"/>
                  <w:color w:val="0000EE"/>
                </w:rPr>
                <w:t>Principal Accounting Fees and Services</w:t>
              </w:r>
            </w:hyperlink>
          </w:p>
        </w:tc>
        <w:tc>
          <w:tcPr>
            <w:tcW w:w="800" w:type="dxa"/>
            <w:vAlign w:val="bottom"/>
          </w:tcPr>
          <w:p>
            <w:pPr>
              <w:jc w:val="center"/>
              <w:spacing w:after="0"/>
              <w:rPr>
                <w:rFonts w:ascii="Arial" w:cs="Arial" w:eastAsia="Arial" w:hAnsi="Arial"/>
                <w:sz w:val="16"/>
                <w:szCs w:val="16"/>
                <w:color w:val="0000EE"/>
              </w:rPr>
            </w:pPr>
            <w:hyperlink w:anchor="page89">
              <w:r>
                <w:rPr>
                  <w:rFonts w:ascii="Arial" w:cs="Arial" w:eastAsia="Arial" w:hAnsi="Arial"/>
                  <w:sz w:val="16"/>
                  <w:szCs w:val="16"/>
                  <w:color w:val="0000EE"/>
                </w:rPr>
                <w:t>88</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8"/>
              </w:rPr>
              <w:t>PART IV</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15.</w:t>
            </w:r>
          </w:p>
        </w:tc>
        <w:tc>
          <w:tcPr>
            <w:tcW w:w="9800" w:type="dxa"/>
            <w:vAlign w:val="bottom"/>
          </w:tcPr>
          <w:p>
            <w:pPr>
              <w:ind w:left="20"/>
              <w:spacing w:after="0"/>
              <w:rPr>
                <w:rFonts w:ascii="Arial" w:cs="Arial" w:eastAsia="Arial" w:hAnsi="Arial"/>
                <w:sz w:val="16"/>
                <w:szCs w:val="16"/>
                <w:color w:val="0000EE"/>
              </w:rPr>
            </w:pPr>
            <w:hyperlink w:anchor="page90">
              <w:r>
                <w:rPr>
                  <w:rFonts w:ascii="Arial" w:cs="Arial" w:eastAsia="Arial" w:hAnsi="Arial"/>
                  <w:sz w:val="16"/>
                  <w:szCs w:val="16"/>
                  <w:color w:val="0000EE"/>
                </w:rPr>
                <w:t>Exhibits and Financial Statement Schedules</w:t>
              </w:r>
            </w:hyperlink>
          </w:p>
        </w:tc>
        <w:tc>
          <w:tcPr>
            <w:tcW w:w="800" w:type="dxa"/>
            <w:vAlign w:val="bottom"/>
          </w:tcPr>
          <w:p>
            <w:pPr>
              <w:jc w:val="center"/>
              <w:spacing w:after="0"/>
              <w:rPr>
                <w:rFonts w:ascii="Arial" w:cs="Arial" w:eastAsia="Arial" w:hAnsi="Arial"/>
                <w:sz w:val="16"/>
                <w:szCs w:val="16"/>
                <w:color w:val="0000EE"/>
              </w:rPr>
            </w:pPr>
            <w:hyperlink w:anchor="page90">
              <w:r>
                <w:rPr>
                  <w:rFonts w:ascii="Arial" w:cs="Arial" w:eastAsia="Arial" w:hAnsi="Arial"/>
                  <w:sz w:val="16"/>
                  <w:szCs w:val="16"/>
                  <w:color w:val="0000EE"/>
                </w:rPr>
                <w:t>89</w:t>
              </w:r>
            </w:hyperlink>
          </w:p>
        </w:tc>
      </w:tr>
      <w:tr>
        <w:trPr>
          <w:trHeight w:val="243"/>
        </w:trPr>
        <w:tc>
          <w:tcPr>
            <w:tcW w:w="780" w:type="dxa"/>
            <w:vAlign w:val="bottom"/>
          </w:tcPr>
          <w:p>
            <w:pPr>
              <w:spacing w:after="0"/>
              <w:rPr>
                <w:rFonts w:ascii="Arial" w:cs="Arial" w:eastAsia="Arial" w:hAnsi="Arial"/>
                <w:sz w:val="16"/>
                <w:szCs w:val="16"/>
                <w:color w:val="0000EE"/>
                <w:w w:val="99"/>
              </w:rPr>
            </w:pPr>
            <w:hyperlink w:anchor="page91">
              <w:r>
                <w:rPr>
                  <w:rFonts w:ascii="Arial" w:cs="Arial" w:eastAsia="Arial" w:hAnsi="Arial"/>
                  <w:sz w:val="16"/>
                  <w:szCs w:val="16"/>
                  <w:color w:val="0000EE"/>
                  <w:w w:val="99"/>
                </w:rPr>
                <w:t>Signatures</w:t>
              </w:r>
            </w:hyperlink>
          </w:p>
        </w:tc>
        <w:tc>
          <w:tcPr>
            <w:tcW w:w="9800" w:type="dxa"/>
            <w:vAlign w:val="bottom"/>
          </w:tcPr>
          <w:p>
            <w:pPr>
              <w:spacing w:after="0"/>
              <w:rPr>
                <w:sz w:val="21"/>
                <w:szCs w:val="21"/>
                <w:color w:val="auto"/>
              </w:rPr>
            </w:pPr>
          </w:p>
        </w:tc>
        <w:tc>
          <w:tcPr>
            <w:tcW w:w="800" w:type="dxa"/>
            <w:vAlign w:val="bottom"/>
          </w:tcPr>
          <w:p>
            <w:pPr>
              <w:jc w:val="center"/>
              <w:spacing w:after="0"/>
              <w:rPr>
                <w:rFonts w:ascii="Arial" w:cs="Arial" w:eastAsia="Arial" w:hAnsi="Arial"/>
                <w:sz w:val="16"/>
                <w:szCs w:val="16"/>
                <w:color w:val="0000EE"/>
              </w:rPr>
            </w:pPr>
            <w:hyperlink w:anchor="page91">
              <w:r>
                <w:rPr>
                  <w:rFonts w:ascii="Arial" w:cs="Arial" w:eastAsia="Arial" w:hAnsi="Arial"/>
                  <w:sz w:val="16"/>
                  <w:szCs w:val="16"/>
                  <w:color w:val="0000EE"/>
                </w:rPr>
                <w:t>90</w:t>
              </w:r>
            </w:hyperlink>
          </w:p>
        </w:tc>
      </w:tr>
      <w:tr>
        <w:trPr>
          <w:trHeight w:val="243"/>
        </w:trPr>
        <w:tc>
          <w:tcPr>
            <w:tcW w:w="10580" w:type="dxa"/>
            <w:vAlign w:val="bottom"/>
            <w:gridSpan w:val="2"/>
          </w:tcPr>
          <w:p>
            <w:pPr>
              <w:spacing w:after="0"/>
              <w:rPr>
                <w:rFonts w:ascii="Arial" w:cs="Arial" w:eastAsia="Arial" w:hAnsi="Arial"/>
                <w:sz w:val="16"/>
                <w:szCs w:val="16"/>
                <w:color w:val="0000EE"/>
              </w:rPr>
            </w:pPr>
            <w:hyperlink w:anchor="page92">
              <w:r>
                <w:rPr>
                  <w:rFonts w:ascii="Arial" w:cs="Arial" w:eastAsia="Arial" w:hAnsi="Arial"/>
                  <w:sz w:val="16"/>
                  <w:szCs w:val="16"/>
                  <w:color w:val="0000EE"/>
                </w:rPr>
                <w:t>Exhibit Index</w:t>
              </w:r>
            </w:hyperlink>
          </w:p>
        </w:tc>
        <w:tc>
          <w:tcPr>
            <w:tcW w:w="800" w:type="dxa"/>
            <w:vAlign w:val="bottom"/>
          </w:tcPr>
          <w:p>
            <w:pPr>
              <w:jc w:val="center"/>
              <w:spacing w:after="0"/>
              <w:rPr>
                <w:rFonts w:ascii="Arial" w:cs="Arial" w:eastAsia="Arial" w:hAnsi="Arial"/>
                <w:sz w:val="16"/>
                <w:szCs w:val="16"/>
                <w:color w:val="0000EE"/>
              </w:rPr>
            </w:pPr>
            <w:hyperlink w:anchor="page92">
              <w:r>
                <w:rPr>
                  <w:rFonts w:ascii="Arial" w:cs="Arial" w:eastAsia="Arial" w:hAnsi="Arial"/>
                  <w:sz w:val="16"/>
                  <w:szCs w:val="16"/>
                  <w:color w:val="0000EE"/>
                </w:rPr>
                <w:t>91</w:t>
              </w:r>
            </w:hyperlink>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20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10-K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231F20"/>
        </w:rPr>
      </w:pPr>
    </w:p>
    <w:p>
      <w:pPr>
        <w:ind w:left="1060" w:right="3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231F20"/>
        </w:rPr>
      </w:pPr>
    </w:p>
    <w:p>
      <w:pPr>
        <w:ind w:left="1060" w:right="104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anticipated investments in sales and marketing, our infrastructure, new solutions,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231F20"/>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220" w:hanging="323"/>
        <w:spacing w:after="0" w:line="262"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other factors discussed in this Annual Report on Form 10-K in the sections titled "Risk Factors," "Management's Discussion and Analysis of Financial Condition and Results of Operations" and "Business."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231F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6"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231F20"/>
        </w:rPr>
        <w:t>Qualys, the Qualys logo and QualysGuard,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15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technologies intended to improve organizations’ operations can also increase vulnerability to cyber 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15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We designed our Qualys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they reside inside the organization, on their network perimeter, on endpoints or in the cloud. Since inception, our solutions have been designed to be delivered through the cloud and to be easily and rapidly deployed on a global scale across a broad range of industries, enabling faster implementation and lower total cost of ownership than traditional on-premise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19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 Vulnerability Management (VM), in 2000. Our VM Solutions have provided a substantial majority of our revenues to date, representing 76%, </w:t>
      </w:r>
      <w:r>
        <w:rPr>
          <w:rFonts w:ascii="Arial" w:cs="Arial" w:eastAsia="Arial" w:hAnsi="Arial"/>
          <w:sz w:val="18"/>
          <w:szCs w:val="18"/>
          <w:color w:val="000000"/>
        </w:rPr>
        <w:t>77%</w:t>
      </w:r>
      <w:r>
        <w:rPr>
          <w:rFonts w:ascii="Arial" w:cs="Arial" w:eastAsia="Arial" w:hAnsi="Arial"/>
          <w:sz w:val="18"/>
          <w:szCs w:val="18"/>
          <w:color w:val="231F20"/>
        </w:rPr>
        <w:t xml:space="preserve"> and 80% of total revenues in </w:t>
      </w:r>
      <w:r>
        <w:rPr>
          <w:rFonts w:ascii="Arial" w:cs="Arial" w:eastAsia="Arial" w:hAnsi="Arial"/>
          <w:sz w:val="18"/>
          <w:szCs w:val="18"/>
          <w:color w:val="000000"/>
        </w:rPr>
        <w:t>2016</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respectively. In </w:t>
      </w:r>
      <w:r>
        <w:rPr>
          <w:rFonts w:ascii="Arial" w:cs="Arial" w:eastAsia="Arial" w:hAnsi="Arial"/>
          <w:sz w:val="18"/>
          <w:szCs w:val="18"/>
          <w:color w:val="000000"/>
        </w:rPr>
        <w:t>2016</w:t>
      </w:r>
      <w:r>
        <w:rPr>
          <w:rFonts w:ascii="Arial" w:cs="Arial" w:eastAsia="Arial" w:hAnsi="Arial"/>
          <w:sz w:val="18"/>
          <w:szCs w:val="18"/>
          <w:color w:val="231F20"/>
        </w:rPr>
        <w:t xml:space="preserve">, our VM Solutions included revenues from VM, Private Cloud Platform, Continuous Monitoring, Cloud Agent for VM, AssetView, and ThreatPROTECT. In </w:t>
      </w:r>
      <w:r>
        <w:rPr>
          <w:rFonts w:ascii="Arial" w:cs="Arial" w:eastAsia="Arial" w:hAnsi="Arial"/>
          <w:sz w:val="18"/>
          <w:szCs w:val="18"/>
          <w:color w:val="000000"/>
        </w:rPr>
        <w:t>2015</w:t>
      </w:r>
      <w:r>
        <w:rPr>
          <w:rFonts w:ascii="Arial" w:cs="Arial" w:eastAsia="Arial" w:hAnsi="Arial"/>
          <w:sz w:val="18"/>
          <w:szCs w:val="18"/>
          <w:color w:val="231F20"/>
        </w:rPr>
        <w:t xml:space="preserve">, our VM Solutions included revenues from VM, Private Cloud Platform, Continuous Monitoring and Cloud Agent for VM. In </w:t>
      </w:r>
      <w:r>
        <w:rPr>
          <w:rFonts w:ascii="Arial" w:cs="Arial" w:eastAsia="Arial" w:hAnsi="Arial"/>
          <w:sz w:val="18"/>
          <w:szCs w:val="18"/>
          <w:color w:val="000000"/>
        </w:rPr>
        <w:t>2014</w:t>
      </w:r>
      <w:r>
        <w:rPr>
          <w:rFonts w:ascii="Arial" w:cs="Arial" w:eastAsia="Arial" w:hAnsi="Arial"/>
          <w:sz w:val="18"/>
          <w:szCs w:val="18"/>
          <w:color w:val="231F20"/>
        </w:rPr>
        <w:t xml:space="preserve">, our VM Solutions included revenues from VM, Private Cloud Platform and Continuous Monitoring. In prior 10-Q and 10-K filings, we had included all revenues from scanners and credits for prepaid services in our VM Solutions revenues. In the fourth quarter of 2016, we changed the methodology to allocate revenues from scanners and credits across our products. Based on the prior methodology, our VM Solutions would have made up 78% of total revenues in </w:t>
      </w:r>
      <w:r>
        <w:rPr>
          <w:rFonts w:ascii="Arial" w:cs="Arial" w:eastAsia="Arial" w:hAnsi="Arial"/>
          <w:sz w:val="18"/>
          <w:szCs w:val="18"/>
          <w:color w:val="000000"/>
        </w:rPr>
        <w:t>2016</w:t>
      </w:r>
      <w:r>
        <w:rPr>
          <w:rFonts w:ascii="Arial" w:cs="Arial" w:eastAsia="Arial" w:hAnsi="Arial"/>
          <w:sz w:val="18"/>
          <w:szCs w:val="18"/>
          <w:color w:val="231F20"/>
        </w:rPr>
        <w:t xml:space="preserve">, down 1% from 79% in </w:t>
      </w:r>
      <w:r>
        <w:rPr>
          <w:rFonts w:ascii="Arial" w:cs="Arial" w:eastAsia="Arial" w:hAnsi="Arial"/>
          <w:sz w:val="18"/>
          <w:szCs w:val="18"/>
          <w:color w:val="000000"/>
        </w:rPr>
        <w:t>2015</w:t>
      </w:r>
      <w:r>
        <w:rPr>
          <w:rFonts w:ascii="Arial" w:cs="Arial" w:eastAsia="Arial" w:hAnsi="Arial"/>
          <w:sz w:val="18"/>
          <w:szCs w:val="18"/>
          <w:color w:val="231F20"/>
        </w:rPr>
        <w:t>.</w:t>
      </w:r>
    </w:p>
    <w:p>
      <w:pPr>
        <w:spacing w:after="0" w:line="21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As VM gained acceptance, we introduced new solutions to help customers manage increasing IT security and compliance requirements. In 2006, we added our PCI Compliance solution, and in 2008, we added our Policy Compliance (PC) solution. In 2009, we broadened the scope of our cloud services by adding Web Application Scanning. In 2012, we introduced our virtualized private cloud platform as an additional deployment option of our solutions for customers and partners. In 2014, we released Continuous Monitoring for internet-facing systems, which allows customers to continuously monitor their mission-critical assets and to be alerted to security vulnerabilities or misconfigurations that may make them more susceptible to a cyber-attack. In 2014, we also launched Web Application Firewall (WAF). Qualys WAF, currently is in limited release, it delivers enterprise-grade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231F20"/>
        </w:rPr>
        <w:t xml:space="preserve">web application security without the costs, footprint, and complexity associated with appliance-based web application firewall solutions. In 2015, we introduced our Cloud Agent Platform (CAP), which provides customers </w:t>
      </w:r>
      <w:r>
        <w:rPr>
          <w:rFonts w:ascii="Arial" w:cs="Arial" w:eastAsia="Arial" w:hAnsi="Arial"/>
          <w:sz w:val="18"/>
          <w:szCs w:val="18"/>
          <w:color w:val="000000"/>
        </w:rPr>
        <w:t>with the ability to secure IT assets on a continuous basis</w:t>
      </w:r>
      <w:r>
        <w:rPr>
          <w:rFonts w:ascii="Arial" w:cs="Arial" w:eastAsia="Arial" w:hAnsi="Arial"/>
          <w:sz w:val="18"/>
          <w:szCs w:val="18"/>
          <w:color w:val="231F20"/>
        </w:rPr>
        <w:t xml:space="preserve"> </w:t>
      </w:r>
      <w:r>
        <w:rPr>
          <w:rFonts w:ascii="Arial" w:cs="Arial" w:eastAsia="Arial" w:hAnsi="Arial"/>
          <w:sz w:val="18"/>
          <w:szCs w:val="18"/>
          <w:color w:val="000000"/>
        </w:rPr>
        <w:t>regardless of where they reside, inside the enterprise, in the cloud or mobile endpoints. CAP allows organizations to perform vulnerability and compliance management on a continuous basis. It is a natural extension to our cloud platform and allows us to expand our footprint in the enterprise and provide VM and PC solutions to mobile endpoints and elastic cloud environments. In 2015, we also launched AssetView and Security Assessment Questionnaire. AssetView is a free, cloud-based asset inventory service that provides visibility and actionable data on global IT assets within an organization. We don’t charge for AssetView but do charge for AssetView synchronization with ServiceNow CMDB (Configuration Management Database). This integrates our robust asset discovery and classification capabilities with ServiceNow’s platform. Security Assessment Questionnaire enables organizations to better orchestrate security assessments or compliance audits with automated validation. In 2016, we introduced ThreatPROTECT, which prioritizes identified vulnerabilities for customers using our VM solution.</w:t>
      </w:r>
    </w:p>
    <w:p>
      <w:pPr>
        <w:spacing w:after="0" w:line="172"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 </w:t>
      </w:r>
      <w:r>
        <w:rPr>
          <w:rFonts w:ascii="Arial" w:cs="Arial" w:eastAsia="Arial" w:hAnsi="Arial"/>
          <w:sz w:val="18"/>
          <w:szCs w:val="18"/>
          <w:color w:val="000000"/>
        </w:rPr>
        <w:t>Revenues from customers existing at or prior to December 31, 2015 grew by $20.4 million to $184.7 million during 2016,</w:t>
      </w:r>
      <w:r>
        <w:rPr>
          <w:rFonts w:ascii="Arial" w:cs="Arial" w:eastAsia="Arial" w:hAnsi="Arial"/>
          <w:sz w:val="18"/>
          <w:szCs w:val="18"/>
          <w:color w:val="231F20"/>
        </w:rPr>
        <w:t xml:space="preserve"> </w:t>
      </w:r>
      <w:r>
        <w:rPr>
          <w:rFonts w:ascii="Arial" w:cs="Arial" w:eastAsia="Arial" w:hAnsi="Arial"/>
          <w:sz w:val="18"/>
          <w:szCs w:val="18"/>
          <w:color w:val="000000"/>
        </w:rPr>
        <w:t>representing 112% of total revenues in 2015. We expect revenue growth from existing customers to continue. Subscriptions from new customers added in 2016 contributed $13.2 million to the increase in revenues.</w:t>
      </w:r>
    </w:p>
    <w:p>
      <w:pPr>
        <w:spacing w:after="0" w:line="15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Our Qualys Cloud Platform is currently used by over 9,300 customers, excluding security consulting firms, in more than 100 countries, including a majority of each of the Forbes Global 100 and Fortune 100. Our revenues increased from $133.6 million in 2014 to $164.3 million in 2015, and reached $197.9 million in 2016. We generated net income of $ 30.2 million in 2014, $15.9 million in 2015, and $19.2 million in 2016. Net income in 2014 includes a tax benefit of $23.7 million due to reversal of deferred tax valuation allowance. Total assets as of December 31, 2016 and 2015 were $407.0 million and $323.5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12"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We intend to leverage our innovation and extensive expertise to strengthen our leadership position as a trusted provider of cloud-based security and compliance solutions. The key elements of our growth strategy are:</w:t>
      </w:r>
    </w:p>
    <w:p>
      <w:pPr>
        <w:spacing w:after="0" w:line="66" w:lineRule="exact"/>
        <w:rPr>
          <w:sz w:val="20"/>
          <w:szCs w:val="20"/>
          <w:color w:val="auto"/>
        </w:rPr>
      </w:pPr>
    </w:p>
    <w:p>
      <w:pPr>
        <w:ind w:left="660" w:right="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research and development to extend our cloud platform’s functionality by developing new security solutions and capabilities and further enhancing our existing suite of solutions. In 2015, we introduced our Cloud Agent Platform, which provides customers with the ability to secure IT assets on a continuous basis regardless of where they reside, inside the enterprise, in the cloud or mobile endpoints. Our CAP also enables us to deliver additional new solutions as we develop them. In 2015, we also launched AssetView and Security Assessment Questionnaire. AssetView is a free, cloud-based asset inventory service that provides visibility and actionable data on global IT assets within an organization. We don’t charge for AssetView but do charge for AssetView synchronization with ServiceNow CMDB (Configuration Management Database). This integrates our robust asset discovery and classification capabilities with ServiceNow’s platform. Security Assessment Questionnaire enables organizations to better orchestrate security assessments or compliance audits with automated validation. In 2016, we introduced ThreatPROTECT, which prioritizes identified vulnerabilities for customers using our VM solution.</w:t>
      </w:r>
    </w:p>
    <w:p>
      <w:pPr>
        <w:spacing w:after="0" w:line="75"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the use of our suite of solutions by our large and diverse customer base. </w:t>
      </w:r>
      <w:r>
        <w:rPr>
          <w:rFonts w:ascii="Arial" w:cs="Arial" w:eastAsia="Arial" w:hAnsi="Arial"/>
          <w:sz w:val="18"/>
          <w:szCs w:val="18"/>
          <w:color w:val="auto"/>
        </w:rPr>
        <w:t>With more than 9,300 customers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industries and geographies, we believe we have a significant opportunity to sell additional solutions to our customers and expand their use of our suite of solutions. Since typically our customers initially deploy one or two of our solutions and in select parts of their IT infrastructures, our existing customers serve as a strong source of new sales as they expand their scope and increase their subscriptions, or choose to adopt other solutions from our integrated suite of IT security and compliance offerings. In this regard, we continue to expand our sales execution and marketing functions to increase adoption of our newly developed solutions among our existing customers.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41"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160" w:hanging="328"/>
        <w:spacing w:after="0" w:line="26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customer growth. </w:t>
      </w:r>
      <w:r>
        <w:rPr>
          <w:rFonts w:ascii="Arial" w:cs="Arial" w:eastAsia="Arial" w:hAnsi="Arial"/>
          <w:sz w:val="18"/>
          <w:szCs w:val="18"/>
          <w:color w:val="auto"/>
        </w:rPr>
        <w:t>We are pursuing new customers by targeting key accounts and expanding our 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and network of channel partners. We will continue to seek to make significant investments to encourage organizations to replace their existing security products with our cloud solutions.</w:t>
      </w:r>
    </w:p>
    <w:p>
      <w:pPr>
        <w:spacing w:after="0" w:line="6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intend to expand our relationships with key security consulting organizations, managed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and value 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71" w:lineRule="exact"/>
        <w:rPr>
          <w:rFonts w:ascii="Arial" w:cs="Arial" w:eastAsia="Arial" w:hAnsi="Arial"/>
          <w:sz w:val="18"/>
          <w:szCs w:val="18"/>
          <w:color w:val="auto"/>
        </w:rPr>
      </w:pPr>
    </w:p>
    <w:p>
      <w:pPr>
        <w:jc w:val="both"/>
        <w:ind w:left="660" w:right="220" w:hanging="328"/>
        <w:spacing w:after="0" w:line="26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technology acquisitions to bolster our capabilities and leadership position. </w:t>
      </w:r>
      <w:r>
        <w:rPr>
          <w:rFonts w:ascii="Arial" w:cs="Arial" w:eastAsia="Arial" w:hAnsi="Arial"/>
          <w:sz w:val="18"/>
          <w:szCs w:val="18"/>
          <w:color w:val="auto"/>
        </w:rPr>
        <w:t>We may explore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complementary to and can expand the functionality of our cloud platform. We may also seek to acquire technology teams to supplement our own team and increase the breadth of our cloud-based security and compliance solutions.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12"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Our Qualys Cloud Platform consists of a suite of IT security and compliance solutions that leverage our shared and extensible core services and our highly scalable multi-tenant cloud infrastructure.</w:t>
      </w:r>
    </w:p>
    <w:p>
      <w:pPr>
        <w:spacing w:after="0" w:line="142"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Our suite of solutions provides security intelligence by automating the life cycle of IT asset discovery, security assessment and compliance management. Our core services layer provides a set of advanced shared technologies that are leveraged by our suite of security and compliance solutions, which we refer to as our Core Services.</w:t>
      </w:r>
    </w:p>
    <w:p>
      <w:pPr>
        <w:spacing w:after="0" w:line="148"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Built on our cloud platform infrastructure, our Core Services provide an integrated framework with proprietary functionalities that act as building blocks to enable efficient and scalable delivery of our customer-facing cloud solutions. Our cloud platform’s infrastructure includes integrated services that deliver a highly automated and scalable scanning infrastructure capable of scanning IT systems and web applications, inside and outside corporate firewalls.</w:t>
      </w:r>
    </w:p>
    <w:p>
      <w:pPr>
        <w:spacing w:after="0" w:line="150"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Core Services and infrastructure layers of our cloud platform deliver benefits to our entire suite of security and compliance solutions, including:</w:t>
      </w:r>
    </w:p>
    <w:p>
      <w:pPr>
        <w:spacing w:after="0" w:line="142" w:lineRule="exact"/>
        <w:rPr>
          <w:sz w:val="20"/>
          <w:szCs w:val="20"/>
          <w:color w:val="auto"/>
        </w:rPr>
      </w:pPr>
    </w:p>
    <w:p>
      <w:pPr>
        <w:ind w:left="660" w:right="48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Dynamic and interactive user interfaces with configurable report templates to present scan data with a wide range of presentation options to match a customer’s needs;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Fast searching of several extensive Qualys data sets, including scan results, asset data, scan profiles, users and vulnerabilities;</w:t>
      </w:r>
    </w:p>
    <w:p>
      <w:pPr>
        <w:spacing w:after="0" w:line="171" w:lineRule="exact"/>
        <w:rPr>
          <w:rFonts w:ascii="Arial" w:cs="Arial" w:eastAsia="Arial" w:hAnsi="Arial"/>
          <w:sz w:val="18"/>
          <w:szCs w:val="18"/>
          <w:color w:val="auto"/>
        </w:rPr>
      </w:pPr>
    </w:p>
    <w:p>
      <w:pPr>
        <w:ind w:left="660" w:right="11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technology for hierarchical asset categorization via dynamic tagging and role-based customer access management;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Distributed scanning platform for global cloud-based environments.</w:t>
      </w:r>
    </w:p>
    <w:p>
      <w:pPr>
        <w:spacing w:after="0" w:line="171"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We also provide open application program interfaces, or APIs, and other developer tools that allow third parties to embed our technology into their solutions and build applications on our cloud platform.</w:t>
      </w:r>
    </w:p>
    <w:p>
      <w:pPr>
        <w:spacing w:after="0" w:line="14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cloud platform is delivered to customers via our shared platform offering from our global data centers or via our private platform offering (Qualys Private Cloud Platform, or PCP), for customers or partners that want the platform to reside within the customer's on-premise data center. The PCP is a standalone version of our multi-layer, multi-tenant services architecture and is a fully integrated turnkey solution, making it more scalable, cost effective and faster to deploy within a customer's on-premise data center. Solutions delivered through our PCP are typically on the same subscription basis as solutions delivered through our shared platform. Our PCP utilizes hardware and software owned by us and physically located on the customer's premises. The customer is not permitted to take possession of the software or access the software code. Our PCP provides our subscription-based platform services to the customer using a virtual version of our software. This virtualized PCP allows us to extend our security and compliance solutions without the complexity and cost associated with deploying traditional enterprise software. Additionally, we introduced in 2016, the Private Cloud Platform Appliance (PCPA), an on-premise security and compliance solution packaged in a form-factor for medium-sized companies.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Suite</w:t>
      </w:r>
    </w:p>
    <w:p>
      <w:pPr>
        <w:spacing w:after="0" w:line="112"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Our suite of solutions, which we refer to as the Qualys Cloud Suite, currently includes ten solutions: Vulnerability Management, Continuous Monitoring, Cloud Agent, AssetView, ThreatPROTECT, Policy Compliance, PCI Compliance, Security Assessment Questionnaire, Web Application Scanning and Web Application Firewall. This integrated set of cloud solutions enables our customers to:</w:t>
      </w:r>
    </w:p>
    <w:p>
      <w:pPr>
        <w:spacing w:after="0" w:line="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Discover and catalogue information assets inside their organization, on the perimeter, on endpoints, or in the cloud;</w:t>
      </w:r>
    </w:p>
    <w:p>
      <w:pPr>
        <w:spacing w:after="0" w:line="90"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assets on an ongoing basis to establish a trusted repository for IT system configurations and to maintain hierarchical relationships between them;</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policies to establish a secure and compliant IT infrastructure and automate ongoing security and compliance assessments of IT systems and applications in accordance with best practices;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Proactively identify and help fix vulnerabilities to mitigate security risks and achieve compliance;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Monitor and measure security and compliance through a unified user interface;</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Distribute security and compliance reports tailored to differing customer needs, including management personnel, auditors and security professionals; and</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 web applications from cyber-attacks in real time.</w:t>
      </w:r>
    </w:p>
    <w:p>
      <w:pPr>
        <w:spacing w:after="0" w:line="171"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auto"/>
        </w:rPr>
        <w:t>Our customers can subscribe to one or more of our security and compliance solutions based on their initial needs and expand their subscriptions over time to new areas within their organization or to additional Qualys solutions. We offer three editions of our Qualys Cloud Suite, the Enterprise edition for large enterprises, the Express edition for medium-sized businesses, and Express Lite for small-sized businesses. Qualys Cloud Suite solutions are described below.</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Vulnerability Management</w:t>
      </w:r>
    </w:p>
    <w:p>
      <w:pPr>
        <w:spacing w:after="0" w:line="108"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Qualys Vulnerability Management, or Qualys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KnowledgeBase of known vulnerabilities, Qualys VM enables cost-effective protection against vulnerabilities without substantial resource deployment.</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Continuous Monitoring</w:t>
      </w:r>
    </w:p>
    <w:p>
      <w:pPr>
        <w:spacing w:after="0" w:line="108"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231F20"/>
        </w:rPr>
        <w:t xml:space="preserve">Qualys </w:t>
      </w:r>
      <w:r>
        <w:rPr>
          <w:rFonts w:ascii="Arial" w:cs="Arial" w:eastAsia="Arial" w:hAnsi="Arial"/>
          <w:sz w:val="18"/>
          <w:szCs w:val="18"/>
          <w:color w:val="000000"/>
        </w:rPr>
        <w:t>Continuous Monitoring</w:t>
      </w:r>
      <w:r>
        <w:rPr>
          <w:rFonts w:ascii="Arial" w:cs="Arial" w:eastAsia="Arial" w:hAnsi="Arial"/>
          <w:sz w:val="18"/>
          <w:szCs w:val="18"/>
          <w:color w:val="231F20"/>
        </w:rPr>
        <w:t xml:space="preserve"> gives our customers the ability to proactively identify threats and unexpected changes for their IT systems, which allows customers to continuously monitor their mission-critical assets and to be alerted to security vulnerabilities or misconfigurations that may make them more susceptible to a cyber-attacks.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Cloud Agents</w:t>
      </w:r>
    </w:p>
    <w:p>
      <w:pPr>
        <w:spacing w:after="0" w:line="108" w:lineRule="exact"/>
        <w:rPr>
          <w:sz w:val="20"/>
          <w:szCs w:val="20"/>
          <w:color w:val="auto"/>
        </w:rPr>
      </w:pPr>
    </w:p>
    <w:p>
      <w:pPr>
        <w:ind w:right="320" w:firstLine="405"/>
        <w:spacing w:after="0" w:line="254" w:lineRule="auto"/>
        <w:rPr>
          <w:sz w:val="20"/>
          <w:szCs w:val="20"/>
          <w:color w:val="auto"/>
        </w:rPr>
      </w:pPr>
      <w:r>
        <w:rPr>
          <w:rFonts w:ascii="Arial" w:cs="Arial" w:eastAsia="Arial" w:hAnsi="Arial"/>
          <w:sz w:val="18"/>
          <w:szCs w:val="18"/>
          <w:color w:val="231F20"/>
        </w:rPr>
        <w:t>Qualys Cloud Agents for VM and Policy Compliance provide lightweight agents (2 MBytes) that can be installed on any host such as a laptop, desktop, server or virtual machine. Qualys Cloud Agents extract and consolidate vulnerability and compliance data and update it continuously within the Qualys Cloud Platform for further analysis and correlation, thus providing a continuous view of the IT security compliance posture of their global network.</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Qualys AssetView</w:t>
      </w:r>
    </w:p>
    <w:p>
      <w:pPr>
        <w:spacing w:after="0" w:line="108"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Qualys AssetView is a free global asset inventory service enabling our customers to search for information on any IT asset, scaling to millions of assets for organizations of all sizes, helping IT and security personnel to search IT assets and maintain an up-to-date inventory on a continuous basis.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ThreatPROTECT</w:t>
      </w:r>
    </w:p>
    <w:p>
      <w:pPr>
        <w:spacing w:after="0" w:line="108" w:lineRule="exact"/>
        <w:rPr>
          <w:sz w:val="20"/>
          <w:szCs w:val="20"/>
          <w:color w:val="auto"/>
        </w:rPr>
      </w:pPr>
    </w:p>
    <w:p>
      <w:pPr>
        <w:ind w:right="540" w:firstLine="405"/>
        <w:spacing w:after="0" w:line="262" w:lineRule="auto"/>
        <w:rPr>
          <w:sz w:val="20"/>
          <w:szCs w:val="20"/>
          <w:color w:val="auto"/>
        </w:rPr>
      </w:pPr>
      <w:r>
        <w:rPr>
          <w:rFonts w:ascii="Arial" w:cs="Arial" w:eastAsia="Arial" w:hAnsi="Arial"/>
          <w:sz w:val="18"/>
          <w:szCs w:val="18"/>
          <w:color w:val="231F20"/>
        </w:rPr>
        <w:t>Qualys ThreatPROTECT correlates data from vulnerability scans and active threat data from multiple sources into a single dynamic dashboard to provide our customers a holistic and contextual view of their threat exposure.</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Policy Compliance</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Qualys Policy Compliance, or Qualys PC, allows our customers to analyze and collect configuration and access control information from their networked devices and web applications and automatically maps this information to internal policies and external regulations in order to document compliance. Qualys PC is fully automated and helps reduce customers’ cost of compliance without requiring the use of software agents. It can be either performed via our network scanners (hardware or virtual) or via our Cloud Agents.</w:t>
      </w:r>
    </w:p>
    <w:p>
      <w:pPr>
        <w:spacing w:after="0" w:line="69"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Qualys Policy Compliance Questionnaire, an additional Qualys PC offering, enables our customers to assess business processes and vendor risk against standards and mandates such as PCI-DSS, HIPAA, COBIT and ISO 27001/2.</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PCI Compliance</w:t>
      </w:r>
    </w:p>
    <w:p>
      <w:pPr>
        <w:spacing w:after="0" w:line="108" w:lineRule="exact"/>
        <w:rPr>
          <w:sz w:val="20"/>
          <w:szCs w:val="20"/>
          <w:color w:val="auto"/>
        </w:rPr>
      </w:pPr>
    </w:p>
    <w:p>
      <w:pPr>
        <w:jc w:val="both"/>
        <w:ind w:right="80" w:firstLine="405"/>
        <w:spacing w:after="0" w:line="256" w:lineRule="auto"/>
        <w:rPr>
          <w:sz w:val="20"/>
          <w:szCs w:val="20"/>
          <w:color w:val="auto"/>
        </w:rPr>
      </w:pPr>
      <w:r>
        <w:rPr>
          <w:rFonts w:ascii="Arial" w:cs="Arial" w:eastAsia="Arial" w:hAnsi="Arial"/>
          <w:sz w:val="18"/>
          <w:szCs w:val="18"/>
          <w:color w:val="auto"/>
        </w:rPr>
        <w:t>Qualys PCI Compliance, or Qualys PCI, provides our customers that store cardholder data a cost-effective and highly automated solution to verify and document compliance with PCI DSS. Qualys PCI allows merchants to complete the annual PCI Self-Assessment Questionnaire, or SAQ</w:t>
      </w:r>
      <w:r>
        <w:rPr>
          <w:rFonts w:ascii="Arial" w:cs="Arial" w:eastAsia="Arial" w:hAnsi="Arial"/>
          <w:sz w:val="18"/>
          <w:szCs w:val="18"/>
          <w:b w:val="1"/>
          <w:bCs w:val="1"/>
          <w:color w:val="auto"/>
        </w:rPr>
        <w:t>,</w:t>
      </w:r>
      <w:r>
        <w:rPr>
          <w:rFonts w:ascii="Arial" w:cs="Arial" w:eastAsia="Arial" w:hAnsi="Arial"/>
          <w:sz w:val="18"/>
          <w:szCs w:val="18"/>
          <w:color w:val="auto"/>
        </w:rPr>
        <w:t xml:space="preserve"> to perform vulnerability scanning for quarterly PCI audits and to meet the demands of PCI for web application security.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Security Assessment Questionnaire</w:t>
      </w:r>
    </w:p>
    <w:p>
      <w:pPr>
        <w:spacing w:after="0" w:line="10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Qualys Security Assessment Questionnaire enables our customers to better orchestrate security assessments or compliance audits with automated validation. Qualys SAQ enables our customers to better consolidate and orchestrate their assessment of third-party business processes and vendor risk by centrally capturing all relevant information from technical and human sources, drastically reducing time and cost. The service also allows our customers to demonstrate compliance against internal policies, standards and mandates such as PCI-DSS, HIPAA, COBIT and ISO 27001/2.</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Web Application Scanning</w:t>
      </w:r>
    </w:p>
    <w:p>
      <w:pPr>
        <w:spacing w:after="0" w:line="108"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Qualys Web Application Scanning, or Qualys WAS, uses the scalability of our cloud platform to allow customers to discover, catalog and scan a large number of web applications. Qualys WAS scans and analyzes custom web applications and identifies vulnerabilities that threaten underlying databases or bypass access controls. These web applications are often the main attack vectors for cyber-attackers.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Web Application Firewall</w:t>
      </w:r>
    </w:p>
    <w:p>
      <w:pPr>
        <w:spacing w:after="0" w:line="108"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Qualys Web Application Firewall, or Qualys WAF, currently is in limited release, it delivers enterprise-grade web application security without the costs, footprint, and complexity associated with appliance-based web application firewall solutions. It is designed to protect web applications from attack vectors by enhancing default web application configurations and virtual patching. Qualys WAF can improve website performance by reducing page load times and optimizing bandwidth.</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Core Services</w:t>
      </w:r>
    </w:p>
    <w:p>
      <w:pPr>
        <w:spacing w:after="0" w:line="112"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Our Core Services include:</w:t>
      </w:r>
    </w:p>
    <w:p>
      <w:pPr>
        <w:spacing w:after="0" w:line="43" w:lineRule="exact"/>
        <w:rPr>
          <w:sz w:val="20"/>
          <w:szCs w:val="20"/>
          <w:color w:val="auto"/>
        </w:rPr>
      </w:pPr>
    </w:p>
    <w:p>
      <w:pPr>
        <w:ind w:left="660" w:right="10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IT environments and automates the process of inventory management and hierarchical organization of IT assets. Built on top of this core service is the Qualys AssetView service, which is a global asset inventory service enabling our customers to search for information on any IT asset, scaling to millions of assets for customers of all sizes, helping IT and security personnel to search IT assets and maintain an up-to-date inventory on a continuous basis.</w:t>
      </w:r>
    </w:p>
    <w:p>
      <w:pPr>
        <w:spacing w:after="0" w:line="48" w:lineRule="exact"/>
        <w:rPr>
          <w:rFonts w:ascii="Arial" w:cs="Arial" w:eastAsia="Arial" w:hAnsi="Arial"/>
          <w:sz w:val="18"/>
          <w:szCs w:val="18"/>
          <w:color w:val="auto"/>
        </w:rPr>
      </w:pPr>
    </w:p>
    <w:p>
      <w:pPr>
        <w:ind w:left="660" w:right="26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roles and access privileges.</w:t>
      </w:r>
    </w:p>
    <w:p>
      <w:pPr>
        <w:spacing w:after="0" w:line="26" w:lineRule="exact"/>
        <w:rPr>
          <w:rFonts w:ascii="Arial" w:cs="Arial" w:eastAsia="Arial" w:hAnsi="Arial"/>
          <w:sz w:val="18"/>
          <w:szCs w:val="18"/>
          <w:color w:val="auto"/>
        </w:rPr>
      </w:pPr>
    </w:p>
    <w:p>
      <w:pPr>
        <w:ind w:left="660" w:right="60" w:hanging="328"/>
        <w:spacing w:after="0" w:line="282"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Questionnaires and Collaboration. </w:t>
      </w:r>
      <w:r>
        <w:rPr>
          <w:rFonts w:ascii="Arial" w:cs="Arial" w:eastAsia="Arial" w:hAnsi="Arial"/>
          <w:sz w:val="18"/>
          <w:szCs w:val="18"/>
          <w:color w:val="auto"/>
        </w:rPr>
        <w:t>A configurable workflow engine that enables customers to easily build questionnaires and capture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business processes and workflows to evaluate controls and gather evidence to validate and document compliance.</w:t>
      </w:r>
    </w:p>
    <w:p>
      <w:pPr>
        <w:spacing w:after="0" w:line="26" w:lineRule="exact"/>
        <w:rPr>
          <w:rFonts w:ascii="Arial" w:cs="Arial" w:eastAsia="Arial" w:hAnsi="Arial"/>
          <w:sz w:val="18"/>
          <w:szCs w:val="18"/>
          <w:i w:val="1"/>
          <w:iCs w:val="1"/>
          <w:color w:val="auto"/>
        </w:rPr>
      </w:pPr>
    </w:p>
    <w:p>
      <w:pPr>
        <w:ind w:left="660" w:right="3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Remediation and Workflow. </w:t>
      </w:r>
      <w:r>
        <w:rPr>
          <w:rFonts w:ascii="Arial" w:cs="Arial" w:eastAsia="Arial" w:hAnsi="Arial"/>
          <w:sz w:val="18"/>
          <w:szCs w:val="18"/>
          <w:color w:val="auto"/>
        </w:rPr>
        <w:t>An integrated workflow engine that allows customers to automatically generate helpdesk tickets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remediation and to manage compliance exceptions based on customer-defined policies, enabling subsequent review, commentary, tracking and escalation. This engine automatically distributes remediation tasks to IT administrators upon scan completion, tracks remediation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1"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progress and closes open tickets once patches are applied and remediation is verified in subsequent scans.</w:t>
      </w:r>
    </w:p>
    <w:p>
      <w:pPr>
        <w:spacing w:after="0" w:line="86" w:lineRule="exact"/>
        <w:rPr>
          <w:sz w:val="20"/>
          <w:szCs w:val="20"/>
          <w:color w:val="auto"/>
        </w:rPr>
      </w:pPr>
    </w:p>
    <w:p>
      <w:pPr>
        <w:ind w:left="66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Big Data Correlation and Analytics Engine</w:t>
      </w:r>
      <w:r>
        <w:rPr>
          <w:rFonts w:ascii="Arial" w:cs="Arial" w:eastAsia="Arial" w:hAnsi="Arial"/>
          <w:sz w:val="18"/>
          <w:szCs w:val="18"/>
          <w:color w:val="auto"/>
        </w:rPr>
        <w:t>. Provides capabilities for indexing, searching and correlating large amounts of security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data with other security incidents and third-party security intelligence data. Embedded workflows enable customers to quickly assess risk and access information for remediation, incident analysis and forensic investigations.</w:t>
      </w:r>
    </w:p>
    <w:p>
      <w:pPr>
        <w:spacing w:after="0" w:line="41"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open trouble tickets and system updates.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Infrastructure</w:t>
      </w:r>
    </w:p>
    <w:p>
      <w:pPr>
        <w:spacing w:after="0" w:line="11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Our infrastructure layer, which we refer to as our Infrastructure, includes the data, data processing capabilities, software and hardware infrastructure and infrastructure management capabilities that provide the foundation for our cloud platform and allow us to automatically scale our Infrastructure and Core Services to scan millions of IPs. Each Infrastructure service is described below:</w:t>
      </w:r>
    </w:p>
    <w:p>
      <w:pPr>
        <w:spacing w:after="0" w:line="49" w:lineRule="exact"/>
        <w:rPr>
          <w:sz w:val="20"/>
          <w:szCs w:val="20"/>
          <w:color w:val="auto"/>
        </w:rPr>
      </w:pPr>
    </w:p>
    <w:p>
      <w:pPr>
        <w:ind w:left="660" w:right="2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Scalable Capacity</w:t>
      </w:r>
      <w:r>
        <w:rPr>
          <w:rFonts w:ascii="Arial" w:cs="Arial" w:eastAsia="Arial" w:hAnsi="Arial"/>
          <w:sz w:val="18"/>
          <w:szCs w:val="18"/>
          <w:color w:val="auto"/>
        </w:rPr>
        <w:t>. We have designed a modular and scalable infrastructure that leverages virtualization and cloud technologies.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allows our operations team to dynamically allocate additional capacity on-demand across our entire Qualys Cloud Platform to address the growth and scalability of our solutions.</w:t>
      </w:r>
    </w:p>
    <w:p>
      <w:pPr>
        <w:spacing w:after="0" w:line="41" w:lineRule="exact"/>
        <w:rPr>
          <w:rFonts w:ascii="Arial" w:cs="Arial" w:eastAsia="Arial" w:hAnsi="Arial"/>
          <w:sz w:val="18"/>
          <w:szCs w:val="18"/>
          <w:color w:val="auto"/>
        </w:rPr>
      </w:pPr>
    </w:p>
    <w:p>
      <w:pPr>
        <w:jc w:val="both"/>
        <w:ind w:left="660" w:right="280" w:hanging="328"/>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Big Data Indexing and Storage. </w:t>
      </w:r>
      <w:r>
        <w:rPr>
          <w:rFonts w:ascii="Arial" w:cs="Arial" w:eastAsia="Arial" w:hAnsi="Arial"/>
          <w:sz w:val="18"/>
          <w:szCs w:val="18"/>
          <w:color w:val="auto"/>
        </w:rPr>
        <w:t>Built on top of our secure data storage model, this engine indexes petabytes of data and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real-time to execute tags or rules to dynamically update IT assets’ properties, which are used in various workflows for scanning, reporting and remediation.</w:t>
      </w:r>
    </w:p>
    <w:p>
      <w:pPr>
        <w:spacing w:after="0" w:line="4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Qualys KnowledgeBase. Qualys </w:t>
      </w:r>
      <w:r>
        <w:rPr>
          <w:rFonts w:ascii="Arial" w:cs="Arial" w:eastAsia="Arial" w:hAnsi="Arial"/>
          <w:sz w:val="18"/>
          <w:szCs w:val="18"/>
          <w:color w:val="auto"/>
        </w:rPr>
        <w:t>relies on our comprehensive repository, which we refer to as our KnowledgeBase, of known</w:t>
      </w:r>
      <w:r>
        <w:rPr>
          <w:rFonts w:ascii="Arial" w:cs="Arial" w:eastAsia="Arial" w:hAnsi="Arial"/>
          <w:sz w:val="18"/>
          <w:szCs w:val="18"/>
          <w:i w:val="1"/>
          <w:iCs w:val="1"/>
          <w:color w:val="auto"/>
        </w:rPr>
        <w:t xml:space="preserve"> </w:t>
      </w:r>
      <w:r>
        <w:rPr>
          <w:rFonts w:ascii="Arial" w:cs="Arial" w:eastAsia="Arial" w:hAnsi="Arial"/>
          <w:sz w:val="18"/>
          <w:szCs w:val="18"/>
          <w:color w:val="auto"/>
        </w:rPr>
        <w:t>vulnerabilities and compliance controls for a wide range of devices, technologies and applications that powers our security and compliance scanning technology. We update our KnowledgeBase daily with signatures for new vulnerabilities, control checks, validated fixes and improvements.</w:t>
      </w:r>
    </w:p>
    <w:p>
      <w:pPr>
        <w:spacing w:after="0" w:line="44" w:lineRule="exact"/>
        <w:rPr>
          <w:rFonts w:ascii="Arial" w:cs="Arial" w:eastAsia="Arial" w:hAnsi="Arial"/>
          <w:sz w:val="18"/>
          <w:szCs w:val="18"/>
          <w:color w:val="auto"/>
        </w:rPr>
      </w:pPr>
    </w:p>
    <w:p>
      <w:pPr>
        <w:ind w:left="660" w:right="24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Managed Scanner Appliances. </w:t>
      </w:r>
      <w:r>
        <w:rPr>
          <w:rFonts w:ascii="Arial" w:cs="Arial" w:eastAsia="Arial" w:hAnsi="Arial"/>
          <w:sz w:val="18"/>
          <w:szCs w:val="18"/>
          <w:color w:val="auto"/>
        </w:rPr>
        <w:t>As part of our cloud platform, we host and operate a large number of globally distributed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scanner appliances that our customers use to scan their externally facing systems and web applications. To scan internal IT assets, customers can also deploy our scanners, which are available on a subscription basis as physical appliances or downloadable virtual images, within their internal networks. Our scanner appliances self-update daily in a transparent manner using our automated and proprietary scan management technology. These scanner appliances allow us to scale our cloud platform to scan networked devices and web applications across our customers’ networks around the world.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4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We market and sell our solutions to enterprises, government entities and to small and medium-sized businesses across a broad range of industries, including education, financial services, government, healthcare, insurance, manufacturing, media, retail, technology and utilities. As of December 31, 2016, we had over 9,300 customers, excluding security consulting firms, in more than 100 countries, including a majority of each of the Forbes Global 100 and Fortune 100. In eac</w:t>
      </w:r>
      <w:r>
        <w:rPr>
          <w:rFonts w:ascii="Arial" w:cs="Arial" w:eastAsia="Arial" w:hAnsi="Arial"/>
          <w:sz w:val="18"/>
          <w:szCs w:val="18"/>
          <w:color w:val="000000"/>
        </w:rPr>
        <w:t>h of 2016, 2015 and 2014, no one customer accounted for more than 10% of our</w:t>
      </w:r>
      <w:r>
        <w:rPr>
          <w:rFonts w:ascii="Arial" w:cs="Arial" w:eastAsia="Arial" w:hAnsi="Arial"/>
          <w:sz w:val="18"/>
          <w:szCs w:val="18"/>
          <w:color w:val="231F20"/>
        </w:rPr>
        <w:t xml:space="preserve"> </w:t>
      </w:r>
      <w:r>
        <w:rPr>
          <w:rFonts w:ascii="Arial" w:cs="Arial" w:eastAsia="Arial" w:hAnsi="Arial"/>
          <w:sz w:val="18"/>
          <w:szCs w:val="18"/>
          <w:color w:val="000000"/>
        </w:rPr>
        <w:t>revenues. In 2016, 2015 and 2014, 71%</w:t>
      </w:r>
      <w:r>
        <w:rPr>
          <w:rFonts w:ascii="Arial" w:cs="Arial" w:eastAsia="Arial" w:hAnsi="Arial"/>
          <w:sz w:val="18"/>
          <w:szCs w:val="18"/>
          <w:color w:val="231F20"/>
        </w:rPr>
        <w:t>, 70% and 70% respectively, of our revenues were derived from customers in the United States. We</w:t>
      </w:r>
      <w:r>
        <w:rPr>
          <w:rFonts w:ascii="Arial" w:cs="Arial" w:eastAsia="Arial" w:hAnsi="Arial"/>
          <w:sz w:val="18"/>
          <w:szCs w:val="18"/>
          <w:color w:val="000000"/>
        </w:rPr>
        <w:t xml:space="preserve"> </w:t>
      </w:r>
      <w:r>
        <w:rPr>
          <w:rFonts w:ascii="Arial" w:cs="Arial" w:eastAsia="Arial" w:hAnsi="Arial"/>
          <w:sz w:val="18"/>
          <w:szCs w:val="18"/>
          <w:color w:val="231F20"/>
        </w:rPr>
        <w:t>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112"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42"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Our global sales force is organized into a field sales team, which focuses on enterprises, generally including organizations with more than 5,000 employees, and an inside sales team, which focuses on small to medium businesses, which generally include organizations with less than 5,000 employees. Both our field and inside sales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teams are divided into three geographic regions, including the Americas; Europe, Middle East and Africa; and Asia-Pacific. We also further segment each of our sales teams into groups that focus on adding new customers or managing relationships with existing customers.</w:t>
      </w:r>
    </w:p>
    <w:p>
      <w:pPr>
        <w:spacing w:after="0" w:line="14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Deutsche Telekom AG, Fujitsu, Hewlett Packard Enterprise, Insight Technologies, Inc., Optiv Security, Inc., SecureWorks Corp, and Verizon Communications Inc.</w:t>
      </w:r>
    </w:p>
    <w:p>
      <w:pPr>
        <w:spacing w:after="0" w:line="15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2016, 2015 and 2014, 42%, 39% and 39% respectively, of our revenues were generated by channel partners.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112" w:lineRule="exact"/>
        <w:rPr>
          <w:sz w:val="20"/>
          <w:szCs w:val="20"/>
          <w:color w:val="auto"/>
        </w:rPr>
      </w:pPr>
    </w:p>
    <w:p>
      <w:pPr>
        <w:jc w:val="both"/>
        <w:ind w:right="140" w:firstLine="405"/>
        <w:spacing w:after="0" w:line="262"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42"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12"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deliver 24x7x365 day customer technical support from centers located in Redwood City, California; Raleigh, North Carolina; Reading, United Kingdom; and Pune, India. We recruit senior level technical personnel and trained subject matter experts who work closely with engineering and operations personnel to resolve issues quickly. Our security and compliance solutions can be deployed easily and are designed to be implemented and operated without the need for significant professional services. We also offer various training programs as part of our subscriptions to all of our customers. We believe that our customer support helps ensure customer satisfaction and is critical to retaining and expanding our customer base. In addition, we leverage the insights drawn from our customers to further improve the functionality of our security and compliance 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11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devote significant resources to maintain, enhance and add new functionality to our Qualys Cloud Platform and the integrated suite of solutions that we offer. Our development organization consists of agile engineering teams with substantial security expertise in specific areas of our solutions. In addition to our development teams, we have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India, and the United Kingdom, which gives us access to some of the best research and engineering talent in the world. Our focus remains to attract engineering talent as we continue to add new solutions and improve existing ones.</w:t>
      </w:r>
    </w:p>
    <w:p>
      <w:pPr>
        <w:spacing w:after="0" w:line="15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expenses were $35.3 million, $29.5 million and $26.3 million for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12"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Our physical appliances are provided by SYNNEX Corporation, or SYNNEX, pursuant to a manufacturing services agreement dated March 1, 2011. Under this agreement, SYNNEX manufactures, assembles and tests our physical scanner appliances. This agreement has an initial term of one year, which is automatically renewed for additional one-year terms, unless terminated (i) at anytime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Data Center Agreements</w:t>
      </w:r>
    </w:p>
    <w:p>
      <w:pPr>
        <w:spacing w:after="0" w:line="112"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color w:val="auto"/>
        </w:rPr>
        <w:t>Our data center operations are provided by large third-party data center vendors and are located in the United States, Switzerland, the Netherlands and India. Our data center agreements have varying terms through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2"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auto"/>
        </w:rPr>
        <w:t>The expanding capabilities of our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48"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compete with large public companies, such as Barracuda Networks, Hewlett-Packard Company, Imperva, Inc., International Business Machines Corporation, Rapid7, Inc. and Symantec Corporation, as well as privately held security providers including BeyondTrust Software, Inc., McAfee, NetIQ Corporation, Tenable Network Security, Inc., Tripwire,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w:t>
      </w:r>
    </w:p>
    <w:p>
      <w:pPr>
        <w:spacing w:after="0" w:line="15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believe that the principal competitive factors affecting the market for cloud-based security and compliance solutions include product functionality, breadth of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rely on a combination of trade secrets, copyrights, patents and trademarks, as well as contractual protections, to establish and protect our intellectual property rights and protect our proprietary technology. We have six issued patents, several pending U.S. patent applications and an exclusive license to four U.S. patents, which was obtained in connection with our acquisition of Nemean.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41"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proprietary information. We view our trade secrets and know-how as a significant component of our intellectual property assets, as we have spent years designing and developing our Qualys Cloud Platform, which we believe differentiates us from our competitors.</w:t>
      </w:r>
    </w:p>
    <w:p>
      <w:pPr>
        <w:spacing w:after="0" w:line="14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2"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As of December 31, 2016, we had 684 full-time employees, including 285 in research and development, 179 in sales and marketing, 136 in operations and customer support and 84 in general and administrative. As of December 31, 2016, we had 344 employees in the United States and 340 employees internationally. None of our U.S. employees are covered by collective bargaining agreements. Employees in certain European countries have collective bargaining arrangements at the national level. We believe our employee relations are good and we have not experienced any work stoppages.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Our principal executive offices are located at 1600 Bridge Parkway, Redwood City, California 94065.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6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www.qualys.com</w:t>
      </w:r>
      <w:r>
        <w:rPr>
          <w:rFonts w:ascii="Arial" w:cs="Arial" w:eastAsia="Arial" w:hAnsi="Arial"/>
          <w:sz w:val="18"/>
          <w:szCs w:val="18"/>
          <w:color w:val="auto"/>
        </w:rPr>
        <w:t xml:space="preserve"> as soon as reasonably practicable after they are electronically filed with or furnished to the Securities and Exchange Commission or SEC. Additionally, copies of materials filed by us with the SEC may be accessed at the SEC's Public Reference Room at 100 F Street, N.E., Washington, D.C. 20549 or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For information about the SEC's Public Reference Room, contact 1-800-SEC-0330.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12"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For a description of our revenue and property and equipment by geographic location, see Note 9 to our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Subscriptions to our Qualys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derived approximately 76%, </w:t>
      </w:r>
      <w:r>
        <w:rPr>
          <w:rFonts w:ascii="Arial" w:cs="Arial" w:eastAsia="Arial" w:hAnsi="Arial"/>
          <w:sz w:val="18"/>
          <w:szCs w:val="18"/>
          <w:color w:val="000000"/>
        </w:rPr>
        <w:t>77%</w:t>
      </w:r>
      <w:r>
        <w:rPr>
          <w:rFonts w:ascii="Arial" w:cs="Arial" w:eastAsia="Arial" w:hAnsi="Arial"/>
          <w:sz w:val="18"/>
          <w:szCs w:val="18"/>
          <w:color w:val="231F20"/>
        </w:rPr>
        <w:t xml:space="preserve"> and 80% of our revenues from subscriptions to our VM Solutions for the years ended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w:t>
      </w:r>
      <w:r>
        <w:rPr>
          <w:rFonts w:ascii="Arial" w:cs="Arial" w:eastAsia="Arial" w:hAnsi="Arial"/>
          <w:sz w:val="18"/>
          <w:szCs w:val="18"/>
          <w:color w:val="000000"/>
        </w:rPr>
        <w:t xml:space="preserve"> 2015 </w:t>
      </w:r>
      <w:r>
        <w:rPr>
          <w:rFonts w:ascii="Arial" w:cs="Arial" w:eastAsia="Arial" w:hAnsi="Arial"/>
          <w:sz w:val="18"/>
          <w:szCs w:val="18"/>
          <w:color w:val="231F20"/>
        </w:rPr>
        <w:t>and</w:t>
      </w:r>
      <w:r>
        <w:rPr>
          <w:rFonts w:ascii="Arial" w:cs="Arial" w:eastAsia="Arial" w:hAnsi="Arial"/>
          <w:sz w:val="18"/>
          <w:szCs w:val="18"/>
          <w:color w:val="000000"/>
        </w:rPr>
        <w:t xml:space="preserve"> 2014</w:t>
      </w:r>
      <w:r>
        <w:rPr>
          <w:rFonts w:ascii="Arial" w:cs="Arial" w:eastAsia="Arial" w:hAnsi="Arial"/>
          <w:sz w:val="18"/>
          <w:szCs w:val="18"/>
          <w:color w:val="231F20"/>
        </w:rPr>
        <w:t>, respectively. In</w:t>
      </w:r>
      <w:r>
        <w:rPr>
          <w:rFonts w:ascii="Arial" w:cs="Arial" w:eastAsia="Arial" w:hAnsi="Arial"/>
          <w:sz w:val="18"/>
          <w:szCs w:val="18"/>
          <w:color w:val="000000"/>
        </w:rPr>
        <w:t xml:space="preserve"> 2016</w:t>
      </w:r>
      <w:r>
        <w:rPr>
          <w:rFonts w:ascii="Arial" w:cs="Arial" w:eastAsia="Arial" w:hAnsi="Arial"/>
          <w:sz w:val="18"/>
          <w:szCs w:val="18"/>
          <w:color w:val="231F20"/>
        </w:rPr>
        <w:t>, our VM Solutions included revenues from VM, Private Cloud Platform, Continuous Monitoring,</w:t>
      </w:r>
      <w:r>
        <w:rPr>
          <w:rFonts w:ascii="Arial" w:cs="Arial" w:eastAsia="Arial" w:hAnsi="Arial"/>
          <w:sz w:val="18"/>
          <w:szCs w:val="18"/>
          <w:color w:val="000000"/>
        </w:rPr>
        <w:t xml:space="preserve"> </w:t>
      </w:r>
      <w:r>
        <w:rPr>
          <w:rFonts w:ascii="Arial" w:cs="Arial" w:eastAsia="Arial" w:hAnsi="Arial"/>
          <w:sz w:val="18"/>
          <w:szCs w:val="18"/>
          <w:color w:val="231F20"/>
        </w:rPr>
        <w:t xml:space="preserve">Cloud Agent for VM, AssetView, and ThreatPROTECT. In </w:t>
      </w:r>
      <w:r>
        <w:rPr>
          <w:rFonts w:ascii="Arial" w:cs="Arial" w:eastAsia="Arial" w:hAnsi="Arial"/>
          <w:sz w:val="18"/>
          <w:szCs w:val="18"/>
          <w:color w:val="000000"/>
        </w:rPr>
        <w:t>2015</w:t>
      </w:r>
      <w:r>
        <w:rPr>
          <w:rFonts w:ascii="Arial" w:cs="Arial" w:eastAsia="Arial" w:hAnsi="Arial"/>
          <w:sz w:val="18"/>
          <w:szCs w:val="18"/>
          <w:color w:val="231F20"/>
        </w:rPr>
        <w:t xml:space="preserve">, our VM Solutions included revenues from VM, Private Cloud Platform, Continuous Monitoring and Cloud Agent for VM. In </w:t>
      </w:r>
      <w:r>
        <w:rPr>
          <w:rFonts w:ascii="Arial" w:cs="Arial" w:eastAsia="Arial" w:hAnsi="Arial"/>
          <w:sz w:val="18"/>
          <w:szCs w:val="18"/>
          <w:color w:val="000000"/>
        </w:rPr>
        <w:t>2014</w:t>
      </w:r>
      <w:r>
        <w:rPr>
          <w:rFonts w:ascii="Arial" w:cs="Arial" w:eastAsia="Arial" w:hAnsi="Arial"/>
          <w:sz w:val="18"/>
          <w:szCs w:val="18"/>
          <w:color w:val="231F20"/>
        </w:rPr>
        <w:t xml:space="preserve">, our VM Solutions included revenues from VM, Private Cloud Platform and Continuous Monitoring. In prior 10-Q and 10-K filings, we had included all revenues from scanners and credits for prepaid services in our VM Solutions revenues. In the fourth quarter of 2016, we changed the methodology to allocate revenues from scanners and credits across our products. Based on the prior methodology, our VM Solutions would have made up 78% of total revenues in </w:t>
      </w:r>
      <w:r>
        <w:rPr>
          <w:rFonts w:ascii="Arial" w:cs="Arial" w:eastAsia="Arial" w:hAnsi="Arial"/>
          <w:sz w:val="18"/>
          <w:szCs w:val="18"/>
          <w:color w:val="000000"/>
        </w:rPr>
        <w:t>2016</w:t>
      </w:r>
      <w:r>
        <w:rPr>
          <w:rFonts w:ascii="Arial" w:cs="Arial" w:eastAsia="Arial" w:hAnsi="Arial"/>
          <w:sz w:val="18"/>
          <w:szCs w:val="18"/>
          <w:color w:val="231F20"/>
        </w:rPr>
        <w:t xml:space="preserve">, down 1% from 79% in </w:t>
      </w:r>
      <w:r>
        <w:rPr>
          <w:rFonts w:ascii="Arial" w:cs="Arial" w:eastAsia="Arial" w:hAnsi="Arial"/>
          <w:sz w:val="18"/>
          <w:szCs w:val="18"/>
          <w:color w:val="000000"/>
        </w:rPr>
        <w:t>2015</w:t>
      </w:r>
      <w:r>
        <w:rPr>
          <w:rFonts w:ascii="Arial" w:cs="Arial" w:eastAsia="Arial" w:hAnsi="Arial"/>
          <w:sz w:val="18"/>
          <w:szCs w:val="18"/>
          <w:color w:val="231F20"/>
        </w:rPr>
        <w:t>.</w:t>
      </w:r>
    </w:p>
    <w:p>
      <w:pPr>
        <w:spacing w:after="0" w:line="20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Vulnerability Management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1"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invoicing or change in billing terms of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1"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31F20"/>
        </w:rPr>
        <w:t>budgets on these products and may not adopt our security and compliance solutions in addition to or as a replacement for such products.</w:t>
      </w:r>
    </w:p>
    <w:p>
      <w:pPr>
        <w:spacing w:after="0" w:line="225"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9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 Vulnerability Management for our business and revenues to grow as we expect. Revenues from our other solutions such as Policy Compliance, PCI Compliance, Security Assessment Questionnaire, Web Application Scanning, and Web Application Firewall have been relatively modest compared to revenues from our Qualys Vulnerability Management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13" w:lineRule="exact"/>
        <w:rPr>
          <w:sz w:val="20"/>
          <w:szCs w:val="20"/>
          <w:color w:val="auto"/>
        </w:rPr>
      </w:pPr>
    </w:p>
    <w:p>
      <w:pPr>
        <w:ind w:right="380"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40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six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right="360" w:firstLine="405"/>
        <w:spacing w:after="0" w:line="252"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Symantec Corporation and Rapid7, Inc., as well as 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ind w:right="580" w:firstLine="405"/>
        <w:spacing w:after="0" w:line="262"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231F20"/>
        </w:rPr>
        <w:t>performance, customer support and extensibility of platform. Many of our existing and potential competitors have competitive advantages, including:</w:t>
      </w:r>
    </w:p>
    <w:p>
      <w:pPr>
        <w:spacing w:after="0" w:line="8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4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60" w:firstLine="405"/>
        <w:spacing w:after="0" w:line="250"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47" w:lineRule="exact"/>
        <w:rPr>
          <w:sz w:val="20"/>
          <w:szCs w:val="20"/>
          <w:color w:val="auto"/>
        </w:rPr>
      </w:pPr>
    </w:p>
    <w:p>
      <w:pPr>
        <w:ind w:right="140" w:firstLine="392"/>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19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231F20"/>
        </w:rPr>
        <w:t>solutions could result in customer dissatisfaction, impact the perceived reliability of our solutions, result in negative press coverage, negatively affect our reputation and harm our financial results.</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jc w:val="both"/>
        <w:ind w:right="260" w:firstLine="405"/>
        <w:spacing w:after="0" w:line="256"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31F20"/>
        </w:rPr>
        <w:t>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 xml:space="preserve">In addition, as of </w:t>
      </w:r>
      <w:r>
        <w:rPr>
          <w:rFonts w:ascii="Arial" w:cs="Arial" w:eastAsia="Arial" w:hAnsi="Arial"/>
          <w:sz w:val="18"/>
          <w:szCs w:val="18"/>
          <w:color w:val="000000"/>
        </w:rPr>
        <w:t>December 31, 2016</w:t>
      </w:r>
      <w:r>
        <w:rPr>
          <w:rFonts w:ascii="Arial" w:cs="Arial" w:eastAsia="Arial" w:hAnsi="Arial"/>
          <w:sz w:val="18"/>
          <w:szCs w:val="18"/>
          <w:color w:val="231F20"/>
        </w:rPr>
        <w:t>, approximately 50% of our employees were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60" w:firstLine="405"/>
        <w:spacing w:after="0" w:line="25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2014</w:t>
      </w:r>
      <w:r>
        <w:rPr>
          <w:rFonts w:ascii="Arial" w:cs="Arial" w:eastAsia="Arial" w:hAnsi="Arial"/>
          <w:sz w:val="18"/>
          <w:szCs w:val="18"/>
          <w:color w:val="231F20"/>
        </w:rPr>
        <w:t xml:space="preserve"> to </w:t>
      </w:r>
      <w:r>
        <w:rPr>
          <w:rFonts w:ascii="Arial" w:cs="Arial" w:eastAsia="Arial" w:hAnsi="Arial"/>
          <w:sz w:val="18"/>
          <w:szCs w:val="18"/>
          <w:color w:val="000000"/>
        </w:rPr>
        <w:t>2016</w:t>
      </w:r>
      <w:r>
        <w:rPr>
          <w:rFonts w:ascii="Arial" w:cs="Arial" w:eastAsia="Arial" w:hAnsi="Arial"/>
          <w:sz w:val="18"/>
          <w:szCs w:val="18"/>
          <w:color w:val="231F20"/>
        </w:rPr>
        <w:t xml:space="preserve">, our revenues have grown from $133.6 million to </w:t>
      </w:r>
      <w:r>
        <w:rPr>
          <w:rFonts w:ascii="Arial" w:cs="Arial" w:eastAsia="Arial" w:hAnsi="Arial"/>
          <w:sz w:val="18"/>
          <w:szCs w:val="18"/>
          <w:color w:val="000000"/>
        </w:rPr>
        <w:t>$197.9 million</w:t>
      </w:r>
      <w:r>
        <w:rPr>
          <w:rFonts w:ascii="Arial" w:cs="Arial" w:eastAsia="Arial" w:hAnsi="Arial"/>
          <w:sz w:val="18"/>
          <w:szCs w:val="18"/>
          <w:color w:val="231F20"/>
        </w:rPr>
        <w:t>, and our headcount increased from 431 employees at the beginning of</w:t>
      </w:r>
      <w:r>
        <w:rPr>
          <w:rFonts w:ascii="Arial" w:cs="Arial" w:eastAsia="Arial" w:hAnsi="Arial"/>
          <w:sz w:val="18"/>
          <w:szCs w:val="18"/>
          <w:color w:val="000000"/>
        </w:rPr>
        <w:t xml:space="preserve"> 2014 </w:t>
      </w:r>
      <w:r>
        <w:rPr>
          <w:rFonts w:ascii="Arial" w:cs="Arial" w:eastAsia="Arial" w:hAnsi="Arial"/>
          <w:sz w:val="18"/>
          <w:szCs w:val="18"/>
          <w:color w:val="231F20"/>
        </w:rPr>
        <w:t>to</w:t>
      </w:r>
      <w:r>
        <w:rPr>
          <w:rFonts w:ascii="Arial" w:cs="Arial" w:eastAsia="Arial" w:hAnsi="Arial"/>
          <w:sz w:val="18"/>
          <w:szCs w:val="18"/>
          <w:color w:val="000000"/>
        </w:rPr>
        <w:t xml:space="preserve"> 684 </w:t>
      </w:r>
      <w:r>
        <w:rPr>
          <w:rFonts w:ascii="Arial" w:cs="Arial" w:eastAsia="Arial" w:hAnsi="Arial"/>
          <w:sz w:val="18"/>
          <w:szCs w:val="18"/>
          <w:color w:val="231F20"/>
        </w:rPr>
        <w:t>employees at</w:t>
      </w:r>
      <w:r>
        <w:rPr>
          <w:rFonts w:ascii="Arial" w:cs="Arial" w:eastAsia="Arial" w:hAnsi="Arial"/>
          <w:sz w:val="18"/>
          <w:szCs w:val="18"/>
          <w:color w:val="000000"/>
        </w:rPr>
        <w:t xml:space="preserve"> December 31, 2016</w:t>
      </w:r>
      <w:r>
        <w:rPr>
          <w:rFonts w:ascii="Arial" w:cs="Arial" w:eastAsia="Arial" w:hAnsi="Arial"/>
          <w:sz w:val="18"/>
          <w:szCs w:val="18"/>
          <w:color w:val="231F20"/>
        </w:rPr>
        <w:t>. We rely</w:t>
      </w:r>
      <w:r>
        <w:rPr>
          <w:rFonts w:ascii="Arial" w:cs="Arial" w:eastAsia="Arial" w:hAnsi="Arial"/>
          <w:sz w:val="18"/>
          <w:szCs w:val="18"/>
          <w:color w:val="000000"/>
        </w:rPr>
        <w:t xml:space="preserve"> </w:t>
      </w:r>
      <w:r>
        <w:rPr>
          <w:rFonts w:ascii="Arial" w:cs="Arial" w:eastAsia="Arial" w:hAnsi="Arial"/>
          <w:sz w:val="18"/>
          <w:szCs w:val="18"/>
          <w:color w:val="231F20"/>
        </w:rPr>
        <w:t>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1"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years ended December 31, </w:t>
      </w:r>
      <w:r>
        <w:rPr>
          <w:rFonts w:ascii="Arial" w:cs="Arial" w:eastAsia="Arial" w:hAnsi="Arial"/>
          <w:sz w:val="18"/>
          <w:szCs w:val="18"/>
          <w:color w:val="000000"/>
        </w:rPr>
        <w:t>2016</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42%</w:t>
      </w:r>
      <w:r>
        <w:rPr>
          <w:rFonts w:ascii="Arial" w:cs="Arial" w:eastAsia="Arial" w:hAnsi="Arial"/>
          <w:sz w:val="18"/>
          <w:szCs w:val="18"/>
          <w:color w:val="231F20"/>
        </w:rPr>
        <w:t xml:space="preserve">, 39% and </w:t>
      </w:r>
      <w:r>
        <w:rPr>
          <w:rFonts w:ascii="Arial" w:cs="Arial" w:eastAsia="Arial" w:hAnsi="Arial"/>
          <w:sz w:val="18"/>
          <w:szCs w:val="18"/>
          <w:color w:val="000000"/>
        </w:rPr>
        <w:t>39%</w:t>
      </w:r>
      <w:r>
        <w:rPr>
          <w:rFonts w:ascii="Arial" w:cs="Arial" w:eastAsia="Arial" w:hAnsi="Arial"/>
          <w:sz w:val="18"/>
          <w:szCs w:val="18"/>
          <w:color w:val="231F20"/>
        </w:rPr>
        <w:t>,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32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in </w:t>
      </w:r>
      <w:r>
        <w:rPr>
          <w:rFonts w:ascii="Arial" w:cs="Arial" w:eastAsia="Arial" w:hAnsi="Arial"/>
          <w:sz w:val="18"/>
          <w:szCs w:val="18"/>
          <w:color w:val="000000"/>
        </w:rPr>
        <w:t>2016</w:t>
      </w:r>
      <w:r>
        <w:rPr>
          <w:rFonts w:ascii="Arial" w:cs="Arial" w:eastAsia="Arial" w:hAnsi="Arial"/>
          <w:sz w:val="18"/>
          <w:szCs w:val="18"/>
          <w:color w:val="231F20"/>
        </w:rPr>
        <w:t xml:space="preserve">, we incurred approximately </w:t>
      </w:r>
      <w:r>
        <w:rPr>
          <w:rFonts w:ascii="Arial" w:cs="Arial" w:eastAsia="Arial" w:hAnsi="Arial"/>
          <w:sz w:val="18"/>
          <w:szCs w:val="18"/>
          <w:color w:val="000000"/>
        </w:rPr>
        <w:t>19%</w:t>
      </w:r>
      <w:r>
        <w:rPr>
          <w:rFonts w:ascii="Arial" w:cs="Arial" w:eastAsia="Arial" w:hAnsi="Arial"/>
          <w:sz w:val="18"/>
          <w:szCs w:val="18"/>
          <w:color w:val="231F20"/>
        </w:rPr>
        <w:t xml:space="preserve"> of our expenses outside of the United States in foreign currencies, primarily Euros, British Pounds, and Indian Rupee, principally with respect to salaries and related personnel expenses associated with our European and Indian operations. Additionally, in </w:t>
      </w:r>
      <w:r>
        <w:rPr>
          <w:rFonts w:ascii="Arial" w:cs="Arial" w:eastAsia="Arial" w:hAnsi="Arial"/>
          <w:sz w:val="18"/>
          <w:szCs w:val="18"/>
          <w:color w:val="000000"/>
        </w:rPr>
        <w:t>2016</w:t>
      </w:r>
      <w:r>
        <w:rPr>
          <w:rFonts w:ascii="Arial" w:cs="Arial" w:eastAsia="Arial" w:hAnsi="Arial"/>
          <w:sz w:val="18"/>
          <w:szCs w:val="18"/>
          <w:color w:val="231F20"/>
        </w:rPr>
        <w:t>, approximately 17%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231F20"/>
        </w:rPr>
        <w:t>operating expenditures, will continue to be denominated in Euro, British Pound and Indian Rupee. The results of our operations may be adversely affected by foreign exchange fluctuations.</w:t>
      </w:r>
    </w:p>
    <w:p>
      <w:pPr>
        <w:spacing w:after="0" w:line="196"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certain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six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8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1"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231F20"/>
        </w:rPr>
        <w:t>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9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1"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41" w:right="27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231F20"/>
        </w:rPr>
        <w:t>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may still be viewed negatively by customers, financial markets or investors. </w:t>
      </w:r>
      <w:r>
        <w:rPr>
          <w:rFonts w:ascii="Arial" w:cs="Arial" w:eastAsia="Arial" w:hAnsi="Arial"/>
          <w:sz w:val="18"/>
          <w:szCs w:val="18"/>
          <w:color w:val="231F20"/>
        </w:rPr>
        <w:t>The acquisition and integration process is complex,</w:t>
      </w:r>
      <w:r>
        <w:rPr>
          <w:rFonts w:ascii="Arial" w:cs="Arial" w:eastAsia="Arial" w:hAnsi="Arial"/>
          <w:sz w:val="18"/>
          <w:szCs w:val="18"/>
          <w:color w:val="000000"/>
        </w:rPr>
        <w:t xml:space="preserve"> </w:t>
      </w:r>
      <w:r>
        <w:rPr>
          <w:rFonts w:ascii="Arial" w:cs="Arial" w:eastAsia="Arial" w:hAnsi="Arial"/>
          <w:sz w:val="18"/>
          <w:szCs w:val="18"/>
          <w:color w:val="231F20"/>
        </w:rPr>
        <w:t xml:space="preserve">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 may issue</w:t>
      </w:r>
      <w:r>
        <w:rPr>
          <w:rFonts w:ascii="Arial" w:cs="Arial" w:eastAsia="Arial" w:hAnsi="Arial"/>
          <w:sz w:val="18"/>
          <w:szCs w:val="18"/>
          <w:color w:val="231F20"/>
        </w:rPr>
        <w:t xml:space="preserve"> </w:t>
      </w:r>
      <w:r>
        <w:rPr>
          <w:rFonts w:ascii="Arial" w:cs="Arial" w:eastAsia="Arial" w:hAnsi="Arial"/>
          <w:sz w:val="18"/>
          <w:szCs w:val="18"/>
          <w:color w:val="000000"/>
        </w:rPr>
        <w:t xml:space="preserve">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w:t>
      </w:r>
      <w:r>
        <w:rPr>
          <w:rFonts w:ascii="Arial" w:cs="Arial" w:eastAsia="Arial" w:hAnsi="Arial"/>
          <w:sz w:val="18"/>
          <w:szCs w:val="18"/>
          <w:color w:val="000000"/>
        </w:rPr>
        <w:t xml:space="preserve"> </w:t>
      </w:r>
      <w:r>
        <w:rPr>
          <w:rFonts w:ascii="Arial" w:cs="Arial" w:eastAsia="Arial" w:hAnsi="Arial"/>
          <w:sz w:val="18"/>
          <w:szCs w:val="18"/>
          <w:color w:val="231F20"/>
        </w:rPr>
        <w:t>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4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$31.5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Increases in our effective tax rate could harm our operating results.</w:t>
      </w:r>
    </w:p>
    <w:p>
      <w:pPr>
        <w:spacing w:after="0" w:line="20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2" w:lineRule="auto"/>
        <w:rPr>
          <w:sz w:val="20"/>
          <w:szCs w:val="20"/>
          <w:color w:val="auto"/>
        </w:rPr>
      </w:pPr>
      <w:r>
        <w:rPr>
          <w:rFonts w:ascii="Arial" w:cs="Arial" w:eastAsia="Arial" w:hAnsi="Arial"/>
          <w:sz w:val="18"/>
          <w:szCs w:val="18"/>
          <w:color w:val="231F20"/>
        </w:rPr>
        <w:t>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204"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internal control over financial reporting is a process designed to provide reasonable assurance regarding the reliability of financial reporting and the preparation of financial statements in accordance with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this Annual Report on Form 10-K that our internal control over financial reporting was effective as of December 31, 2016,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4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Annual Report on Form 10-K could result in the actual operating results being different from our guidance, and the differences may be adverse and material.</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2016</w:t>
      </w:r>
      <w:r>
        <w:rPr>
          <w:rFonts w:ascii="Arial" w:cs="Arial" w:eastAsia="Arial" w:hAnsi="Arial"/>
          <w:sz w:val="18"/>
          <w:szCs w:val="18"/>
          <w:color w:val="231F20"/>
        </w:rPr>
        <w:t>, our executive officers, directors and holders of 10% or more of our outstanding common stock beneficially own, in the aggregate, approximately 16%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1"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w:t>
      </w:r>
      <w:r>
        <w:rPr>
          <w:rFonts w:ascii="Arial" w:cs="Arial" w:eastAsia="Arial" w:hAnsi="Arial"/>
          <w:sz w:val="18"/>
          <w:szCs w:val="18"/>
          <w:color w:val="000000"/>
        </w:rPr>
        <w:t>December 31, 2016</w:t>
      </w:r>
      <w:r>
        <w:rPr>
          <w:rFonts w:ascii="Arial" w:cs="Arial" w:eastAsia="Arial" w:hAnsi="Arial"/>
          <w:sz w:val="18"/>
          <w:szCs w:val="18"/>
          <w:color w:val="231F20"/>
        </w:rPr>
        <w:t>, we had approximately 35.8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 xml:space="preserve">In addition, as of </w:t>
      </w:r>
      <w:r>
        <w:rPr>
          <w:rFonts w:ascii="Arial" w:cs="Arial" w:eastAsia="Arial" w:hAnsi="Arial"/>
          <w:sz w:val="18"/>
          <w:szCs w:val="18"/>
          <w:color w:val="000000"/>
        </w:rPr>
        <w:t>December 31, 2016</w:t>
      </w:r>
      <w:r>
        <w:rPr>
          <w:rFonts w:ascii="Arial" w:cs="Arial" w:eastAsia="Arial" w:hAnsi="Arial"/>
          <w:sz w:val="18"/>
          <w:szCs w:val="18"/>
          <w:color w:val="231F20"/>
        </w:rPr>
        <w:t xml:space="preserve">, there were approximately 0.6 million restricted stock units and options to purchase approximately 7.5 million shares of our common stock outstanding. If such options are exercised and restricted stock units are released, these additional shares will become available for sale. As of </w:t>
      </w:r>
      <w:r>
        <w:rPr>
          <w:rFonts w:ascii="Arial" w:cs="Arial" w:eastAsia="Arial" w:hAnsi="Arial"/>
          <w:sz w:val="18"/>
          <w:szCs w:val="18"/>
          <w:color w:val="000000"/>
        </w:rPr>
        <w:t>December 31, 2016</w:t>
      </w:r>
      <w:r>
        <w:rPr>
          <w:rFonts w:ascii="Arial" w:cs="Arial" w:eastAsia="Arial" w:hAnsi="Arial"/>
          <w:sz w:val="18"/>
          <w:szCs w:val="18"/>
          <w:color w:val="231F20"/>
        </w:rPr>
        <w:t>, we had an aggregate of 1.4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4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1"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6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principal executive offices are located in Redwood City, California, where we occupy a 50,000 square-foot facility under a lease expiring on November 30, 2017. We have additional U.S. offices in Bellevue, Washington and Raleigh, North Carolina. We also lease offices in Courbevoie, France; Moscow, Russia; Munich, Germany; Frankfurt, Germany; Pune, India; Dubai, United Arab Emirates; Reading, United Kingdom; and Tokyo, Japan. We believe our facilities are adequate for our current needs and for the foreseeable future.</w:t>
      </w:r>
    </w:p>
    <w:p>
      <w:pPr>
        <w:spacing w:after="0" w:line="204"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On October 14, 2016 the Company entered into a lease agreement for its new headquarter office facility. The lease commences May 1, 2018 and has a ten-year term through April 2028.</w:t>
      </w:r>
    </w:p>
    <w:p>
      <w:pPr>
        <w:spacing w:after="0" w:line="196" w:lineRule="exact"/>
        <w:rPr>
          <w:sz w:val="20"/>
          <w:szCs w:val="20"/>
          <w:color w:val="auto"/>
        </w:rPr>
      </w:pPr>
    </w:p>
    <w:p>
      <w:pPr>
        <w:ind w:right="440" w:firstLine="405"/>
        <w:spacing w:after="0" w:line="262" w:lineRule="auto"/>
        <w:rPr>
          <w:sz w:val="20"/>
          <w:szCs w:val="20"/>
          <w:color w:val="auto"/>
        </w:rPr>
      </w:pPr>
      <w:r>
        <w:rPr>
          <w:rFonts w:ascii="Arial" w:cs="Arial" w:eastAsia="Arial" w:hAnsi="Arial"/>
          <w:sz w:val="18"/>
          <w:szCs w:val="18"/>
          <w:color w:val="auto"/>
        </w:rPr>
        <w:t>We operate principal data centers at third -party facilities in Santa Clara, California; Tukwilia, Washington; Ashburn, Virginia; Geneva, Switzerland; Pune, India; and Amsterdam, the Netherlands.</w:t>
      </w:r>
    </w:p>
    <w:p>
      <w:pPr>
        <w:spacing w:after="0" w:line="33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41" w:right="27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p>
      <w:pPr>
        <w:spacing w:after="0" w:line="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common stock is listed on the NASDAQ Stock Market under the trading symbol “QLYS”. The following table sets forth the high and low per share sales prices for our common stock as reported on the NASDAQ Stock Market for the two most recent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Low</w:t>
            </w: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High</w:t>
            </w:r>
          </w:p>
        </w:tc>
      </w:tr>
      <w:tr>
        <w:trPr>
          <w:trHeight w:val="27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834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39.67</w:t>
            </w:r>
          </w:p>
        </w:tc>
      </w:tr>
      <w:tr>
        <w:trPr>
          <w:trHeight w:val="27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38.32</w:t>
            </w:r>
          </w:p>
        </w:tc>
      </w:tr>
      <w:tr>
        <w:trPr>
          <w:trHeight w:val="263"/>
        </w:trPr>
        <w:tc>
          <w:tcPr>
            <w:tcW w:w="834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32.65</w:t>
            </w:r>
          </w:p>
        </w:tc>
      </w:tr>
      <w:tr>
        <w:trPr>
          <w:trHeight w:val="27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32.48</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39.74</w:t>
            </w:r>
          </w:p>
        </w:tc>
      </w:tr>
      <w:tr>
        <w:trPr>
          <w:trHeight w:val="263"/>
        </w:trPr>
        <w:tc>
          <w:tcPr>
            <w:tcW w:w="834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42.97</w:t>
            </w:r>
          </w:p>
        </w:tc>
      </w:tr>
      <w:tr>
        <w:trPr>
          <w:trHeight w:val="277"/>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55.47</w:t>
            </w:r>
          </w:p>
        </w:tc>
      </w:tr>
      <w:tr>
        <w:trPr>
          <w:trHeight w:val="257"/>
        </w:trPr>
        <w:tc>
          <w:tcPr>
            <w:tcW w:w="83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January 31, 2017, there were approximately 119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28"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2016. All outstanding awards relate to our common stock.</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rPr>
              <w:t>(c) Number of Securities</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 Number of Securities to be</w:t>
            </w: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Issued Upon</w:t>
            </w: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Exercise of</w:t>
            </w:r>
          </w:p>
        </w:tc>
        <w:tc>
          <w:tcPr>
            <w:tcW w:w="14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 Weighted-Average</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rPr>
              <w:t>Equity Compensation</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Outstanding</w:t>
            </w:r>
          </w:p>
        </w:tc>
        <w:tc>
          <w:tcPr>
            <w:tcW w:w="14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 Price of</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Options, Warrants</w:t>
            </w:r>
          </w:p>
        </w:tc>
        <w:tc>
          <w:tcPr>
            <w:tcW w:w="14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Options,</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rPr>
              <w:t>Securities Reflected in</w:t>
            </w:r>
          </w:p>
        </w:tc>
        <w:tc>
          <w:tcPr>
            <w:tcW w:w="0" w:type="dxa"/>
            <w:vAlign w:val="bottom"/>
          </w:tcPr>
          <w:p>
            <w:pPr>
              <w:spacing w:after="0"/>
              <w:rPr>
                <w:sz w:val="1"/>
                <w:szCs w:val="1"/>
                <w:color w:val="auto"/>
              </w:rPr>
            </w:pPr>
          </w:p>
        </w:tc>
      </w:tr>
      <w:tr>
        <w:trPr>
          <w:trHeight w:val="228"/>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Plan Category</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and Rights</w:t>
            </w:r>
          </w:p>
        </w:tc>
        <w:tc>
          <w:tcPr>
            <w:tcW w:w="140" w:type="dxa"/>
            <w:vAlign w:val="bottom"/>
          </w:tcPr>
          <w:p>
            <w:pPr>
              <w:spacing w:after="0"/>
              <w:rPr>
                <w:sz w:val="19"/>
                <w:szCs w:val="19"/>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Warrants and Rights</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rPr>
              <w:t>Column (a))</w:t>
            </w:r>
          </w:p>
        </w:tc>
        <w:tc>
          <w:tcPr>
            <w:tcW w:w="0" w:type="dxa"/>
            <w:vAlign w:val="bottom"/>
          </w:tcPr>
          <w:p>
            <w:pPr>
              <w:spacing w:after="0"/>
              <w:rPr>
                <w:sz w:val="1"/>
                <w:szCs w:val="1"/>
                <w:color w:val="auto"/>
              </w:rPr>
            </w:pPr>
          </w:p>
        </w:tc>
      </w:tr>
      <w:tr>
        <w:trPr>
          <w:trHeight w:val="294"/>
        </w:trPr>
        <w:tc>
          <w:tcPr>
            <w:tcW w:w="4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38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9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4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holders</w:t>
            </w:r>
            <w:r>
              <w:rPr>
                <w:rFonts w:ascii="Arial" w:cs="Arial" w:eastAsia="Arial" w:hAnsi="Arial"/>
                <w:sz w:val="21"/>
                <w:szCs w:val="21"/>
                <w:color w:val="auto"/>
                <w:vertAlign w:val="superscript"/>
              </w:rPr>
              <w:t>1</w:t>
            </w:r>
          </w:p>
        </w:tc>
        <w:tc>
          <w:tcPr>
            <w:tcW w:w="23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7,527,680</w:t>
            </w:r>
          </w:p>
        </w:tc>
        <w:tc>
          <w:tcPr>
            <w:tcW w:w="16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CCEEFF"/>
          </w:tcPr>
          <w:p>
            <w:pPr>
              <w:spacing w:after="0"/>
              <w:rPr>
                <w:sz w:val="21"/>
                <w:szCs w:val="21"/>
                <w:color w:val="auto"/>
              </w:rPr>
            </w:pPr>
          </w:p>
        </w:tc>
        <w:tc>
          <w:tcPr>
            <w:tcW w:w="24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1,425,230</w:t>
            </w:r>
          </w:p>
        </w:tc>
        <w:tc>
          <w:tcPr>
            <w:tcW w:w="0" w:type="dxa"/>
            <w:vAlign w:val="bottom"/>
          </w:tcPr>
          <w:p>
            <w:pPr>
              <w:spacing w:after="0"/>
              <w:rPr>
                <w:sz w:val="1"/>
                <w:szCs w:val="1"/>
                <w:color w:val="auto"/>
              </w:rPr>
            </w:pPr>
          </w:p>
        </w:tc>
      </w:tr>
      <w:tr>
        <w:trPr>
          <w:trHeight w:val="68"/>
        </w:trPr>
        <w:tc>
          <w:tcPr>
            <w:tcW w:w="4180" w:type="dxa"/>
            <w:vAlign w:val="bottom"/>
            <w:shd w:val="clear" w:color="auto" w:fill="CCEEFF"/>
          </w:tcPr>
          <w:p>
            <w:pPr>
              <w:spacing w:after="0"/>
              <w:rPr>
                <w:sz w:val="5"/>
                <w:szCs w:val="5"/>
                <w:color w:val="auto"/>
              </w:rPr>
            </w:pPr>
          </w:p>
        </w:tc>
        <w:tc>
          <w:tcPr>
            <w:tcW w:w="23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4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right="200" w:hanging="9"/>
        <w:spacing w:after="0" w:line="233" w:lineRule="auto"/>
        <w:tabs>
          <w:tab w:leader="none" w:pos="37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Equity compensation plans approved by stockholders include the 2000 Equity Incentive Plan, as amended and the 2012 Equity Incentive Plan. Prior to our IPO, we issued securities under our 2000 Equity Incentive Plan, as amended. Following our IPO, we issued securities under our 2012 Equity Incentive Plan.</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1"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following graph shows a comparison from September 28, 2012 (the date our common stock commenced trading on the NASDAQ Stock Market) through December 31, 2016 of the cumulative total return for an investment of $100 (and the reinvestment of dividends) in our common stock, the NASDAQ Global Select Market and the NASDAQ Computer. Such returns are based on historical results and are not intended to suggest future performance.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Among Qualys, Inc., NASDAQ-Global Select Market Composite Index, and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100965</wp:posOffset>
            </wp:positionV>
            <wp:extent cx="5848985" cy="3284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invested on 9/28/12 in stock or index, including reinvestment of dividends. Fiscal year ending December 31.</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Sep 28, 2012</w:t>
            </w:r>
          </w:p>
        </w:tc>
        <w:tc>
          <w:tcPr>
            <w:tcW w:w="10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Dec 31, 2012</w:t>
            </w:r>
          </w:p>
        </w:tc>
        <w:tc>
          <w:tcPr>
            <w:tcW w:w="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Mar 28, 2013</w:t>
            </w:r>
          </w:p>
        </w:tc>
        <w:tc>
          <w:tcPr>
            <w:tcW w:w="8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Jun 28, 2013</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Sep 30, 2013</w:t>
            </w:r>
          </w:p>
        </w:tc>
        <w:tc>
          <w:tcPr>
            <w:tcW w:w="920" w:type="dxa"/>
            <w:vAlign w:val="bottom"/>
            <w:gridSpan w:val="2"/>
          </w:tcPr>
          <w:p>
            <w:pPr>
              <w:jc w:val="right"/>
              <w:ind w:right="46"/>
              <w:spacing w:after="0"/>
              <w:rPr>
                <w:sz w:val="20"/>
                <w:szCs w:val="20"/>
                <w:color w:val="auto"/>
              </w:rPr>
            </w:pPr>
            <w:r>
              <w:rPr>
                <w:rFonts w:ascii="Arial" w:cs="Arial" w:eastAsia="Arial" w:hAnsi="Arial"/>
                <w:sz w:val="13"/>
                <w:szCs w:val="13"/>
                <w:b w:val="1"/>
                <w:bCs w:val="1"/>
                <w:color w:val="auto"/>
              </w:rPr>
              <w:t>Dec 31, 2013</w:t>
            </w:r>
          </w:p>
        </w:tc>
        <w:tc>
          <w:tcPr>
            <w:tcW w:w="1080" w:type="dxa"/>
            <w:vAlign w:val="bottom"/>
            <w:gridSpan w:val="3"/>
          </w:tcPr>
          <w:p>
            <w:pPr>
              <w:ind w:left="160"/>
              <w:spacing w:after="0"/>
              <w:rPr>
                <w:sz w:val="20"/>
                <w:szCs w:val="20"/>
                <w:color w:val="auto"/>
              </w:rPr>
            </w:pPr>
            <w:r>
              <w:rPr>
                <w:rFonts w:ascii="Arial" w:cs="Arial" w:eastAsia="Arial" w:hAnsi="Arial"/>
                <w:sz w:val="13"/>
                <w:szCs w:val="13"/>
                <w:b w:val="1"/>
                <w:bCs w:val="1"/>
                <w:color w:val="auto"/>
              </w:rPr>
              <w:t>Mar 31, 2014</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Jun 30, 2014</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Sep 30, 2014</w:t>
            </w:r>
          </w:p>
        </w:tc>
        <w:tc>
          <w:tcPr>
            <w:tcW w:w="900" w:type="dxa"/>
            <w:vAlign w:val="bottom"/>
            <w:gridSpan w:val="2"/>
          </w:tcPr>
          <w:p>
            <w:pPr>
              <w:jc w:val="right"/>
              <w:ind w:right="26"/>
              <w:spacing w:after="0"/>
              <w:rPr>
                <w:sz w:val="20"/>
                <w:szCs w:val="20"/>
                <w:color w:val="auto"/>
              </w:rPr>
            </w:pPr>
            <w:r>
              <w:rPr>
                <w:rFonts w:ascii="Arial" w:cs="Arial" w:eastAsia="Arial" w:hAnsi="Arial"/>
                <w:sz w:val="13"/>
                <w:szCs w:val="13"/>
                <w:b w:val="1"/>
                <w:bCs w:val="1"/>
                <w:color w:val="auto"/>
              </w:rPr>
              <w:t>Dec 31, 2014</w:t>
            </w:r>
          </w:p>
        </w:tc>
      </w:tr>
      <w:tr>
        <w:trPr>
          <w:trHeight w:val="270"/>
        </w:trPr>
        <w:tc>
          <w:tcPr>
            <w:tcW w:w="1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Qualys Inc.</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100.00</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104.45</w:t>
            </w: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87.15</w:t>
            </w: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113.84</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151.06</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163.21</w:t>
            </w:r>
          </w:p>
        </w:tc>
        <w:tc>
          <w:tcPr>
            <w:tcW w:w="3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179.59</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181.29</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187.85</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266.60</w:t>
            </w:r>
          </w:p>
        </w:tc>
      </w:tr>
      <w:tr>
        <w:trPr>
          <w:trHeight w:val="156"/>
        </w:trPr>
        <w:tc>
          <w:tcPr>
            <w:tcW w:w="1260" w:type="dxa"/>
            <w:vAlign w:val="bottom"/>
          </w:tcPr>
          <w:p>
            <w:pPr>
              <w:ind w:left="20"/>
              <w:spacing w:after="0"/>
              <w:rPr>
                <w:sz w:val="20"/>
                <w:szCs w:val="20"/>
                <w:color w:val="auto"/>
              </w:rPr>
            </w:pPr>
            <w:r>
              <w:rPr>
                <w:rFonts w:ascii="Arial" w:cs="Arial" w:eastAsia="Arial" w:hAnsi="Arial"/>
                <w:sz w:val="13"/>
                <w:szCs w:val="13"/>
                <w:color w:val="auto"/>
              </w:rPr>
              <w:t>NASDAQ Global</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0"/>
        </w:trPr>
        <w:tc>
          <w:tcPr>
            <w:tcW w:w="1260" w:type="dxa"/>
            <w:vAlign w:val="bottom"/>
          </w:tcPr>
          <w:p>
            <w:pPr>
              <w:ind w:left="20"/>
              <w:spacing w:after="0"/>
              <w:rPr>
                <w:sz w:val="20"/>
                <w:szCs w:val="20"/>
                <w:color w:val="auto"/>
              </w:rPr>
            </w:pPr>
            <w:r>
              <w:rPr>
                <w:rFonts w:ascii="Arial" w:cs="Arial" w:eastAsia="Arial" w:hAnsi="Arial"/>
                <w:sz w:val="13"/>
                <w:szCs w:val="13"/>
                <w:color w:val="auto"/>
              </w:rPr>
              <w:t>Select Market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100.00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96.97</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104.81</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109.04</w:t>
            </w:r>
          </w:p>
        </w:tc>
        <w:tc>
          <w:tcPr>
            <w:tcW w:w="120" w:type="dxa"/>
            <w:vAlign w:val="bottom"/>
          </w:tcPr>
          <w:p>
            <w:pPr>
              <w:spacing w:after="0"/>
              <w:rPr>
                <w:sz w:val="13"/>
                <w:szCs w:val="13"/>
                <w:color w:val="auto"/>
              </w:rPr>
            </w:pPr>
          </w:p>
        </w:tc>
        <w:tc>
          <w:tcPr>
            <w:tcW w:w="28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120.70</w:t>
            </w:r>
          </w:p>
        </w:tc>
        <w:tc>
          <w:tcPr>
            <w:tcW w:w="100" w:type="dxa"/>
            <w:vAlign w:val="bottom"/>
          </w:tcPr>
          <w:p>
            <w:pPr>
              <w:spacing w:after="0"/>
              <w:rPr>
                <w:sz w:val="13"/>
                <w:szCs w:val="13"/>
                <w:color w:val="auto"/>
              </w:rPr>
            </w:pPr>
          </w:p>
        </w:tc>
        <w:tc>
          <w:tcPr>
            <w:tcW w:w="28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133.81</w:t>
            </w:r>
          </w:p>
        </w:tc>
        <w:tc>
          <w:tcPr>
            <w:tcW w:w="36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134.37</w:t>
            </w:r>
          </w:p>
        </w:tc>
        <w:tc>
          <w:tcPr>
            <w:tcW w:w="100" w:type="dxa"/>
            <w:vAlign w:val="bottom"/>
          </w:tcPr>
          <w:p>
            <w:pPr>
              <w:spacing w:after="0"/>
              <w:rPr>
                <w:sz w:val="13"/>
                <w:szCs w:val="13"/>
                <w:color w:val="auto"/>
              </w:rPr>
            </w:pPr>
          </w:p>
        </w:tc>
        <w:tc>
          <w:tcPr>
            <w:tcW w:w="28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141.29</w:t>
            </w:r>
          </w:p>
        </w:tc>
        <w:tc>
          <w:tcPr>
            <w:tcW w:w="10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144.41</w:t>
            </w:r>
          </w:p>
        </w:tc>
        <w:tc>
          <w:tcPr>
            <w:tcW w:w="10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152.15</w:t>
            </w:r>
          </w:p>
        </w:tc>
      </w:tr>
      <w:tr>
        <w:trPr>
          <w:trHeight w:val="278"/>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NASDAQ Computer</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92.56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94.63</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96.42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107.05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122.12</w:t>
            </w:r>
          </w:p>
        </w:tc>
        <w:tc>
          <w:tcPr>
            <w:tcW w:w="3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124.02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134.09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140.74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146.40</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Mar 31, 2015</w:t>
            </w:r>
          </w:p>
        </w:tc>
        <w:tc>
          <w:tcPr>
            <w:tcW w:w="10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Jun 30, 2015</w:t>
            </w:r>
          </w:p>
        </w:tc>
        <w:tc>
          <w:tcPr>
            <w:tcW w:w="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Sep 30, 2015</w:t>
            </w:r>
          </w:p>
        </w:tc>
        <w:tc>
          <w:tcPr>
            <w:tcW w:w="8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Dec 31, 2015</w:t>
            </w:r>
          </w:p>
        </w:tc>
        <w:tc>
          <w:tcPr>
            <w:tcW w:w="980" w:type="dxa"/>
            <w:vAlign w:val="bottom"/>
            <w:gridSpan w:val="3"/>
          </w:tcPr>
          <w:p>
            <w:pPr>
              <w:ind w:left="60"/>
              <w:spacing w:after="0"/>
              <w:rPr>
                <w:sz w:val="20"/>
                <w:szCs w:val="20"/>
                <w:color w:val="auto"/>
              </w:rPr>
            </w:pPr>
            <w:r>
              <w:rPr>
                <w:rFonts w:ascii="Arial" w:cs="Arial" w:eastAsia="Arial" w:hAnsi="Arial"/>
                <w:sz w:val="13"/>
                <w:szCs w:val="13"/>
                <w:b w:val="1"/>
                <w:bCs w:val="1"/>
                <w:color w:val="auto"/>
              </w:rPr>
              <w:t>Mar 31, 2016</w:t>
            </w:r>
          </w:p>
        </w:tc>
        <w:tc>
          <w:tcPr>
            <w:tcW w:w="940" w:type="dxa"/>
            <w:vAlign w:val="bottom"/>
            <w:gridSpan w:val="2"/>
          </w:tcPr>
          <w:p>
            <w:pPr>
              <w:jc w:val="right"/>
              <w:ind w:right="46"/>
              <w:spacing w:after="0"/>
              <w:rPr>
                <w:sz w:val="20"/>
                <w:szCs w:val="20"/>
                <w:color w:val="auto"/>
              </w:rPr>
            </w:pPr>
            <w:r>
              <w:rPr>
                <w:rFonts w:ascii="Arial" w:cs="Arial" w:eastAsia="Arial" w:hAnsi="Arial"/>
                <w:sz w:val="13"/>
                <w:szCs w:val="13"/>
                <w:b w:val="1"/>
                <w:bCs w:val="1"/>
                <w:color w:val="auto"/>
              </w:rPr>
              <w:t>Jun 30, 2016</w:t>
            </w:r>
          </w:p>
        </w:tc>
        <w:tc>
          <w:tcPr>
            <w:tcW w:w="1060" w:type="dxa"/>
            <w:vAlign w:val="bottom"/>
            <w:gridSpan w:val="3"/>
          </w:tcPr>
          <w:p>
            <w:pPr>
              <w:ind w:left="140"/>
              <w:spacing w:after="0"/>
              <w:rPr>
                <w:sz w:val="20"/>
                <w:szCs w:val="20"/>
                <w:color w:val="auto"/>
              </w:rPr>
            </w:pPr>
            <w:r>
              <w:rPr>
                <w:rFonts w:ascii="Arial" w:cs="Arial" w:eastAsia="Arial" w:hAnsi="Arial"/>
                <w:sz w:val="13"/>
                <w:szCs w:val="13"/>
                <w:b w:val="1"/>
                <w:bCs w:val="1"/>
                <w:color w:val="auto"/>
              </w:rPr>
              <w:t>Sep 30, 2016</w:t>
            </w:r>
          </w:p>
        </w:tc>
        <w:tc>
          <w:tcPr>
            <w:tcW w:w="900" w:type="dxa"/>
            <w:vAlign w:val="bottom"/>
            <w:gridSpan w:val="2"/>
          </w:tcPr>
          <w:p>
            <w:pPr>
              <w:jc w:val="right"/>
              <w:ind w:right="6"/>
              <w:spacing w:after="0"/>
              <w:rPr>
                <w:sz w:val="20"/>
                <w:szCs w:val="20"/>
                <w:color w:val="auto"/>
              </w:rPr>
            </w:pPr>
            <w:r>
              <w:rPr>
                <w:rFonts w:ascii="Arial" w:cs="Arial" w:eastAsia="Arial" w:hAnsi="Arial"/>
                <w:sz w:val="13"/>
                <w:szCs w:val="13"/>
                <w:b w:val="1"/>
                <w:bCs w:val="1"/>
                <w:color w:val="auto"/>
              </w:rPr>
              <w:t>Dec 31, 2016</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Qualys Inc.</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328.25</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284.96</w:t>
            </w: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200.99</w:t>
            </w: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233.69</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178.74</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210.52</w:t>
            </w:r>
          </w:p>
        </w:tc>
        <w:tc>
          <w:tcPr>
            <w:tcW w:w="34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269.70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223.52</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NASDAQ Global Select Market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157.37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160.01</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148.73</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4"/>
              <w:spacing w:after="0"/>
              <w:rPr>
                <w:sz w:val="20"/>
                <w:szCs w:val="20"/>
                <w:color w:val="auto"/>
              </w:rPr>
            </w:pPr>
            <w:r>
              <w:rPr>
                <w:rFonts w:ascii="Arial" w:cs="Arial" w:eastAsia="Arial" w:hAnsi="Arial"/>
                <w:sz w:val="11"/>
                <w:szCs w:val="11"/>
                <w:color w:val="auto"/>
              </w:rPr>
              <w:t>161.44</w:t>
            </w:r>
          </w:p>
        </w:tc>
        <w:tc>
          <w:tcPr>
            <w:tcW w:w="120" w:type="dxa"/>
            <w:vAlign w:val="bottom"/>
          </w:tcPr>
          <w:p>
            <w:pPr>
              <w:spacing w:after="0"/>
              <w:rPr>
                <w:sz w:val="22"/>
                <w:szCs w:val="22"/>
                <w:color w:val="auto"/>
              </w:rPr>
            </w:pP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157.46</w:t>
            </w:r>
          </w:p>
        </w:tc>
        <w:tc>
          <w:tcPr>
            <w:tcW w:w="100" w:type="dxa"/>
            <w:vAlign w:val="bottom"/>
          </w:tcPr>
          <w:p>
            <w:pPr>
              <w:spacing w:after="0"/>
              <w:rPr>
                <w:sz w:val="22"/>
                <w:szCs w:val="22"/>
                <w:color w:val="auto"/>
              </w:rPr>
            </w:pPr>
          </w:p>
        </w:tc>
        <w:tc>
          <w:tcPr>
            <w:tcW w:w="28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156.47</w:t>
            </w:r>
          </w:p>
        </w:tc>
        <w:tc>
          <w:tcPr>
            <w:tcW w:w="34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171.45</w:t>
            </w:r>
          </w:p>
        </w:tc>
        <w:tc>
          <w:tcPr>
            <w:tcW w:w="100" w:type="dxa"/>
            <w:vAlign w:val="bottom"/>
          </w:tcPr>
          <w:p>
            <w:pPr>
              <w:spacing w:after="0"/>
              <w:rPr>
                <w:sz w:val="22"/>
                <w:szCs w:val="22"/>
                <w:color w:val="auto"/>
              </w:rPr>
            </w:pPr>
          </w:p>
        </w:tc>
        <w:tc>
          <w:tcPr>
            <w:tcW w:w="280" w:type="dxa"/>
            <w:vAlign w:val="bottom"/>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173.70</w:t>
            </w: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NASDAQ Computer</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148.28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148.58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141.11</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155.44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156.87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150.67</w:t>
            </w:r>
          </w:p>
        </w:tc>
        <w:tc>
          <w:tcPr>
            <w:tcW w:w="34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172.63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174.62</w:t>
            </w:r>
          </w:p>
        </w:tc>
      </w:tr>
    </w:tbl>
    <w:p>
      <w:pPr>
        <w:spacing w:after="0" w:line="10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Securities and Exchange Commission, whether made before or after the date of this Annual Report on Form 10-K, regardless of any general incorporation language in such filing, except as shall be expressly set forth by specific reference in such filing.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shares of our common stock were repurchased during the fourth quarter of 2016.</w:t>
      </w:r>
    </w:p>
    <w:p>
      <w:pPr>
        <w:sectPr>
          <w:pgSz w:w="11900" w:h="16838" w:orient="portrait"/>
          <w:cols w:equalWidth="0" w:num="1">
            <w:col w:w="11420"/>
          </w:cols>
          <w:pgMar w:left="240" w:top="141"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41"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26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following selected consolidated financial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2016 are not necessarily indicative of operating results to be expected for any other period.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197,925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164,284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133,579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107,962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91,420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42,473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33,885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28,963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24,660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18,404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155,452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130,399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104,616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83,302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73,016</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20,195</w:t>
            </w:r>
          </w:p>
        </w:tc>
        <w:tc>
          <w:tcPr>
            <w:tcW w:w="0" w:type="dxa"/>
            <w:vAlign w:val="bottom"/>
          </w:tcPr>
          <w:p>
            <w:pPr>
              <w:spacing w:after="0"/>
              <w:rPr>
                <w:sz w:val="1"/>
                <w:szCs w:val="1"/>
                <w:color w:val="auto"/>
              </w:rPr>
            </w:pPr>
          </w:p>
        </w:tc>
      </w:tr>
      <w:tr>
        <w:trPr>
          <w:trHeight w:val="270"/>
        </w:trPr>
        <w:tc>
          <w:tcPr>
            <w:tcW w:w="4700" w:type="dxa"/>
            <w:vAlign w:val="bottom"/>
          </w:tcPr>
          <w:p>
            <w:pPr>
              <w:ind w:left="38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57,970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49,569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48,049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42,523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37,738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32,108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26,573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16,792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12,079</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125,345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105,593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95,369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80,993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70,012</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24,806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60"/>
        </w:trPr>
        <w:tc>
          <w:tcPr>
            <w:tcW w:w="470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expense, net</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30,429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8,613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 xml:space="preserve">Provision for (benefit from) income taxes </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11,205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8,655</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30,244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15,865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30,244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5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attributable to common stockholders: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Weighted-average shares used in computing net income per</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0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share attributable to common stockholders: </w:t>
            </w:r>
            <w:r>
              <w:rPr>
                <w:rFonts w:ascii="Arial" w:cs="Arial" w:eastAsia="Arial" w:hAnsi="Arial"/>
                <w:sz w:val="21"/>
                <w:szCs w:val="21"/>
                <w:color w:val="auto"/>
                <w:vertAlign w:val="superscript"/>
              </w:rPr>
              <w:t>(2)</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35,247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32,979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31,914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11,891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38,369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38,184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37,170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35,973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6"/>
          </w:tcPr>
          <w:p>
            <w:pPr>
              <w:jc w:val="center"/>
              <w:ind w:right="219"/>
              <w:spacing w:after="0"/>
              <w:rPr>
                <w:sz w:val="20"/>
                <w:szCs w:val="20"/>
                <w:color w:val="auto"/>
              </w:rPr>
            </w:pPr>
            <w:r>
              <w:rPr>
                <w:rFonts w:ascii="Arial" w:cs="Arial" w:eastAsia="Arial" w:hAnsi="Arial"/>
                <w:sz w:val="16"/>
                <w:szCs w:val="16"/>
                <w:b w:val="1"/>
                <w:bCs w:val="1"/>
                <w:color w:val="auto"/>
              </w:rPr>
              <w:t>As of December 31,</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243,856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178,966</w:t>
            </w:r>
          </w:p>
        </w:tc>
        <w:tc>
          <w:tcPr>
            <w:tcW w:w="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127,218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97,196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118,432</w:t>
            </w:r>
          </w:p>
        </w:tc>
        <w:tc>
          <w:tcPr>
            <w:tcW w:w="0" w:type="dxa"/>
            <w:vAlign w:val="bottom"/>
          </w:tcPr>
          <w:p>
            <w:pPr>
              <w:spacing w:after="0"/>
              <w:rPr>
                <w:sz w:val="1"/>
                <w:szCs w:val="1"/>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Long-term investments</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45,725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43,277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39,448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35,608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407,004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323,514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260,024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192,603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170,318</w:t>
            </w:r>
          </w:p>
        </w:tc>
        <w:tc>
          <w:tcPr>
            <w:tcW w:w="0" w:type="dxa"/>
            <w:vAlign w:val="bottom"/>
          </w:tcPr>
          <w:p>
            <w:pPr>
              <w:spacing w:after="0"/>
              <w:rPr>
                <w:sz w:val="1"/>
                <w:szCs w:val="1"/>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Deferred revenues, current</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114,964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98,025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81,147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67,505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56,497</w:t>
            </w:r>
          </w:p>
        </w:tc>
        <w:tc>
          <w:tcPr>
            <w:tcW w:w="0" w:type="dxa"/>
            <w:vAlign w:val="bottom"/>
          </w:tcPr>
          <w:p>
            <w:pPr>
              <w:spacing w:after="0"/>
              <w:rPr>
                <w:sz w:val="1"/>
                <w:szCs w:val="1"/>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revenues, noncurrent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10,064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8,616</w:t>
            </w:r>
          </w:p>
        </w:tc>
        <w:tc>
          <w:tcPr>
            <w:tcW w:w="0" w:type="dxa"/>
            <w:vAlign w:val="bottom"/>
          </w:tcPr>
          <w:p>
            <w:pPr>
              <w:spacing w:after="0"/>
              <w:rPr>
                <w:sz w:val="1"/>
                <w:szCs w:val="1"/>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Convertible preferred stock</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258,413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195,566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151,827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103,117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91,555</w:t>
            </w:r>
          </w:p>
        </w:tc>
        <w:tc>
          <w:tcPr>
            <w:tcW w:w="0" w:type="dxa"/>
            <w:vAlign w:val="bottom"/>
          </w:tcPr>
          <w:p>
            <w:pPr>
              <w:spacing w:after="0"/>
              <w:rPr>
                <w:sz w:val="1"/>
                <w:szCs w:val="1"/>
                <w:color w:val="auto"/>
              </w:rPr>
            </w:pPr>
          </w:p>
        </w:tc>
      </w:tr>
      <w:tr>
        <w:trPr>
          <w:trHeight w:val="343"/>
        </w:trPr>
        <w:tc>
          <w:tcPr>
            <w:tcW w:w="240" w:type="dxa"/>
            <w:vAlign w:val="bottom"/>
          </w:tcPr>
          <w:p>
            <w:pPr>
              <w:spacing w:after="0"/>
              <w:rPr>
                <w:sz w:val="20"/>
                <w:szCs w:val="20"/>
                <w:color w:val="auto"/>
              </w:rPr>
            </w:pPr>
            <w:r>
              <w:rPr>
                <w:rFonts w:ascii="Arial" w:cs="Arial" w:eastAsia="Arial" w:hAnsi="Arial"/>
                <w:sz w:val="11"/>
                <w:szCs w:val="11"/>
                <w:color w:val="auto"/>
              </w:rPr>
              <w:t>(1)</w:t>
            </w:r>
          </w:p>
        </w:tc>
        <w:tc>
          <w:tcPr>
            <w:tcW w:w="4460" w:type="dxa"/>
            <w:vAlign w:val="bottom"/>
            <w:vMerge w:val="restart"/>
          </w:tcPr>
          <w:p>
            <w:pPr>
              <w:ind w:left="100"/>
              <w:spacing w:after="0"/>
              <w:rPr>
                <w:sz w:val="20"/>
                <w:szCs w:val="20"/>
                <w:color w:val="auto"/>
              </w:rPr>
            </w:pPr>
            <w:r>
              <w:rPr>
                <w:rFonts w:ascii="Arial" w:cs="Arial" w:eastAsia="Arial" w:hAnsi="Arial"/>
                <w:sz w:val="16"/>
                <w:szCs w:val="16"/>
                <w:color w:val="auto"/>
              </w:rPr>
              <w:t>Includes stock-based compensation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4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left="53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47"/>
        </w:trPr>
        <w:tc>
          <w:tcPr>
            <w:tcW w:w="2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5,678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4,936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8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40"/>
        </w:trPr>
        <w:tc>
          <w:tcPr>
            <w:tcW w:w="240" w:type="dxa"/>
            <w:vAlign w:val="bottom"/>
            <w:shd w:val="clear" w:color="auto" w:fill="CCEEFF"/>
          </w:tcPr>
          <w:p>
            <w:pPr>
              <w:spacing w:after="0"/>
              <w:rPr>
                <w:sz w:val="20"/>
                <w:szCs w:val="20"/>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stock-based compensation</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17,494</w:t>
            </w:r>
          </w:p>
        </w:tc>
        <w:tc>
          <w:tcPr>
            <w:tcW w:w="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40" w:right="80" w:hanging="332"/>
        <w:spacing w:after="0" w:line="210"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See Notes 1 and 10 to our consolidated financial statements included elsewhere in this Annual Report on Form 10-K for an explanation of the calculations of our basic and diluted income per share attributable to common stockholders.</w:t>
      </w:r>
    </w:p>
    <w:p>
      <w:pPr>
        <w:spacing w:after="0" w:line="184" w:lineRule="exact"/>
        <w:rPr>
          <w:rFonts w:ascii="Arial" w:cs="Arial" w:eastAsia="Arial" w:hAnsi="Arial"/>
          <w:sz w:val="22"/>
          <w:szCs w:val="22"/>
          <w:color w:val="auto"/>
          <w:vertAlign w:val="superscript"/>
        </w:rPr>
      </w:pPr>
    </w:p>
    <w:p>
      <w:pPr>
        <w:ind w:left="340" w:right="520" w:hanging="332"/>
        <w:spacing w:after="0" w:line="210"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Provision for income taxes prior to 2014 consists primarily of taxes on income in foreign jurisdictions and state income taxes in the U.S. In the fourth quarter of 2014, we recorded a tax benefit of $23.7 million to recognize our U.S. federal and certain state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You should read the following discussion in conjunction with the section titled "Selected Consolidated Financial Data" and our consolidated financial statements and the related notes included elsewhere in this Annual Report on Form 10-K.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213"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 Vulnerability Management (VM), in 2000. Our VM Solutions have provided a substantial majority of our revenues to date, representing 76%, </w:t>
      </w:r>
      <w:r>
        <w:rPr>
          <w:rFonts w:ascii="Arial" w:cs="Arial" w:eastAsia="Arial" w:hAnsi="Arial"/>
          <w:sz w:val="18"/>
          <w:szCs w:val="18"/>
          <w:color w:val="000000"/>
        </w:rPr>
        <w:t>77%</w:t>
      </w:r>
      <w:r>
        <w:rPr>
          <w:rFonts w:ascii="Arial" w:cs="Arial" w:eastAsia="Arial" w:hAnsi="Arial"/>
          <w:sz w:val="18"/>
          <w:szCs w:val="18"/>
          <w:color w:val="231F20"/>
        </w:rPr>
        <w:t xml:space="preserve"> and 80% of total revenues in </w:t>
      </w:r>
      <w:r>
        <w:rPr>
          <w:rFonts w:ascii="Arial" w:cs="Arial" w:eastAsia="Arial" w:hAnsi="Arial"/>
          <w:sz w:val="18"/>
          <w:szCs w:val="18"/>
          <w:color w:val="000000"/>
        </w:rPr>
        <w:t>2016</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respectively. In </w:t>
      </w:r>
      <w:r>
        <w:rPr>
          <w:rFonts w:ascii="Arial" w:cs="Arial" w:eastAsia="Arial" w:hAnsi="Arial"/>
          <w:sz w:val="18"/>
          <w:szCs w:val="18"/>
          <w:color w:val="000000"/>
        </w:rPr>
        <w:t>2016</w:t>
      </w:r>
      <w:r>
        <w:rPr>
          <w:rFonts w:ascii="Arial" w:cs="Arial" w:eastAsia="Arial" w:hAnsi="Arial"/>
          <w:sz w:val="18"/>
          <w:szCs w:val="18"/>
          <w:color w:val="231F20"/>
        </w:rPr>
        <w:t xml:space="preserve">, our VM Solutions included revenues from VM, Private Cloud Platform, Continuous Monitoring, Cloud Agent for VM, AssetView, and ThreatPROTECT. In </w:t>
      </w:r>
      <w:r>
        <w:rPr>
          <w:rFonts w:ascii="Arial" w:cs="Arial" w:eastAsia="Arial" w:hAnsi="Arial"/>
          <w:sz w:val="18"/>
          <w:szCs w:val="18"/>
          <w:color w:val="000000"/>
        </w:rPr>
        <w:t>2015</w:t>
      </w:r>
      <w:r>
        <w:rPr>
          <w:rFonts w:ascii="Arial" w:cs="Arial" w:eastAsia="Arial" w:hAnsi="Arial"/>
          <w:sz w:val="18"/>
          <w:szCs w:val="18"/>
          <w:color w:val="231F20"/>
        </w:rPr>
        <w:t xml:space="preserve">, our VM Solutions included revenues from VM, Private Cloud Platform, Continuous Monitoring and Cloud Agent for VM. In </w:t>
      </w:r>
      <w:r>
        <w:rPr>
          <w:rFonts w:ascii="Arial" w:cs="Arial" w:eastAsia="Arial" w:hAnsi="Arial"/>
          <w:sz w:val="18"/>
          <w:szCs w:val="18"/>
          <w:color w:val="000000"/>
        </w:rPr>
        <w:t>2014</w:t>
      </w:r>
      <w:r>
        <w:rPr>
          <w:rFonts w:ascii="Arial" w:cs="Arial" w:eastAsia="Arial" w:hAnsi="Arial"/>
          <w:sz w:val="18"/>
          <w:szCs w:val="18"/>
          <w:color w:val="231F20"/>
        </w:rPr>
        <w:t xml:space="preserve">, our VM Solutions included revenues from VM, Private Cloud Platform and Continuous Monitoring. In prior 10-Q and 10-K filings, we had included all revenues from scanners and credits for prepaid services in our VM Solutions revenues. In the fourth quarter of 2016, we changed the methodology to allocate revenues from scanners and credits across our products. Based on the prior methodology, our VM Solutions would have made up 78% of total revenues in </w:t>
      </w:r>
      <w:r>
        <w:rPr>
          <w:rFonts w:ascii="Arial" w:cs="Arial" w:eastAsia="Arial" w:hAnsi="Arial"/>
          <w:sz w:val="18"/>
          <w:szCs w:val="18"/>
          <w:color w:val="000000"/>
        </w:rPr>
        <w:t>2016</w:t>
      </w:r>
      <w:r>
        <w:rPr>
          <w:rFonts w:ascii="Arial" w:cs="Arial" w:eastAsia="Arial" w:hAnsi="Arial"/>
          <w:sz w:val="18"/>
          <w:szCs w:val="18"/>
          <w:color w:val="231F20"/>
        </w:rPr>
        <w:t xml:space="preserve">, down 1% from 79% in </w:t>
      </w:r>
      <w:r>
        <w:rPr>
          <w:rFonts w:ascii="Arial" w:cs="Arial" w:eastAsia="Arial" w:hAnsi="Arial"/>
          <w:sz w:val="18"/>
          <w:szCs w:val="18"/>
          <w:color w:val="000000"/>
        </w:rPr>
        <w:t>2015</w:t>
      </w:r>
      <w:r>
        <w:rPr>
          <w:rFonts w:ascii="Arial" w:cs="Arial" w:eastAsia="Arial" w:hAnsi="Arial"/>
          <w:sz w:val="18"/>
          <w:szCs w:val="18"/>
          <w:color w:val="231F20"/>
        </w:rPr>
        <w:t>.</w:t>
      </w:r>
    </w:p>
    <w:p>
      <w:pPr>
        <w:spacing w:after="0" w:line="213"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As VM gained acceptance, we introduced new solutions to help customers manage increasing IT security and compliance requirements. In 2006, we added our PCI Compliance solution, and in 2008, we added our Policy Compliance (PC) solution. In 2009, we broadened the scope of our cloud services by adding Web Application Scanning. In 2012, we introduced our virtualized private cloud platform as an additional deployment option of our solutions for customers and partners. In 2014, we released Continuous Monitoring for internet-facing systems, which allows customers to continuously monitor their mission-critical assets and to be alerted to security vulnerabilities or misconfigurations that may make them more susceptible to a cyber-attack. In 2014, we also launched Web Application Firewall (WAF). Qualys WAF, currently is in limited release, it delivers enterprise -grade web application security without the costs, footprint, and complexity associated with appliance-based web application firewall solutions. In 2015, we introduced our Cloud Agent Platform (CAP), which provides customers </w:t>
      </w:r>
      <w:r>
        <w:rPr>
          <w:rFonts w:ascii="Arial" w:cs="Arial" w:eastAsia="Arial" w:hAnsi="Arial"/>
          <w:sz w:val="18"/>
          <w:szCs w:val="18"/>
          <w:color w:val="000000"/>
        </w:rPr>
        <w:t>with the ability to secure IT</w:t>
      </w:r>
      <w:r>
        <w:rPr>
          <w:rFonts w:ascii="Arial" w:cs="Arial" w:eastAsia="Arial" w:hAnsi="Arial"/>
          <w:sz w:val="18"/>
          <w:szCs w:val="18"/>
          <w:color w:val="231F20"/>
        </w:rPr>
        <w:t xml:space="preserve"> </w:t>
      </w:r>
      <w:r>
        <w:rPr>
          <w:rFonts w:ascii="Arial" w:cs="Arial" w:eastAsia="Arial" w:hAnsi="Arial"/>
          <w:sz w:val="18"/>
          <w:szCs w:val="18"/>
          <w:color w:val="000000"/>
        </w:rPr>
        <w:t>assets on a continuous basis regardless of where they reside, inside the enterprise, in the cloud or mobile endpoints. CAP allows organizations to perform vulnerability and compliance management on a continuous basis. It is a natural extension to our cloud platform and allows us to expand our footprint in the enterprise and provide VM and PC solutions to mobile endpoints and elastic cloud environments. In 2015, we also launched AssetView and Security Assessment Questionnaire. AssetView is a free, cloud-based asset inventory service that provides visibility and actionable data on global IT assets within an organization. We do not charge for AssetView but do charge for AssetView synchronization with ServiceNow CMDB (Configuration Management Database). This integrates our robust asset discovery and classification capabilities with ServiceNow’s platform. Security Assessment Questionnaire enables organizations to better orchestrate security assessments or compliance audits with automated validation. In 2016, we introduced ThreatPROTECT, which prioritizes identified vulnerabilities for customers using our VM solution.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 Revenues from customers existing at or prior to December 31, 2015 grew by $20.4 million to $184.7 million during 2016, representing 112% of total revenues in 2015. We expect revenue growth from existing customers to continue. Subscriptions from new customers added in 2016 contributed $13.2 million to the increase in revenues.</w:t>
      </w:r>
    </w:p>
    <w:p>
      <w:pPr>
        <w:spacing w:after="0" w:line="20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market and sell our solutions to enterprises, government entities and to small and medium-sized businesses across a broad range of industries, including education, financial services, government, healthcare, insurance, manufacturing, media, retail, technology and utilities. As of December 31, 2016, we had over 9,300 customers, excluding security consulting firms, in more than 100 countries, including a majority of each of the Forbes Global 100 and Fortune 100. In 2016, 2015 and 2014, approximately 71%, 70% and 70%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0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have had continued revenue growth over the past three years. Our revenues increased from $133.6 million in 2014 to $164.3 million in 2015, and reached $197.9 million in 2016, representing period-over-period increases of $30.7 million, and $33.6 million, or 23% and 20%, respectively. We generated net income of $30.2 million in 2014, $15.9 million in 2015, and $19.2 million in 2016. Net income in 2014 includes a tax benefit of $23.7 million for recognition of our U.S. federal and certain state deferred tax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4"/>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Pr>
          <w:p>
            <w:pPr>
              <w:spacing w:after="0"/>
              <w:rPr>
                <w:sz w:val="18"/>
                <w:szCs w:val="18"/>
                <w:color w:val="auto"/>
              </w:rPr>
            </w:pPr>
          </w:p>
        </w:tc>
      </w:tr>
      <w:tr>
        <w:trPr>
          <w:trHeight w:val="283"/>
        </w:trPr>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0"/>
        </w:trPr>
        <w:tc>
          <w:tcPr>
            <w:tcW w:w="67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67,966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56,660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31,693</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Free cash flows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44,865</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45,810</w:t>
            </w: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27,411</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and amortization of property and equipment, (4) amortization of intangible assets, (5) stock-based compensation and (6) one-time tax related expense.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unaudited table presents the reconciliation of net income to Adjusted EBITDA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9"/>
                <w:szCs w:val="19"/>
                <w:color w:val="auto"/>
              </w:rPr>
            </w:pPr>
          </w:p>
        </w:tc>
      </w:tr>
      <w:tr>
        <w:trPr>
          <w:trHeight w:val="264"/>
        </w:trPr>
        <w:tc>
          <w:tcPr>
            <w:tcW w:w="6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r>
      <w:tr>
        <w:trPr>
          <w:trHeight w:val="247"/>
        </w:trPr>
        <w:tc>
          <w:tcPr>
            <w:tcW w:w="6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80"/>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30,244</w:t>
            </w:r>
          </w:p>
        </w:tc>
      </w:tr>
      <w:tr>
        <w:trPr>
          <w:trHeight w:val="260"/>
        </w:trPr>
        <w:tc>
          <w:tcPr>
            <w:tcW w:w="66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634</w:t>
            </w:r>
          </w:p>
        </w:tc>
      </w:tr>
      <w:tr>
        <w:trPr>
          <w:trHeight w:val="280"/>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(21,631)</w:t>
            </w:r>
          </w:p>
        </w:tc>
      </w:tr>
      <w:tr>
        <w:trPr>
          <w:trHeight w:val="260"/>
        </w:trPr>
        <w:tc>
          <w:tcPr>
            <w:tcW w:w="662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13,974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11,504</w:t>
            </w:r>
          </w:p>
        </w:tc>
      </w:tr>
      <w:tr>
        <w:trPr>
          <w:trHeight w:val="280"/>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393</w:t>
            </w:r>
          </w:p>
        </w:tc>
      </w:tr>
      <w:tr>
        <w:trPr>
          <w:trHeight w:val="260"/>
        </w:trPr>
        <w:tc>
          <w:tcPr>
            <w:tcW w:w="66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17,494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10,549</w:t>
            </w:r>
          </w:p>
        </w:tc>
      </w:tr>
      <w:tr>
        <w:trPr>
          <w:trHeight w:val="30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One-time tax related expense</w:t>
            </w:r>
            <w:r>
              <w:rPr>
                <w:rFonts w:ascii="Arial" w:cs="Arial" w:eastAsia="Arial" w:hAnsi="Arial"/>
                <w:sz w:val="21"/>
                <w:szCs w:val="21"/>
                <w:color w:val="auto"/>
                <w:vertAlign w:val="superscript"/>
              </w:rPr>
              <w:t>(1)</w:t>
            </w:r>
          </w:p>
        </w:tc>
        <w:tc>
          <w:tcPr>
            <w:tcW w:w="3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1"/>
        </w:trPr>
        <w:tc>
          <w:tcPr>
            <w:tcW w:w="66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67,966</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56,660</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31,693</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66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40" w:firstLine="251"/>
        <w:spacing w:after="0" w:line="276" w:lineRule="auto"/>
        <w:tabs>
          <w:tab w:leader="none" w:pos="405"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Adjusted EBITDA for 2016 excludes approximately $0.7 million of a non-recurring expense related to the remittance of payroll taxes from fiscal year 2013 through May 2016. During this same period, we have not excluded any amounts related to other non-recurring items from Adjusted EBITDA because we have considered such amounts to be immaterial.</w:t>
      </w:r>
    </w:p>
    <w:p>
      <w:pPr>
        <w:spacing w:after="0" w:line="3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47"/>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65,960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41,423</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Less: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(13,914)</w:t>
            </w:r>
          </w:p>
        </w:tc>
      </w:tr>
      <w:tr>
        <w:trPr>
          <w:trHeight w:val="264"/>
        </w:trPr>
        <w:tc>
          <w:tcPr>
            <w:tcW w:w="6760" w:type="dxa"/>
            <w:vAlign w:val="bottom"/>
          </w:tcPr>
          <w:p>
            <w:pPr>
              <w:ind w:left="180"/>
              <w:spacing w:after="0"/>
              <w:rPr>
                <w:sz w:val="20"/>
                <w:szCs w:val="20"/>
                <w:color w:val="auto"/>
              </w:rPr>
            </w:pPr>
            <w:r>
              <w:rPr>
                <w:rFonts w:ascii="Arial" w:cs="Arial" w:eastAsia="Arial" w:hAnsi="Arial"/>
                <w:sz w:val="16"/>
                <w:szCs w:val="16"/>
                <w:color w:val="auto"/>
              </w:rPr>
              <w:t>Capitalized software development costs</w:t>
            </w:r>
          </w:p>
        </w:tc>
        <w:tc>
          <w:tcPr>
            <w:tcW w:w="3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4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45,810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27,411</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38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and computer equipment if they do not renew their subscriptions.</w:t>
      </w:r>
    </w:p>
    <w:p>
      <w:pPr>
        <w:spacing w:after="0" w:line="206" w:lineRule="exact"/>
        <w:rPr>
          <w:sz w:val="20"/>
          <w:szCs w:val="20"/>
          <w:color w:val="auto"/>
        </w:rPr>
      </w:pPr>
    </w:p>
    <w:p>
      <w:pPr>
        <w:jc w:val="both"/>
        <w:ind w:right="140"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420" w:firstLine="405"/>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and overhead allocations. We expect that general and administrative expenses will increase in absolute dollars, as we continue to add personnel and incur professional services to support our growth and compliance with legal requirements.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right="400"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losses on disposal of property and equipment; and impairment of long-lived assets.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41"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2"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231F20"/>
        </w:rPr>
        <w:t>Our provision for income taxes in 2016 consists of income taxes for federal and certain states in the United States, as well as income taxes for profits generated in foreign jurisdictions by wholly-owned subsidiaries. Our benefit from income taxes in 2014 included a tax benefit for the recognition of our U.S. federal and certain state deferred tax assets. The tax benefit was partially offset by our income tax provision for federal and certain state income taxes in the United States, as well as income taxes for profits generated in foreign jurisdictions by wholly-owned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tables set forth selected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24"/>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197,925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164,284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4"/>
                <w:szCs w:val="14"/>
                <w:color w:val="auto"/>
                <w:vertAlign w:val="superscript"/>
              </w:rPr>
              <w:t>(1)</w:t>
            </w:r>
          </w:p>
        </w:tc>
        <w:tc>
          <w:tcPr>
            <w:tcW w:w="34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42,473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33,885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28,963</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155,452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130,399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104,616</w:t>
            </w:r>
          </w:p>
        </w:tc>
        <w:tc>
          <w:tcPr>
            <w:tcW w:w="0" w:type="dxa"/>
            <w:vAlign w:val="bottom"/>
          </w:tcPr>
          <w:p>
            <w:pPr>
              <w:spacing w:after="0"/>
              <w:rPr>
                <w:sz w:val="1"/>
                <w:szCs w:val="1"/>
                <w:color w:val="auto"/>
              </w:rPr>
            </w:pP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14"/>
                <w:szCs w:val="14"/>
                <w:color w:val="auto"/>
                <w:vertAlign w:val="superscript"/>
              </w:rPr>
              <w:t>(1)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26,320</w:t>
            </w:r>
          </w:p>
        </w:tc>
        <w:tc>
          <w:tcPr>
            <w:tcW w:w="0" w:type="dxa"/>
            <w:vAlign w:val="bottom"/>
          </w:tcPr>
          <w:p>
            <w:pPr>
              <w:spacing w:after="0"/>
              <w:rPr>
                <w:sz w:val="1"/>
                <w:szCs w:val="1"/>
                <w:color w:val="auto"/>
              </w:rPr>
            </w:pPr>
          </w:p>
        </w:tc>
      </w:tr>
      <w:tr>
        <w:trPr>
          <w:trHeight w:val="260"/>
        </w:trPr>
        <w:tc>
          <w:tcPr>
            <w:tcW w:w="6760" w:type="dxa"/>
            <w:vAlign w:val="bottom"/>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14"/>
                <w:szCs w:val="14"/>
                <w:color w:val="auto"/>
                <w:vertAlign w:val="superscript"/>
              </w:rPr>
              <w:t>(1)</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57,970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49,569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48,049</w:t>
            </w:r>
          </w:p>
        </w:tc>
        <w:tc>
          <w:tcPr>
            <w:tcW w:w="0" w:type="dxa"/>
            <w:vAlign w:val="bottom"/>
          </w:tcPr>
          <w:p>
            <w:pPr>
              <w:spacing w:after="0"/>
              <w:rPr>
                <w:sz w:val="1"/>
                <w:szCs w:val="1"/>
                <w:color w:val="auto"/>
              </w:rPr>
            </w:pPr>
          </w:p>
        </w:tc>
      </w:tr>
      <w:tr>
        <w:trPr>
          <w:trHeight w:val="273"/>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14"/>
                <w:szCs w:val="14"/>
                <w:color w:val="auto"/>
                <w:vertAlign w:val="superscript"/>
              </w:rPr>
              <w:t>(1)</w:t>
            </w:r>
          </w:p>
        </w:tc>
        <w:tc>
          <w:tcPr>
            <w:tcW w:w="340" w:type="dxa"/>
            <w:vAlign w:val="bottom"/>
            <w:tcBorders>
              <w:bottom w:val="single" w:sz="8" w:color="231F20"/>
            </w:tcBorders>
            <w:shd w:val="clear" w:color="auto" w:fill="CCEEFF"/>
          </w:tcPr>
          <w:p>
            <w:pPr>
              <w:spacing w:after="0"/>
              <w:rPr>
                <w:sz w:val="23"/>
                <w:szCs w:val="23"/>
                <w:color w:val="auto"/>
              </w:rPr>
            </w:pPr>
          </w:p>
        </w:tc>
        <w:tc>
          <w:tcPr>
            <w:tcW w:w="11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32,108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26,573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21,000</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125,345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105,593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95,369</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9,247</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8,613</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4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11,205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8,655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(21,631)</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30,244</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67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r>
      <w:tr>
        <w:trPr>
          <w:trHeight w:val="196"/>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w:t>
            </w: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Research and development</w:t>
            </w:r>
          </w:p>
        </w:tc>
        <w:tc>
          <w:tcPr>
            <w:tcW w:w="9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5,678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4,936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2,470</w:t>
            </w: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9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3,867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2,407</w:t>
            </w: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4,915</w:t>
            </w:r>
          </w:p>
        </w:tc>
      </w:tr>
      <w:tr>
        <w:trPr>
          <w:trHeight w:val="243"/>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20,149</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17,494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following table sets forth selected consolidated statements of operations data for each of the periods presented as a percentage of revenues.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64"/>
        </w:trPr>
        <w:tc>
          <w:tcPr>
            <w:tcW w:w="6580" w:type="dxa"/>
            <w:vAlign w:val="bottom"/>
            <w:tcBorders>
              <w:bottom w:val="single" w:sz="8" w:color="CCEEFF"/>
            </w:tcBorders>
            <w:gridSpan w:val="2"/>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r>
      <w:tr>
        <w:trPr>
          <w:trHeight w:val="257"/>
        </w:trPr>
        <w:tc>
          <w:tcPr>
            <w:tcW w:w="7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6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revenues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w:t>
            </w:r>
          </w:p>
        </w:tc>
      </w:tr>
      <w:tr>
        <w:trPr>
          <w:trHeight w:val="257"/>
        </w:trPr>
        <w:tc>
          <w:tcPr>
            <w:tcW w:w="758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78</w:t>
            </w:r>
          </w:p>
        </w:tc>
      </w:tr>
      <w:tr>
        <w:trPr>
          <w:trHeight w:val="260"/>
        </w:trPr>
        <w:tc>
          <w:tcPr>
            <w:tcW w:w="758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758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r>
      <w:tr>
        <w:trPr>
          <w:trHeight w:val="260"/>
        </w:trPr>
        <w:tc>
          <w:tcPr>
            <w:tcW w:w="7580" w:type="dxa"/>
            <w:vAlign w:val="bottom"/>
            <w:gridSpan w:val="3"/>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36</w:t>
            </w:r>
          </w:p>
        </w:tc>
      </w:tr>
      <w:tr>
        <w:trPr>
          <w:trHeight w:val="273"/>
        </w:trPr>
        <w:tc>
          <w:tcPr>
            <w:tcW w:w="6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50"/>
        </w:trPr>
        <w:tc>
          <w:tcPr>
            <w:tcW w:w="65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w:t>
            </w:r>
          </w:p>
        </w:tc>
      </w:tr>
      <w:tr>
        <w:trPr>
          <w:trHeight w:val="257"/>
        </w:trPr>
        <w:tc>
          <w:tcPr>
            <w:tcW w:w="7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r>
      <w:tr>
        <w:trPr>
          <w:trHeight w:val="264"/>
        </w:trPr>
        <w:tc>
          <w:tcPr>
            <w:tcW w:w="6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expense, net</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r>
      <w:tr>
        <w:trPr>
          <w:trHeight w:val="257"/>
        </w:trPr>
        <w:tc>
          <w:tcPr>
            <w:tcW w:w="7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r>
      <w:tr>
        <w:trPr>
          <w:trHeight w:val="264"/>
        </w:trPr>
        <w:tc>
          <w:tcPr>
            <w:tcW w:w="65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w:t>
            </w:r>
          </w:p>
        </w:tc>
      </w:tr>
      <w:tr>
        <w:trPr>
          <w:trHeight w:val="240"/>
        </w:trPr>
        <w:tc>
          <w:tcPr>
            <w:tcW w:w="7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Years Ended December 31, 2016 and 2015</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6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197,925</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164,284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33,641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bl>
    <w:p>
      <w:pPr>
        <w:spacing w:after="0" w:line="215"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Revenues increased $33.6 million in 2016 compared to 2015. Revenues from customers existing at or prior to December 31, 2015 grew by $20.4 million to $184.7 million during 2016, representing 112% of total revenues in 2015. We expect revenue growth from existing customers to continue. Subscriptions from new customers added in 2016 contributed $13.2 million to the increase in revenues. Of the total increase of $33.6 million, $24.3 million was from customers in the United States and the remaining $9.3 million was from customers in foreign countries. The growth in revenues reflects the continued demand for our solutions.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42,473</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33,885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8,588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right="20" w:firstLine="405"/>
        <w:spacing w:after="0" w:line="274" w:lineRule="auto"/>
        <w:rPr>
          <w:sz w:val="20"/>
          <w:szCs w:val="20"/>
          <w:color w:val="auto"/>
        </w:rPr>
      </w:pPr>
      <w:r>
        <w:rPr>
          <w:rFonts w:ascii="Arial" w:cs="Arial" w:eastAsia="Arial" w:hAnsi="Arial"/>
          <w:sz w:val="17"/>
          <w:szCs w:val="17"/>
          <w:color w:val="231F20"/>
        </w:rPr>
        <w:t xml:space="preserve">Cost of revenues increased </w:t>
      </w:r>
      <w:r>
        <w:rPr>
          <w:rFonts w:ascii="Arial" w:cs="Arial" w:eastAsia="Arial" w:hAnsi="Arial"/>
          <w:sz w:val="17"/>
          <w:szCs w:val="17"/>
          <w:color w:val="000000"/>
        </w:rPr>
        <w:t>$8.6 million</w:t>
      </w:r>
      <w:r>
        <w:rPr>
          <w:rFonts w:ascii="Arial" w:cs="Arial" w:eastAsia="Arial" w:hAnsi="Arial"/>
          <w:sz w:val="17"/>
          <w:szCs w:val="17"/>
          <w:color w:val="231F20"/>
        </w:rPr>
        <w:t xml:space="preserve"> in </w:t>
      </w:r>
      <w:r>
        <w:rPr>
          <w:rFonts w:ascii="Arial" w:cs="Arial" w:eastAsia="Arial" w:hAnsi="Arial"/>
          <w:sz w:val="17"/>
          <w:szCs w:val="17"/>
          <w:color w:val="000000"/>
        </w:rPr>
        <w:t>2016</w:t>
      </w:r>
      <w:r>
        <w:rPr>
          <w:rFonts w:ascii="Arial" w:cs="Arial" w:eastAsia="Arial" w:hAnsi="Arial"/>
          <w:sz w:val="17"/>
          <w:szCs w:val="17"/>
          <w:color w:val="231F20"/>
        </w:rPr>
        <w:t xml:space="preserve"> compared to </w:t>
      </w:r>
      <w:r>
        <w:rPr>
          <w:rFonts w:ascii="Arial" w:cs="Arial" w:eastAsia="Arial" w:hAnsi="Arial"/>
          <w:sz w:val="17"/>
          <w:szCs w:val="17"/>
          <w:color w:val="000000"/>
        </w:rPr>
        <w:t>2015</w:t>
      </w:r>
      <w:r>
        <w:rPr>
          <w:rFonts w:ascii="Arial" w:cs="Arial" w:eastAsia="Arial" w:hAnsi="Arial"/>
          <w:sz w:val="17"/>
          <w:szCs w:val="17"/>
          <w:color w:val="231F20"/>
        </w:rPr>
        <w:t>, primarily due to an increase in personnel expenses of $2.7 million to support the continued growth of our business; a $2.2 million increase in depreciation expense related to additional computer hardware and software; increased third-party software license maintenance expense of $ 2.1 million; increased data center costs and equipment repairs and maintenance of $0.5 million; increased overhead costs of $0.5 million; and increased temporary services of $0.2 million as we continue to grow.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35,267</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29,451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5,816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Research and development expenses increased $5.8 million in 2016 compared to 2015, primarily due to an increase in personnel expenses of $4.9 million, driven by the increase in the number of employees; increased temporary services of $0.5 million; and increased overhead costs of $0.5 million as we continue to grow. We continue to significantly invest in and expand our research and development teams to continuously improve our platform and existing solutions, as well as develop new solutions and capabilities.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57,970</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49,569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8,401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jc w:val="both"/>
        <w:ind w:right="260" w:firstLine="405"/>
        <w:spacing w:after="0" w:line="256" w:lineRule="auto"/>
        <w:rPr>
          <w:sz w:val="20"/>
          <w:szCs w:val="20"/>
          <w:color w:val="auto"/>
        </w:rPr>
      </w:pPr>
      <w:r>
        <w:rPr>
          <w:rFonts w:ascii="Arial" w:cs="Arial" w:eastAsia="Arial" w:hAnsi="Arial"/>
          <w:sz w:val="18"/>
          <w:szCs w:val="18"/>
          <w:color w:val="231F20"/>
        </w:rPr>
        <w:t>Sales and marketing expenses increased $8.4 million in 2016 compared to 2015, primarily due to an increase in personnel expenses of $5.2 million, principally due to the increase in the number of employees; increased marketing expenses of $2.1 million, primarily trade show, lead generation and branding expenses; and increased software license and maintenance fees of $0.9 million.</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32,108</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26,573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5,535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$5.5 million</w:t>
      </w:r>
      <w:r>
        <w:rPr>
          <w:rFonts w:ascii="Arial" w:cs="Arial" w:eastAsia="Arial" w:hAnsi="Arial"/>
          <w:sz w:val="18"/>
          <w:szCs w:val="18"/>
          <w:color w:val="231F20"/>
        </w:rPr>
        <w:t xml:space="preserve"> in </w:t>
      </w:r>
      <w:r>
        <w:rPr>
          <w:rFonts w:ascii="Arial" w:cs="Arial" w:eastAsia="Arial" w:hAnsi="Arial"/>
          <w:sz w:val="18"/>
          <w:szCs w:val="18"/>
          <w:color w:val="000000"/>
        </w:rPr>
        <w:t>2016</w:t>
      </w:r>
      <w:r>
        <w:rPr>
          <w:rFonts w:ascii="Arial" w:cs="Arial" w:eastAsia="Arial" w:hAnsi="Arial"/>
          <w:sz w:val="18"/>
          <w:szCs w:val="18"/>
          <w:color w:val="231F20"/>
        </w:rPr>
        <w:t xml:space="preserve"> compared to </w:t>
      </w:r>
      <w:r>
        <w:rPr>
          <w:rFonts w:ascii="Arial" w:cs="Arial" w:eastAsia="Arial" w:hAnsi="Arial"/>
          <w:sz w:val="18"/>
          <w:szCs w:val="18"/>
          <w:color w:val="000000"/>
        </w:rPr>
        <w:t>2015</w:t>
      </w:r>
      <w:r>
        <w:rPr>
          <w:rFonts w:ascii="Arial" w:cs="Arial" w:eastAsia="Arial" w:hAnsi="Arial"/>
          <w:sz w:val="18"/>
          <w:szCs w:val="18"/>
          <w:color w:val="231F20"/>
        </w:rPr>
        <w:t xml:space="preserve">, primarily driven by increased legal, accounting, consulting and temporary services of $2.8 million; increased personnel expenses of $2.4 million, principally due to additional employees </w:t>
      </w:r>
      <w:r>
        <w:rPr>
          <w:rFonts w:ascii="Arial" w:cs="Arial" w:eastAsia="Arial" w:hAnsi="Arial"/>
          <w:sz w:val="18"/>
          <w:szCs w:val="18"/>
          <w:color w:val="000000"/>
        </w:rPr>
        <w:t>to</w:t>
      </w:r>
      <w:r>
        <w:rPr>
          <w:rFonts w:ascii="Arial" w:cs="Arial" w:eastAsia="Arial" w:hAnsi="Arial"/>
          <w:sz w:val="18"/>
          <w:szCs w:val="18"/>
          <w:color w:val="231F20"/>
        </w:rPr>
        <w:t xml:space="preserve"> </w:t>
      </w:r>
      <w:r>
        <w:rPr>
          <w:rFonts w:ascii="Arial" w:cs="Arial" w:eastAsia="Arial" w:hAnsi="Arial"/>
          <w:sz w:val="18"/>
          <w:szCs w:val="18"/>
          <w:color w:val="000000"/>
        </w:rPr>
        <w:t>support the growth of our business</w:t>
      </w:r>
      <w:r>
        <w:rPr>
          <w:rFonts w:ascii="Arial" w:cs="Arial" w:eastAsia="Arial" w:hAnsi="Arial"/>
          <w:sz w:val="18"/>
          <w:szCs w:val="18"/>
          <w:color w:val="231F20"/>
        </w:rPr>
        <w:t>; $0.7 million of a non-recurring expense in 2016 related to the remittance of payroll taxes from fiscal year</w:t>
      </w:r>
      <w:r>
        <w:rPr>
          <w:rFonts w:ascii="Arial" w:cs="Arial" w:eastAsia="Arial" w:hAnsi="Arial"/>
          <w:sz w:val="18"/>
          <w:szCs w:val="18"/>
          <w:color w:val="000000"/>
        </w:rPr>
        <w:t xml:space="preserve"> </w:t>
      </w:r>
      <w:r>
        <w:rPr>
          <w:rFonts w:ascii="Arial" w:cs="Arial" w:eastAsia="Arial" w:hAnsi="Arial"/>
          <w:sz w:val="18"/>
          <w:szCs w:val="18"/>
          <w:color w:val="231F20"/>
        </w:rPr>
        <w:t>2013 through May 2016; and a $0.3 million increase in dues and subscriptions. These increases were partially offset by lower bad debt expense of $0.7 million.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9"/>
              </w:rPr>
              <w:t>Year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6"/>
                <w:szCs w:val="16"/>
                <w:b w:val="1"/>
                <w:bCs w:val="1"/>
                <w:color w:val="auto"/>
                <w:w w:val="99"/>
              </w:rPr>
              <w:t>December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322</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608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51"/>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color w:val="231F20"/>
        </w:rPr>
        <w:t>Other income (expense), net, increased $0.6 million in 2016 compared to 2015, primarily due to an increase in investment and interest income and lower foreign exchange losses.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11,205</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2,550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increase in the provision for income taxes in 2016 compared to 2015 is primarily due to the significant increase in income before tax of $30.4 million in 2016 compared to $24.5 million in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2015 and 2014</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3"/>
        </w:trPr>
        <w:tc>
          <w:tcPr>
            <w:tcW w:w="5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64"/>
        </w:trPr>
        <w:tc>
          <w:tcPr>
            <w:tcW w:w="5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70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(in thousands, except percentages)</w:t>
            </w:r>
          </w:p>
        </w:tc>
        <w:tc>
          <w:tcPr>
            <w:tcW w:w="1080" w:type="dxa"/>
            <w:vAlign w:val="bottom"/>
          </w:tcPr>
          <w:p>
            <w:pPr>
              <w:spacing w:after="0"/>
              <w:rPr>
                <w:sz w:val="21"/>
                <w:szCs w:val="21"/>
                <w:color w:val="auto"/>
              </w:rPr>
            </w:pPr>
          </w:p>
        </w:tc>
      </w:tr>
      <w:tr>
        <w:trPr>
          <w:trHeight w:val="28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164,284</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30,705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bl>
    <w:p>
      <w:pPr>
        <w:spacing w:after="0" w:line="16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 xml:space="preserve">Revenues increased $30.7 million in 2015 compared to 2014. Revenues from customers existing at or prior to December 31, 2014 grew by $18.9 million to $152.5 million in 2015, </w:t>
      </w:r>
      <w:r>
        <w:rPr>
          <w:rFonts w:ascii="Arial" w:cs="Arial" w:eastAsia="Arial" w:hAnsi="Arial"/>
          <w:sz w:val="18"/>
          <w:szCs w:val="18"/>
          <w:color w:val="231F20"/>
        </w:rPr>
        <w:t>representing 114% of total revenues in 2014, primarily due to increased subscriptions and purchases</w:t>
      </w:r>
      <w:r>
        <w:rPr>
          <w:rFonts w:ascii="Arial" w:cs="Arial" w:eastAsia="Arial" w:hAnsi="Arial"/>
          <w:sz w:val="18"/>
          <w:szCs w:val="18"/>
          <w:color w:val="auto"/>
        </w:rPr>
        <w:t xml:space="preserve"> </w:t>
      </w:r>
      <w:r>
        <w:rPr>
          <w:rFonts w:ascii="Arial" w:cs="Arial" w:eastAsia="Arial" w:hAnsi="Arial"/>
          <w:sz w:val="18"/>
          <w:szCs w:val="18"/>
          <w:color w:val="231F20"/>
        </w:rPr>
        <w:t xml:space="preserve">of additional solutions. </w:t>
      </w:r>
      <w:r>
        <w:rPr>
          <w:rFonts w:ascii="Arial" w:cs="Arial" w:eastAsia="Arial" w:hAnsi="Arial"/>
          <w:sz w:val="18"/>
          <w:szCs w:val="18"/>
          <w:color w:val="000000"/>
        </w:rPr>
        <w:t>Subscriptions from new customers added in 2015 contributed $11.8 million to the increase in revenues. Of the total</w:t>
      </w:r>
      <w:r>
        <w:rPr>
          <w:rFonts w:ascii="Arial" w:cs="Arial" w:eastAsia="Arial" w:hAnsi="Arial"/>
          <w:sz w:val="18"/>
          <w:szCs w:val="18"/>
          <w:color w:val="231F20"/>
        </w:rPr>
        <w:t xml:space="preserve"> </w:t>
      </w:r>
      <w:r>
        <w:rPr>
          <w:rFonts w:ascii="Arial" w:cs="Arial" w:eastAsia="Arial" w:hAnsi="Arial"/>
          <w:sz w:val="18"/>
          <w:szCs w:val="18"/>
          <w:color w:val="000000"/>
        </w:rPr>
        <w:t>increase of $30.7 million, $22.0 million was from customers in the United States and the remaining $8.7 million was from customers in foreign countries. The growth in revenues reflects increased demand for our solutions.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33,885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28,963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4,922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Cost of revenues increased $4.9 million in 2015 compared to 2014, primarily due to a $2.3 million increase in depreciation expenses related to additional computer hardware and software; increased third-party software maintenance expense of $1.6 million; increased stock-based compensation expense of $0.5 million; and increased data center costs of $0.3 million to support the continued growth of our business.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29,451</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26,320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3,131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8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Research and development expenses increased $3.1 million in 2015 compared to 2014, primarily due to an increase in personnel expenses of $3.2 million, due to addition of new employees and higher stock-based compensation. We continue to significantly invest in and expand our research and development teams to continuously improve our platform and existing solutions as well as develop new solutions and capabilities.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49,569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48,049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1,520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81"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Sales and marketing expenses increased $1.5 million in 2015 compared to 2014, primarily due to an increased marketing program and trade show activities of $0.8 million due to growth of the business and introduction of new solutions; and an increase in personnel expenses of $0.6 million, principally due to higher stock-based compensation.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26,573</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5,573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181"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General and administrative expenses increased $5.6 million in 2015 compared to 2014, primarily due to an increase in personnel expenses of $2.9 million, principally due to higher employee stock-based compensation and the addition of new employees to support the growth of our business; increased professional services of $1.0 million to support growth and compliance with legal and regulatory requirements, including the additional requirements of the Sarbanes-Oxley Act now that we are no longer an Emerging Growth Company; and increased bad debt expense and other fees of $1.0 million.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9"/>
              </w:rPr>
              <w:t>Year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3"/>
        </w:trPr>
        <w:tc>
          <w:tcPr>
            <w:tcW w:w="52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6"/>
                <w:szCs w:val="16"/>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47"/>
        </w:trPr>
        <w:tc>
          <w:tcPr>
            <w:tcW w:w="5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8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(in thousands, except percentages)</w:t>
            </w:r>
          </w:p>
        </w:tc>
        <w:tc>
          <w:tcPr>
            <w:tcW w:w="108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(286)</w:t>
            </w:r>
          </w:p>
        </w:tc>
        <w:tc>
          <w:tcPr>
            <w:tcW w:w="9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(634)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348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51"/>
        </w:trPr>
        <w:tc>
          <w:tcPr>
            <w:tcW w:w="52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Other expense, net increased $0.3 million in 2015 compared to 2014, </w:t>
      </w:r>
      <w:r>
        <w:rPr>
          <w:rFonts w:ascii="Arial" w:cs="Arial" w:eastAsia="Arial" w:hAnsi="Arial"/>
          <w:sz w:val="18"/>
          <w:szCs w:val="18"/>
          <w:color w:val="231F20"/>
        </w:rPr>
        <w:t>primarily due to lower foreign exchange losses in 2015.</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6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8,655</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30,286</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18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The increase in the provision for (benefit from) income taxes in 2015 compared to 2014 is primarily due to a tax benefit of $23.7 million for the recognition of our U.S. federal and certain state deferred tax assets in 2014. In the fourth quarter of 2014, management determined it was more likely than not that certain deferred tax assets were realizable, primarily due to the increased and expected sustainable profitability in our U.S. operations. The tax benefit in 2014 was partially offset by taxes on income for U.S. federal and certain state jurisdictions as well as taxes on income in foreign jurisdictions for our wholly-owned subsidiaries. The increase in the provision for tax is also due to the significant increase in income before tax of $24.5 million in 2015 compared to $8.6 million in 2014.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2016</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$289.6</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w:t>
      </w:r>
      <w:r>
        <w:rPr>
          <w:rFonts w:ascii="Arial" w:cs="Arial" w:eastAsia="Arial" w:hAnsi="Arial"/>
          <w:sz w:val="18"/>
          <w:szCs w:val="18"/>
          <w:color w:val="000000"/>
        </w:rPr>
        <w:t xml:space="preserve"> $3.9 million </w:t>
      </w:r>
      <w:r>
        <w:rPr>
          <w:rFonts w:ascii="Arial" w:cs="Arial" w:eastAsia="Arial" w:hAnsi="Arial"/>
          <w:sz w:val="18"/>
          <w:szCs w:val="18"/>
          <w:color w:val="231F20"/>
        </w:rPr>
        <w:t>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U.S. income taxes on such amounts, less previously paid foreign income taxes.</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We have experienced positive cash flows from operations during the </w:t>
      </w:r>
      <w:r>
        <w:rPr>
          <w:rFonts w:ascii="Arial" w:cs="Arial" w:eastAsia="Arial" w:hAnsi="Arial"/>
          <w:sz w:val="18"/>
          <w:szCs w:val="18"/>
          <w:color w:val="000000"/>
        </w:rPr>
        <w:t>years ended December 31, 2016, 2015 and 2014</w:t>
      </w:r>
      <w:r>
        <w:rPr>
          <w:rFonts w:ascii="Arial" w:cs="Arial" w:eastAsia="Arial" w:hAnsi="Arial"/>
          <w:sz w:val="18"/>
          <w:szCs w:val="18"/>
          <w:color w:val="231F20"/>
        </w:rPr>
        <w:t>, respectively.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believe our existing cash, cash equivalents, short-term and long-term investments, and cash from operations will be sufficient to fund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operations for at least the next twelve months. We expect to spend approximately $20.0 to $25.0 million through December 31, </w:t>
      </w:r>
      <w:r>
        <w:rPr>
          <w:rFonts w:ascii="Arial" w:cs="Arial" w:eastAsia="Arial" w:hAnsi="Arial"/>
          <w:sz w:val="18"/>
          <w:szCs w:val="18"/>
          <w:color w:val="000000"/>
        </w:rPr>
        <w:t>2017</w:t>
      </w:r>
      <w:r>
        <w:rPr>
          <w:rFonts w:ascii="Arial" w:cs="Arial" w:eastAsia="Arial" w:hAnsi="Arial"/>
          <w:sz w:val="18"/>
          <w:szCs w:val="18"/>
          <w:color w:val="231F20"/>
        </w:rPr>
        <w:t xml:space="preserve"> for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expenditures, primarily related to infrastructure to support the anticipated growth in our business. In addition, we expect to spend $13.0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$15.0 million related to the construction of </w:t>
      </w:r>
      <w:r>
        <w:rPr>
          <w:rFonts w:ascii="Arial" w:cs="Arial" w:eastAsia="Arial" w:hAnsi="Arial"/>
          <w:sz w:val="18"/>
          <w:szCs w:val="18"/>
          <w:color w:val="000000"/>
        </w:rPr>
        <w:t>certain leasehold improvements for</w:t>
      </w:r>
      <w:r>
        <w:rPr>
          <w:rFonts w:ascii="Arial" w:cs="Arial" w:eastAsia="Arial" w:hAnsi="Arial"/>
          <w:sz w:val="18"/>
          <w:szCs w:val="18"/>
          <w:color w:val="231F20"/>
        </w:rPr>
        <w:t xml:space="preserve"> our new headquarters with approximately 50% to be reimbursed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by the landlord not to exceed $8.0 million. Our future capital requirements will depend on many factors, including our rate of revenue growth,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the expansion of our sales and marketing activities, the timing, type and extent of our spending on research and development efforts,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international expansion and investment in data centers. We may also seek to invest in or acquire complementary businesses or technologies.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520" w:firstLine="405"/>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47"/>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65,960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41,423</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(96,490)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(61,348)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(14,333)</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7,093</w:t>
            </w:r>
          </w:p>
        </w:tc>
      </w:tr>
      <w:tr>
        <w:trPr>
          <w:trHeight w:val="264"/>
        </w:trPr>
        <w:tc>
          <w:tcPr>
            <w:tcW w:w="67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34,135</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2016</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$68.1 million resulted primarily from our net income of approximately $19.2 million, as</w:t>
      </w:r>
      <w:r>
        <w:rPr>
          <w:rFonts w:ascii="Arial" w:cs="Arial" w:eastAsia="Arial" w:hAnsi="Arial"/>
          <w:sz w:val="18"/>
          <w:szCs w:val="18"/>
          <w:color w:val="231F20"/>
        </w:rPr>
        <w:t xml:space="preserve"> </w:t>
      </w:r>
      <w:r>
        <w:rPr>
          <w:rFonts w:ascii="Arial" w:cs="Arial" w:eastAsia="Arial" w:hAnsi="Arial"/>
          <w:sz w:val="18"/>
          <w:szCs w:val="18"/>
          <w:color w:val="000000"/>
        </w:rPr>
        <w:t>adjusted by increases in deferred revenues of $17.9 million</w:t>
      </w:r>
      <w:r>
        <w:rPr>
          <w:rFonts w:ascii="Arial" w:cs="Arial" w:eastAsia="Arial" w:hAnsi="Arial"/>
          <w:sz w:val="18"/>
          <w:szCs w:val="18"/>
          <w:color w:val="231F20"/>
        </w:rPr>
        <w:t xml:space="preserve">, attributable to our continued growth in sales; accrued liabilities of $9.7 million; non-cash items including depreciation and amortization expense of </w:t>
      </w:r>
      <w:r>
        <w:rPr>
          <w:rFonts w:ascii="Arial" w:cs="Arial" w:eastAsia="Arial" w:hAnsi="Arial"/>
          <w:sz w:val="18"/>
          <w:szCs w:val="18"/>
          <w:color w:val="000000"/>
        </w:rPr>
        <w:t>$17.0 million and</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$ 20.1 million</w:t>
      </w:r>
      <w:r>
        <w:rPr>
          <w:rFonts w:ascii="Arial" w:cs="Arial" w:eastAsia="Arial" w:hAnsi="Arial"/>
          <w:sz w:val="18"/>
          <w:szCs w:val="18"/>
          <w:color w:val="231F20"/>
        </w:rPr>
        <w:t xml:space="preserve">. These increases are partially offset by the non-cash effect of excess tax benefits from stock based compensation of $8.7 million, an increase in prepaid expenses and other assets of $2.1 million and an increase in accounts receivable of </w:t>
      </w:r>
      <w:r>
        <w:rPr>
          <w:rFonts w:ascii="Arial" w:cs="Arial" w:eastAsia="Arial" w:hAnsi="Arial"/>
          <w:sz w:val="18"/>
          <w:szCs w:val="18"/>
          <w:color w:val="000000"/>
        </w:rPr>
        <w:t>$4.9 million.</w:t>
      </w:r>
    </w:p>
    <w:p>
      <w:pPr>
        <w:spacing w:after="0" w:line="206"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 xml:space="preserve">In 2015, cash flows from operating activities of $66.0 million resulted primarily from our net income of approximately $15.9 million, as adjusted by an increase in deferred revenues of $21.4 million, attributable to our continued growth and an increase in subscriptions exceeding one year, and by non-cash items including depreciation and amortization expense of $14.4 million, stock-based compensation expense of $17.5 million </w:t>
      </w:r>
      <w:r>
        <w:rPr>
          <w:rFonts w:ascii="Arial" w:cs="Arial" w:eastAsia="Arial" w:hAnsi="Arial"/>
          <w:sz w:val="18"/>
          <w:szCs w:val="18"/>
          <w:color w:val="231F20"/>
        </w:rPr>
        <w:t>and net utilization of deferred income taxes of $6.6</w:t>
      </w:r>
      <w:r>
        <w:rPr>
          <w:rFonts w:ascii="Arial" w:cs="Arial" w:eastAsia="Arial" w:hAnsi="Arial"/>
          <w:sz w:val="18"/>
          <w:szCs w:val="18"/>
          <w:color w:val="auto"/>
        </w:rPr>
        <w:t xml:space="preserve"> million. These increases are partially offset by an increase in accounts receivable of $10.2 million.</w:t>
      </w:r>
    </w:p>
    <w:p>
      <w:pPr>
        <w:spacing w:after="0" w:line="206"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auto"/>
        </w:rPr>
        <w:t>In 2014, cash flows from operating activities of $41.4 million resulted primarily from our net income of approximately $30.2 million, as adjusted by an increase in deferred revenues of $14.8 million, attributable to our continued growth. These working capital increases are further increased by non-cash items including depreciation and amortization expense of $11.9 million and stock-based compensation expense</w:t>
      </w:r>
    </w:p>
    <w:p>
      <w:pPr>
        <w:spacing w:after="0" w:line="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of $10.5 million. These increases are partially offset by an increase in accounts receivable of $4.9 million, due to the overall growth of our business and by a non-cash change in deferred tax assets of $22.6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2016, cash used in investing activities of $96.5 million was primarily attributable to net purchases of investments of $73.2 million, arising from cash provided from operating activities. Additionally, $23.2 million of cash was used for capital expenditures, including computer hardware and software for our data centers to support our growth and development, and to purchase physical scanner appliances and computer hardware provided to certain customers as part of their subscriptions.</w:t>
      </w:r>
    </w:p>
    <w:p>
      <w:pPr>
        <w:spacing w:after="0" w:line="204"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In 2015, cash used in investing activities of $ 61.3 million was primarily attributable to $20.1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net purchases of investments of $41.2 million, arising from cash provided from operating activities.</w:t>
      </w:r>
    </w:p>
    <w:p>
      <w:pPr>
        <w:spacing w:after="0" w:line="204" w:lineRule="exact"/>
        <w:rPr>
          <w:sz w:val="20"/>
          <w:szCs w:val="20"/>
          <w:color w:val="auto"/>
        </w:rPr>
      </w:pPr>
    </w:p>
    <w:p>
      <w:pPr>
        <w:ind w:right="440" w:firstLine="405"/>
        <w:spacing w:after="0" w:line="254" w:lineRule="auto"/>
        <w:rPr>
          <w:sz w:val="20"/>
          <w:szCs w:val="20"/>
          <w:color w:val="auto"/>
        </w:rPr>
      </w:pPr>
      <w:r>
        <w:rPr>
          <w:rFonts w:ascii="Arial" w:cs="Arial" w:eastAsia="Arial" w:hAnsi="Arial"/>
          <w:sz w:val="18"/>
          <w:szCs w:val="18"/>
          <w:color w:val="auto"/>
        </w:rPr>
        <w:t>In 2014, cash used in investing activities of $ 14.3 million was primarily attributable to $13.9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purchases of investments of $157.7 million, partially offset by the sales and maturities of investments of $157.3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In 2016, cash provided by financing activities of $23.4 million was primarily attributable to $15.2 million of proceeds from the exercise of stock options and $8.7 million of excess tax benefits from stock based compensation.</w:t>
      </w:r>
    </w:p>
    <w:p>
      <w:pPr>
        <w:spacing w:after="0" w:line="196"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In 2015, cash provided by financing activities of $10.6 million was primarily attributable to $10.1 million of proceeds from the exercise of stock options.</w:t>
      </w:r>
    </w:p>
    <w:p>
      <w:pPr>
        <w:spacing w:after="0" w:line="196"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auto"/>
        </w:rPr>
        <w:t>In 2014, cash provided by financing activities of $7.1 million was primarily attributable to proceeds of $7.6 million from the exercise of stock options, partially offset by repayments on our capital lease obligations of $0.8 million.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both"/>
        <w:ind w:right="720" w:firstLine="405"/>
        <w:spacing w:after="0" w:line="256" w:lineRule="auto"/>
        <w:rPr>
          <w:sz w:val="20"/>
          <w:szCs w:val="20"/>
          <w:color w:val="auto"/>
        </w:rPr>
      </w:pPr>
      <w:r>
        <w:rPr>
          <w:rFonts w:ascii="Arial" w:cs="Arial" w:eastAsia="Arial" w:hAnsi="Arial"/>
          <w:sz w:val="18"/>
          <w:szCs w:val="18"/>
          <w:color w:val="auto"/>
        </w:rPr>
        <w:t>Our principal commitments consist of obligations under our outstanding leases for office space, third-party data centers and office equipment. The following table summarizes our contractual cash obligations at December 31, 2016 and the effect such obligations are expected to have on our liquidity and cash flows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Payment Due by Period</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8"/>
        </w:trPr>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rPr>
              <w:t>Less Than</w:t>
            </w:r>
          </w:p>
        </w:tc>
        <w:tc>
          <w:tcPr>
            <w:tcW w:w="580" w:type="dxa"/>
            <w:vAlign w:val="bottom"/>
          </w:tcPr>
          <w:p>
            <w:pPr>
              <w:spacing w:after="0"/>
              <w:rPr>
                <w:sz w:val="17"/>
                <w:szCs w:val="17"/>
                <w:color w:val="auto"/>
              </w:rPr>
            </w:pPr>
          </w:p>
        </w:tc>
        <w:tc>
          <w:tcPr>
            <w:tcW w:w="1000" w:type="dxa"/>
            <w:vAlign w:val="bottom"/>
          </w:tcPr>
          <w:p>
            <w:pPr>
              <w:jc w:val="right"/>
              <w:ind w:right="559"/>
              <w:spacing w:after="0"/>
              <w:rPr>
                <w:sz w:val="20"/>
                <w:szCs w:val="20"/>
                <w:color w:val="auto"/>
              </w:rPr>
            </w:pPr>
            <w:r>
              <w:rPr>
                <w:rFonts w:ascii="Arial" w:cs="Arial" w:eastAsia="Arial" w:hAnsi="Arial"/>
                <w:sz w:val="16"/>
                <w:szCs w:val="16"/>
                <w:b w:val="1"/>
                <w:bCs w:val="1"/>
                <w:color w:val="auto"/>
              </w:rPr>
              <w:t>1-3</w:t>
            </w:r>
          </w:p>
        </w:tc>
        <w:tc>
          <w:tcPr>
            <w:tcW w:w="400" w:type="dxa"/>
            <w:vAlign w:val="bottom"/>
          </w:tcPr>
          <w:p>
            <w:pPr>
              <w:spacing w:after="0"/>
              <w:rPr>
                <w:sz w:val="17"/>
                <w:szCs w:val="17"/>
                <w:color w:val="auto"/>
              </w:rPr>
            </w:pPr>
          </w:p>
        </w:tc>
        <w:tc>
          <w:tcPr>
            <w:tcW w:w="1180" w:type="dxa"/>
            <w:vAlign w:val="bottom"/>
          </w:tcPr>
          <w:p>
            <w:pPr>
              <w:jc w:val="right"/>
              <w:ind w:right="559"/>
              <w:spacing w:after="0"/>
              <w:rPr>
                <w:sz w:val="20"/>
                <w:szCs w:val="20"/>
                <w:color w:val="auto"/>
              </w:rPr>
            </w:pPr>
            <w:r>
              <w:rPr>
                <w:rFonts w:ascii="Arial" w:cs="Arial" w:eastAsia="Arial" w:hAnsi="Arial"/>
                <w:sz w:val="16"/>
                <w:szCs w:val="16"/>
                <w:b w:val="1"/>
                <w:bCs w:val="1"/>
                <w:color w:val="auto"/>
              </w:rPr>
              <w:t>3-5</w:t>
            </w: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8"/>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9"/>
              </w:rPr>
              <w:t>1 Year</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rPr>
              <w:t>Years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Years</w:t>
            </w: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More than 5 Years</w:t>
            </w:r>
          </w:p>
        </w:tc>
      </w:tr>
      <w:tr>
        <w:trPr>
          <w:trHeight w:val="260"/>
        </w:trPr>
        <w:tc>
          <w:tcPr>
            <w:tcW w:w="3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2"/>
          </w:tcPr>
          <w:p>
            <w:pPr>
              <w:ind w:left="740"/>
              <w:spacing w:after="0"/>
              <w:rPr>
                <w:sz w:val="20"/>
                <w:szCs w:val="20"/>
                <w:color w:val="auto"/>
              </w:rPr>
            </w:pPr>
            <w:r>
              <w:rPr>
                <w:rFonts w:ascii="Arial" w:cs="Arial" w:eastAsia="Arial" w:hAnsi="Arial"/>
                <w:sz w:val="16"/>
                <w:szCs w:val="16"/>
                <w:b w:val="1"/>
                <w:bCs w:val="1"/>
                <w:color w:val="auto"/>
                <w:w w:val="99"/>
              </w:rPr>
              <w:t>(in thousands)</w:t>
            </w: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41,397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7,128</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9,419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7,371</w:t>
            </w:r>
          </w:p>
        </w:tc>
        <w:tc>
          <w:tcPr>
            <w:tcW w:w="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17,479</w:t>
            </w:r>
          </w:p>
        </w:tc>
      </w:tr>
    </w:tbl>
    <w:p>
      <w:pPr>
        <w:spacing w:after="0" w:line="21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On October 14, 2016, we entered into a lease agreement (included in the table above) for our new headquarter office facility. The lease commences May 1, 2018 and has a ten-year term through April 2028. The total commitment of $38.6 million is payable monthly with escalating rental payments throughout the lease term. We will be provided access to the facility in the first half of 2017 to begin construction of certain leasehold improvements.</w:t>
      </w:r>
    </w:p>
    <w:p>
      <w:pPr>
        <w:spacing w:after="0" w:line="204" w:lineRule="exact"/>
        <w:rPr>
          <w:sz w:val="20"/>
          <w:szCs w:val="20"/>
          <w:color w:val="auto"/>
        </w:rPr>
      </w:pPr>
    </w:p>
    <w:p>
      <w:pPr>
        <w:ind w:right="400" w:firstLine="405"/>
        <w:spacing w:after="0" w:line="262" w:lineRule="auto"/>
        <w:rPr>
          <w:sz w:val="20"/>
          <w:szCs w:val="20"/>
          <w:color w:val="auto"/>
        </w:rPr>
      </w:pPr>
      <w:r>
        <w:rPr>
          <w:rFonts w:ascii="Arial" w:cs="Arial" w:eastAsia="Arial" w:hAnsi="Arial"/>
          <w:sz w:val="18"/>
          <w:szCs w:val="18"/>
          <w:color w:val="auto"/>
        </w:rPr>
        <w:t>In connection with this lease, we have provided the landlord with a $1.2 million standby letter of credit (classified as restricted cash) to secure our obligations through the end of the lease term.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47"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ind w:right="680" w:firstLine="405"/>
        <w:spacing w:after="0" w:line="262" w:lineRule="auto"/>
        <w:rPr>
          <w:sz w:val="20"/>
          <w:szCs w:val="20"/>
          <w:color w:val="auto"/>
        </w:rPr>
      </w:pPr>
      <w:r>
        <w:rPr>
          <w:rFonts w:ascii="Arial" w:cs="Arial" w:eastAsia="Arial" w:hAnsi="Arial"/>
          <w:sz w:val="18"/>
          <w:szCs w:val="18"/>
          <w:color w:val="231F20"/>
        </w:rPr>
        <w:t>See Note 1 to the consolidated financial statements in Part II, Item 8 of this Annual Report on Form10-K for a discussion of recent accounting pronouncements.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0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 xml:space="preserve">Subscriptions for unlimited scans and certain limited scan arrangements with firm expiration dates are recognized ratably over the period in which the services are performed, generally one year. We recognize revenues for certain other limited scan arrangements, where expiration dates can be extended, on an as-used basis. We recognize the subscription of physical scanner appliances and other computer equipment as revenues ratably over the period of the subscription, which is commensurate with the term of the related subscription. Because the customer’s access to our cloud solutions are delivered at the same time or within close proximity to the delivery of physical scanner appliances and the terms are commensurate for these services and equipment, we consider these elements as a single unit of accounting recognized ratably over the subscription term. Costs of shipping and handling charges associated with physical scanner appliances and other computer equipment are included in cost </w:t>
      </w:r>
      <w:r>
        <w:rPr>
          <w:rFonts w:ascii="Arial" w:cs="Arial" w:eastAsia="Arial" w:hAnsi="Arial"/>
          <w:sz w:val="18"/>
          <w:szCs w:val="18"/>
          <w:color w:val="231F20"/>
        </w:rPr>
        <w:t>of revenues.</w:t>
      </w:r>
    </w:p>
    <w:p>
      <w:pPr>
        <w:spacing w:after="0" w:line="98"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 xml:space="preserve">Deferred </w:t>
      </w:r>
      <w:r>
        <w:rPr>
          <w:rFonts w:ascii="Arial" w:cs="Arial" w:eastAsia="Arial" w:hAnsi="Arial"/>
          <w:sz w:val="18"/>
          <w:szCs w:val="18"/>
          <w:color w:val="231F20"/>
        </w:rPr>
        <w:t>r</w:t>
      </w:r>
      <w:r>
        <w:rPr>
          <w:rFonts w:ascii="Arial" w:cs="Arial" w:eastAsia="Arial" w:hAnsi="Arial"/>
          <w:sz w:val="18"/>
          <w:szCs w:val="18"/>
          <w:color w:val="auto"/>
        </w:rPr>
        <w:t>evenues consist of revenues billed or received that will be recognized in the future under subscriptions existing at the balance sheet date.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color w:val="auto"/>
        </w:rPr>
        <w:t>We are subject to income taxes in the United States as well as other tax jurisdictions in which we conduct business. Earnings from our non-U.S. activities are subject to local income tax and may also be subject to U.S. income tax.</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We must make significant assumptions, judgments and estimates to determine our current provision for (benefit from) income taxes, our deferred tax assets and liabilities, and any valuation allowance to be recorded against our deferred tax assets. Our judgments, assumptions and estimates relating to the current provision for (benefit from) income taxes include the geographic mix and amount of income (loss), our interpretation of current tax laws, and possible outcomes of current and future audits conducted by foreign and domestic tax authorities. Our judgments also include anticipating the tax positions we will record in the financial statements before actually preparing and filing the tax returns. Our estimates and assumptions may differ from the actual results as reflected in our income tax returns and we record the required adjustments when they are identified or resolved. Changes in our business, tax laws or our interpretation of tax laws, and developments in current and future tax audits, could significantly impact the amounts provided for income taxes in our results of operations, financial position, or cash flows.</w:t>
      </w:r>
    </w:p>
    <w:p>
      <w:pPr>
        <w:spacing w:after="0" w:line="77"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tax benefit carry-forwards and to differences between the financial statement amounts of assets and liabilities and their respective tax basis. We regularly review our deferred tax assets for recoverability and establish a valuation allowance if it is more likely than not that some portion or all of the deferred tax assets will not be realized. To make this assessment, we take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20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Based on the analysis of positive and negative factors noted above, we do not have a valuation allowance against U.S. federal and certain state deferred tax assets. We believe it is more likely than not that our California deferred tax assets will not be realized because the income attributed to California is not expected to be sufficient to recognize these deferred tax assets. Accordingly, we continue to record a valuation allowance as of December 31, 2016 for our California deferred tax assets. If, in the future, we determine that these deferred tax assets are more likely than not to be realized, a release of all or part, of the related valuation allowance could result in an income tax benefit in the period such determination is made.</w:t>
      </w:r>
    </w:p>
    <w:p>
      <w:pPr>
        <w:spacing w:after="0" w:line="15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In the fourth quarter of 2014, we considered our increasing realized profitability, forecasted future profitability, our ability to better absorb uncertainties in future profits, and the cumulative effect of changes in the macro-economic environment surrounding the IT security industry, which ultimately resulted in increased demand for our solutions. We determined that the objective and verifiable positive evidence outweighed the negative evidence and recorded a $23.7 million tax benefit for the recognition of our U.S. federal and certain state deferred tax assets.</w:t>
      </w:r>
    </w:p>
    <w:p>
      <w:pPr>
        <w:spacing w:after="0" w:line="15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We recognize an income tax expense or benefit with respect to uncertain tax positions in our financial statements that we judge is more likely than not to be sustained solely on its technical merits in a tax audit, including resolution of any related appeals or litigation processes. To make this judgment, we must interpret complex and sometimes ambiguous tax laws, regulations and administrative practices. If an income tax position meets the more likely than not recognition threshold, then we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us to determine the probability of various possible settlement outcomes. To determine if a tax position is effectively settled after a tax examination has been completed, we must also estimate the likelihood that another taxing authority could review the respective tax position. We must also determine when it is reasonably possible that the amount of unrecognized tax benefits will significantly increase or decrease in the 12 months after each fiscal year-end. These judgments are difficult because a taxing authority may change its behavior as a result of our disclosures in our financial statements. We must reevaluate our income tax positions on a quarterly basis to consider factors such as changes in facts or circumstances, changes in tax law, effectively settled issues under audit, the potential for interest and penalties, and new audit activity. Such a change in recognition or measurement would result in recognition of a tax benefit or an additional charge to the tax provision.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recognize the fair value of our employee stock options and restricted stock units over the requisite service period for those awards ultimately expected to vest. The fair value of each option is estimated on date of grant using the Black-Scholes option pricing model and the fair value of each restricted stock unit is based on the fair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value of our stock on the date of grant. Forfeitures are estimated on the date of grant and revised if actual or expected forfeiture activity differs materially from original estimates.</w:t>
      </w:r>
    </w:p>
    <w:p>
      <w:pPr>
        <w:spacing w:after="0" w:line="14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Determining the appropriate fair value model and calculating the fair value of employee stock options requires the use of highly subjective assumptions, including the expected life of the stock option and stock price volatility. The assumptions used in calculating the fair value of employee stock options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152"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also record compensation representing the fair value of stock options granted to non-employees. Stock-based non-employee compensation is recognized over the vesting periods of the options. The value of options granted to non-employees is periodically remeasured as they vest over a performance period.</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our financial instruments, including cash and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We measure and report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2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Our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using observable</w:t>
      </w:r>
      <w:r>
        <w:rPr>
          <w:rFonts w:ascii="Arial" w:cs="Arial" w:eastAsia="Arial" w:hAnsi="Arial"/>
          <w:sz w:val="18"/>
          <w:szCs w:val="18"/>
          <w:color w:val="000000"/>
        </w:rPr>
        <w:t xml:space="preserve"> </w:t>
      </w:r>
      <w:r>
        <w:rPr>
          <w:rFonts w:ascii="Arial" w:cs="Arial" w:eastAsia="Arial" w:hAnsi="Arial"/>
          <w:sz w:val="18"/>
          <w:szCs w:val="18"/>
          <w:color w:val="231F20"/>
        </w:rPr>
        <w:t>inputs.</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41" w:right="29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1" w:lineRule="exact"/>
        <w:rPr>
          <w:sz w:val="20"/>
          <w:szCs w:val="20"/>
          <w:color w:val="auto"/>
        </w:rPr>
      </w:pPr>
    </w:p>
    <w:p>
      <w:pPr>
        <w:jc w:val="both"/>
        <w:ind w:right="140" w:firstLine="405"/>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9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 xml:space="preserve">We have $289.6 million in cash, cash equivalents and short-term and long-term investments at December 31, 2016. Cash and cash equivalents </w:t>
      </w:r>
      <w:r>
        <w:rPr>
          <w:rFonts w:ascii="Arial" w:cs="Arial" w:eastAsia="Arial" w:hAnsi="Arial"/>
          <w:sz w:val="18"/>
          <w:szCs w:val="18"/>
          <w:color w:val="231F20"/>
        </w:rPr>
        <w:t>include cash held in banks, highly liquid money market funds, U.S. government agency securities, and commercial paper</w:t>
      </w:r>
      <w:r>
        <w:rPr>
          <w:rFonts w:ascii="Arial" w:cs="Arial" w:eastAsia="Arial" w:hAnsi="Arial"/>
          <w:sz w:val="18"/>
          <w:szCs w:val="18"/>
          <w:color w:val="auto"/>
        </w:rPr>
        <w:t>. Investments consist of fixed-income U.S. government agency securities, corporate bonds, asset-backed securities and commercial paper. We determine the appropriate balance sheet classification of our investments at the time of purchase and reevaluate such designation at each balance sheet date. We classify our investments as either short-term or long-term based on each instrument's underlying contractual maturity date.</w:t>
      </w:r>
    </w:p>
    <w:p>
      <w:pPr>
        <w:spacing w:after="0" w:line="209" w:lineRule="exact"/>
        <w:rPr>
          <w:sz w:val="20"/>
          <w:szCs w:val="20"/>
          <w:color w:val="auto"/>
        </w:rPr>
      </w:pPr>
    </w:p>
    <w:p>
      <w:pPr>
        <w:jc w:val="both"/>
        <w:ind w:right="180"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141" w:right="29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INDEX TO CONSOLIDATED FINANCIAL STATEMENTS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6800" w:type="dxa"/>
            <w:vAlign w:val="bottom"/>
            <w:gridSpan w:val="4"/>
          </w:tcPr>
          <w:p>
            <w:pPr>
              <w:jc w:val="center"/>
              <w:ind w:right="4620"/>
              <w:spacing w:after="0"/>
              <w:rPr>
                <w:sz w:val="20"/>
                <w:szCs w:val="20"/>
                <w:color w:val="auto"/>
              </w:rPr>
            </w:pPr>
            <w:r>
              <w:rPr>
                <w:rFonts w:ascii="Arial" w:cs="Arial" w:eastAsia="Arial" w:hAnsi="Arial"/>
                <w:sz w:val="18"/>
                <w:szCs w:val="18"/>
                <w:b w:val="1"/>
                <w:bCs w:val="1"/>
                <w:color w:val="auto"/>
                <w:w w:val="98"/>
              </w:rPr>
              <w:t>Table of Contents</w:t>
            </w:r>
          </w:p>
        </w:tc>
      </w:tr>
      <w:tr>
        <w:trPr>
          <w:trHeight w:val="588"/>
        </w:trPr>
        <w:tc>
          <w:tcPr>
            <w:tcW w:w="4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6100" w:type="dxa"/>
            <w:vAlign w:val="bottom"/>
            <w:gridSpan w:val="3"/>
          </w:tcPr>
          <w:p>
            <w:pPr>
              <w:jc w:val="center"/>
              <w:ind w:left="5837"/>
              <w:spacing w:after="0"/>
              <w:rPr>
                <w:rFonts w:ascii="Arial" w:cs="Arial" w:eastAsia="Arial" w:hAnsi="Arial"/>
                <w:sz w:val="16"/>
                <w:szCs w:val="16"/>
                <w:color w:val="0000EE"/>
              </w:rPr>
            </w:pPr>
            <w:hyperlink w:anchor="page58">
              <w:r>
                <w:rPr>
                  <w:rFonts w:ascii="Arial" w:cs="Arial" w:eastAsia="Arial" w:hAnsi="Arial"/>
                  <w:sz w:val="16"/>
                  <w:szCs w:val="16"/>
                  <w:color w:val="0000EE"/>
                </w:rPr>
                <w:t>57</w:t>
              </w:r>
            </w:hyperlink>
          </w:p>
        </w:tc>
        <w:tc>
          <w:tcPr>
            <w:tcW w:w="700" w:type="dxa"/>
            <w:vAlign w:val="bottom"/>
          </w:tcPr>
          <w:p>
            <w:pPr>
              <w:spacing w:after="0"/>
              <w:rPr>
                <w:sz w:val="16"/>
                <w:szCs w:val="16"/>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Balance Sheets</w:t>
            </w:r>
          </w:p>
        </w:tc>
        <w:tc>
          <w:tcPr>
            <w:tcW w:w="6100" w:type="dxa"/>
            <w:vAlign w:val="bottom"/>
            <w:gridSpan w:val="3"/>
          </w:tcPr>
          <w:p>
            <w:pPr>
              <w:jc w:val="center"/>
              <w:ind w:left="5837"/>
              <w:spacing w:after="0"/>
              <w:rPr>
                <w:rFonts w:ascii="Arial" w:cs="Arial" w:eastAsia="Arial" w:hAnsi="Arial"/>
                <w:sz w:val="16"/>
                <w:szCs w:val="16"/>
                <w:color w:val="0000EE"/>
              </w:rPr>
            </w:pPr>
            <w:hyperlink w:anchor="page60">
              <w:r>
                <w:rPr>
                  <w:rFonts w:ascii="Arial" w:cs="Arial" w:eastAsia="Arial" w:hAnsi="Arial"/>
                  <w:sz w:val="16"/>
                  <w:szCs w:val="16"/>
                  <w:color w:val="0000EE"/>
                </w:rPr>
                <w:t>59</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Statements of Operations</w:t>
            </w:r>
          </w:p>
        </w:tc>
        <w:tc>
          <w:tcPr>
            <w:tcW w:w="6100" w:type="dxa"/>
            <w:vAlign w:val="bottom"/>
            <w:gridSpan w:val="3"/>
          </w:tcPr>
          <w:p>
            <w:pPr>
              <w:jc w:val="center"/>
              <w:ind w:left="5837"/>
              <w:spacing w:after="0"/>
              <w:rPr>
                <w:rFonts w:ascii="Arial" w:cs="Arial" w:eastAsia="Arial" w:hAnsi="Arial"/>
                <w:sz w:val="16"/>
                <w:szCs w:val="16"/>
                <w:color w:val="0000EE"/>
              </w:rPr>
            </w:pPr>
            <w:hyperlink w:anchor="page61">
              <w:r>
                <w:rPr>
                  <w:rFonts w:ascii="Arial" w:cs="Arial" w:eastAsia="Arial" w:hAnsi="Arial"/>
                  <w:sz w:val="16"/>
                  <w:szCs w:val="16"/>
                  <w:color w:val="0000EE"/>
                </w:rPr>
                <w:t>60</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Statements of Comprehensive Income</w:t>
            </w:r>
          </w:p>
        </w:tc>
        <w:tc>
          <w:tcPr>
            <w:tcW w:w="6100" w:type="dxa"/>
            <w:vAlign w:val="bottom"/>
            <w:gridSpan w:val="3"/>
          </w:tcPr>
          <w:p>
            <w:pPr>
              <w:jc w:val="center"/>
              <w:ind w:left="5837"/>
              <w:spacing w:after="0"/>
              <w:rPr>
                <w:rFonts w:ascii="Arial" w:cs="Arial" w:eastAsia="Arial" w:hAnsi="Arial"/>
                <w:sz w:val="16"/>
                <w:szCs w:val="16"/>
                <w:color w:val="0000EE"/>
              </w:rPr>
            </w:pPr>
            <w:hyperlink w:anchor="page62">
              <w:r>
                <w:rPr>
                  <w:rFonts w:ascii="Arial" w:cs="Arial" w:eastAsia="Arial" w:hAnsi="Arial"/>
                  <w:sz w:val="16"/>
                  <w:szCs w:val="16"/>
                  <w:color w:val="0000EE"/>
                </w:rPr>
                <w:t>61</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Statements of Cash Flows</w:t>
            </w:r>
          </w:p>
        </w:tc>
        <w:tc>
          <w:tcPr>
            <w:tcW w:w="6100" w:type="dxa"/>
            <w:vAlign w:val="bottom"/>
            <w:gridSpan w:val="3"/>
          </w:tcPr>
          <w:p>
            <w:pPr>
              <w:jc w:val="center"/>
              <w:ind w:left="5837"/>
              <w:spacing w:after="0"/>
              <w:rPr>
                <w:rFonts w:ascii="Arial" w:cs="Arial" w:eastAsia="Arial" w:hAnsi="Arial"/>
                <w:sz w:val="16"/>
                <w:szCs w:val="16"/>
                <w:color w:val="0000EE"/>
              </w:rPr>
            </w:pPr>
            <w:hyperlink w:anchor="page63">
              <w:r>
                <w:rPr>
                  <w:rFonts w:ascii="Arial" w:cs="Arial" w:eastAsia="Arial" w:hAnsi="Arial"/>
                  <w:sz w:val="16"/>
                  <w:szCs w:val="16"/>
                  <w:color w:val="0000EE"/>
                </w:rPr>
                <w:t>62</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Consolidated Statements of Stockholders' Equity</w:t>
            </w:r>
          </w:p>
        </w:tc>
        <w:tc>
          <w:tcPr>
            <w:tcW w:w="6100" w:type="dxa"/>
            <w:vAlign w:val="bottom"/>
            <w:gridSpan w:val="3"/>
          </w:tcPr>
          <w:p>
            <w:pPr>
              <w:jc w:val="center"/>
              <w:ind w:left="5837"/>
              <w:spacing w:after="0"/>
              <w:rPr>
                <w:rFonts w:ascii="Arial" w:cs="Arial" w:eastAsia="Arial" w:hAnsi="Arial"/>
                <w:sz w:val="16"/>
                <w:szCs w:val="16"/>
                <w:color w:val="0000EE"/>
              </w:rPr>
            </w:pPr>
            <w:hyperlink w:anchor="page64">
              <w:r>
                <w:rPr>
                  <w:rFonts w:ascii="Arial" w:cs="Arial" w:eastAsia="Arial" w:hAnsi="Arial"/>
                  <w:sz w:val="16"/>
                  <w:szCs w:val="16"/>
                  <w:color w:val="0000EE"/>
                </w:rPr>
                <w:t>63</w:t>
              </w:r>
            </w:hyperlink>
          </w:p>
        </w:tc>
        <w:tc>
          <w:tcPr>
            <w:tcW w:w="7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6100" w:type="dxa"/>
            <w:vAlign w:val="bottom"/>
            <w:gridSpan w:val="3"/>
          </w:tcPr>
          <w:p>
            <w:pPr>
              <w:jc w:val="center"/>
              <w:ind w:left="5837"/>
              <w:spacing w:after="0"/>
              <w:rPr>
                <w:rFonts w:ascii="Arial" w:cs="Arial" w:eastAsia="Arial" w:hAnsi="Arial"/>
                <w:sz w:val="16"/>
                <w:szCs w:val="16"/>
                <w:color w:val="0000EE"/>
              </w:rPr>
            </w:pPr>
            <w:hyperlink w:anchor="page65">
              <w:r>
                <w:rPr>
                  <w:rFonts w:ascii="Arial" w:cs="Arial" w:eastAsia="Arial" w:hAnsi="Arial"/>
                  <w:sz w:val="16"/>
                  <w:szCs w:val="16"/>
                  <w:color w:val="0000EE"/>
                </w:rPr>
                <w:t>64</w:t>
              </w:r>
            </w:hyperlink>
          </w:p>
        </w:tc>
        <w:tc>
          <w:tcPr>
            <w:tcW w:w="700" w:type="dxa"/>
            <w:vAlign w:val="bottom"/>
          </w:tcPr>
          <w:p>
            <w:pPr>
              <w:spacing w:after="0"/>
              <w:rPr>
                <w:sz w:val="19"/>
                <w:szCs w:val="19"/>
                <w:color w:val="auto"/>
              </w:rPr>
            </w:pPr>
          </w:p>
        </w:tc>
      </w:tr>
      <w:tr>
        <w:trPr>
          <w:trHeight w:val="925"/>
        </w:trPr>
        <w:tc>
          <w:tcPr>
            <w:tcW w:w="4580" w:type="dxa"/>
            <w:vAlign w:val="bottom"/>
          </w:tcPr>
          <w:p>
            <w:pPr>
              <w:spacing w:after="0"/>
              <w:rPr>
                <w:sz w:val="24"/>
                <w:szCs w:val="24"/>
                <w:color w:val="auto"/>
              </w:rPr>
            </w:pPr>
          </w:p>
        </w:tc>
        <w:tc>
          <w:tcPr>
            <w:tcW w:w="5200" w:type="dxa"/>
            <w:vAlign w:val="bottom"/>
          </w:tcPr>
          <w:p>
            <w:pPr>
              <w:jc w:val="right"/>
              <w:ind w:right="3917"/>
              <w:spacing w:after="0"/>
              <w:rPr>
                <w:sz w:val="20"/>
                <w:szCs w:val="20"/>
                <w:color w:val="auto"/>
              </w:rPr>
            </w:pPr>
            <w:r>
              <w:rPr>
                <w:rFonts w:ascii="Arial" w:cs="Arial" w:eastAsia="Arial" w:hAnsi="Arial"/>
                <w:sz w:val="18"/>
                <w:szCs w:val="18"/>
                <w:color w:val="auto"/>
              </w:rPr>
              <w:t>56</w:t>
            </w:r>
          </w:p>
        </w:tc>
        <w:tc>
          <w:tcPr>
            <w:tcW w:w="7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9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have audited the accompanying consolidated balance sheets of Qualys Inc. (a Delaware corporation) and subsidiaries (the “Company”) as of December 31, 2016 and 2015, and the related consolidated statements of operations, comprehensive income, cash flows, and changes in shareholders’ equity for each of the three years in the period ended December 31, 2016. Our audits of the basic consolidated financial statements included the financial statement schedule listed in the index appearing under Item 15(a)(1). These financial statements and financial statement schedule are the responsibility of the Company’s management. Our responsibility is to express an opinion on these financial statements and financial statement schedule based on our audits.</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our opinion, the consolidated financial statements referred to above present fairly, in all material respects, the financial position of Qualys Inc.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209"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 xml:space="preserve">We also have audited, in accordance with the standards of the Public Company Accounting Oversight Board (United States), the Company’s internal control over financial reporting as of December 31, 2016, based on criteria established in the 2013 </w:t>
      </w:r>
      <w:r>
        <w:rPr>
          <w:rFonts w:ascii="Arial" w:cs="Arial" w:eastAsia="Arial" w:hAnsi="Arial"/>
          <w:sz w:val="20"/>
          <w:szCs w:val="20"/>
          <w:i w:val="1"/>
          <w:iCs w:val="1"/>
          <w:color w:val="auto"/>
        </w:rPr>
        <w:t>Internal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Control-Integrated Framework </w:t>
      </w:r>
      <w:r>
        <w:rPr>
          <w:rFonts w:ascii="Arial" w:cs="Arial" w:eastAsia="Arial" w:hAnsi="Arial"/>
          <w:sz w:val="20"/>
          <w:szCs w:val="20"/>
          <w:color w:val="auto"/>
        </w:rPr>
        <w:t>issued by the Committee of Sponsoring Organizations of the Treadway Commission (COSO), and</w:t>
      </w:r>
      <w:r>
        <w:rPr>
          <w:rFonts w:ascii="Arial" w:cs="Arial" w:eastAsia="Arial" w:hAnsi="Arial"/>
          <w:sz w:val="20"/>
          <w:szCs w:val="20"/>
          <w:i w:val="1"/>
          <w:iCs w:val="1"/>
          <w:color w:val="auto"/>
        </w:rPr>
        <w:t xml:space="preserve"> </w:t>
      </w:r>
      <w:r>
        <w:rPr>
          <w:rFonts w:ascii="Arial" w:cs="Arial" w:eastAsia="Arial" w:hAnsi="Arial"/>
          <w:sz w:val="20"/>
          <w:szCs w:val="20"/>
          <w:color w:val="auto"/>
        </w:rPr>
        <w:t>our report dated February 24, 2017 expressed unqualified opinion.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Shareholders</w:t>
      </w:r>
    </w:p>
    <w:p>
      <w:pPr>
        <w:spacing w:after="0"/>
        <w:rPr>
          <w:sz w:val="20"/>
          <w:szCs w:val="20"/>
          <w:color w:val="auto"/>
        </w:rPr>
      </w:pPr>
      <w:r>
        <w:rPr>
          <w:rFonts w:ascii="Arial" w:cs="Arial" w:eastAsia="Arial" w:hAnsi="Arial"/>
          <w:sz w:val="20"/>
          <w:szCs w:val="20"/>
          <w:color w:val="auto"/>
        </w:rPr>
        <w:t>Qualys, Inc.</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We have audited the internal control over financial reporting of Qualys, Inc. (a Delaware corporation) and subsidiaries (the “Company”) as of December 31, 2016, based on criteria established in the 2013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w:t>
      </w:r>
    </w:p>
    <w:p>
      <w:pPr>
        <w:spacing w:after="0" w:line="21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 w:lineRule="exact"/>
        <w:rPr>
          <w:sz w:val="20"/>
          <w:szCs w:val="20"/>
          <w:color w:val="auto"/>
        </w:rPr>
      </w:pPr>
    </w:p>
    <w:p>
      <w:pPr>
        <w:jc w:val="both"/>
        <w:ind w:firstLine="8"/>
        <w:spacing w:after="0" w:line="241" w:lineRule="auto"/>
        <w:tabs>
          <w:tab w:leader="none" w:pos="297" w:val="left"/>
        </w:tabs>
        <w:numPr>
          <w:ilvl w:val="0"/>
          <w:numId w:val="24"/>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In our opinion, the Company maintained, in all material respects, effective internal control over financial reporting as of December 31, 2016, based on criteria established in the 2013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COSO.</w:t>
      </w:r>
    </w:p>
    <w:p>
      <w:pPr>
        <w:spacing w:after="0" w:line="202"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the consolidated financial statements of the Company as of and for the year ended December 31, 2016, and our report dated February 24, 2017 expressed an unqualified opinion on those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rPr>
          <w:sz w:val="20"/>
          <w:szCs w:val="20"/>
          <w:color w:val="auto"/>
        </w:rPr>
      </w:pPr>
      <w:r>
        <w:rPr>
          <w:rFonts w:ascii="Arial" w:cs="Arial" w:eastAsia="Arial" w:hAnsi="Arial"/>
          <w:sz w:val="20"/>
          <w:szCs w:val="20"/>
          <w:color w:val="auto"/>
        </w:rPr>
        <w:t>February 24, 2017</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r>
      <w:tr>
        <w:trPr>
          <w:trHeight w:val="251"/>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86,737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91,698</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investments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87,268</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Accounts receivable, net of allowance of $702 and $769 at December 31, 2016 and 2015, respectively</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47,024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42,325</w:t>
            </w: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7,945</w:t>
            </w: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300,688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229,236</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43,277</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39,401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31,329</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16,079</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1,360</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r>
      <w:tr>
        <w:trPr>
          <w:trHeight w:val="283"/>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407,004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323,514</w:t>
            </w:r>
          </w:p>
        </w:tc>
      </w:tr>
      <w:tr>
        <w:trPr>
          <w:trHeight w:val="25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13,317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11,786</w:t>
            </w: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114,964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98,025</w:t>
            </w: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130,332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112,179</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14,564</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1,205</w:t>
            </w:r>
          </w:p>
        </w:tc>
      </w:tr>
      <w:tr>
        <w:trPr>
          <w:trHeight w:val="256"/>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127,948</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Commitments and contingencies (Note 5)</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194"/>
        </w:trPr>
        <w:tc>
          <w:tcPr>
            <w:tcW w:w="836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December 31, 2016</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8"/>
        </w:trPr>
        <w:tc>
          <w:tcPr>
            <w:tcW w:w="8360" w:type="dxa"/>
            <w:vAlign w:val="bottom"/>
          </w:tcPr>
          <w:p>
            <w:pPr>
              <w:ind w:left="520"/>
              <w:spacing w:after="0"/>
              <w:rPr>
                <w:sz w:val="20"/>
                <w:szCs w:val="20"/>
                <w:color w:val="auto"/>
              </w:rPr>
            </w:pPr>
            <w:r>
              <w:rPr>
                <w:rFonts w:ascii="Arial" w:cs="Arial" w:eastAsia="Arial" w:hAnsi="Arial"/>
                <w:sz w:val="14"/>
                <w:szCs w:val="14"/>
                <w:color w:val="auto"/>
              </w:rPr>
              <w:t>and 2015</w:t>
            </w:r>
          </w:p>
        </w:tc>
        <w:tc>
          <w:tcPr>
            <w:tcW w:w="1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35,841,001 and 34,414,631 shares issued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4"/>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outstanding at December 31, 2016 and 2015, respectively</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266,794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223,228</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(27,485)</w:t>
            </w:r>
          </w:p>
        </w:tc>
      </w:tr>
      <w:tr>
        <w:trPr>
          <w:trHeight w:val="250"/>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258,413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195,566</w:t>
            </w:r>
          </w:p>
        </w:tc>
      </w:tr>
      <w:tr>
        <w:trPr>
          <w:trHeight w:val="243"/>
        </w:trPr>
        <w:tc>
          <w:tcPr>
            <w:tcW w:w="83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407,004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323,514</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197,925</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164,284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133,579</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4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42,473</w:t>
            </w:r>
          </w:p>
        </w:tc>
        <w:tc>
          <w:tcPr>
            <w:tcW w:w="60" w:type="dxa"/>
            <w:vAlign w:val="bottom"/>
            <w:tcBorders>
              <w:bottom w:val="single" w:sz="8" w:color="231F20"/>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33,885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28,963</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155,452</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130,399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104,616</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26,320</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57,970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49,569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48,049</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231F20"/>
            </w:tcBorders>
            <w:shd w:val="clear" w:color="auto" w:fill="CCEEFF"/>
          </w:tcPr>
          <w:p>
            <w:pPr>
              <w:spacing w:after="0"/>
              <w:rPr>
                <w:sz w:val="23"/>
                <w:szCs w:val="23"/>
                <w:color w:val="auto"/>
              </w:rPr>
            </w:pPr>
          </w:p>
        </w:tc>
        <w:tc>
          <w:tcPr>
            <w:tcW w:w="11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32,108</w:t>
            </w:r>
          </w:p>
        </w:tc>
        <w:tc>
          <w:tcPr>
            <w:tcW w:w="60" w:type="dxa"/>
            <w:vAlign w:val="bottom"/>
            <w:tcBorders>
              <w:bottom w:val="single" w:sz="8" w:color="231F20"/>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4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26,573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125,345</w:t>
            </w:r>
          </w:p>
        </w:tc>
        <w:tc>
          <w:tcPr>
            <w:tcW w:w="60" w:type="dxa"/>
            <w:vAlign w:val="bottom"/>
            <w:tcBorders>
              <w:bottom w:val="single" w:sz="8" w:color="231F20"/>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105,593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95,369</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30,107</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9,247</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231F20"/>
            </w:tcBorders>
            <w:shd w:val="clear" w:color="auto" w:fill="CCEEFF"/>
          </w:tcPr>
          <w:p>
            <w:pPr>
              <w:spacing w:after="0"/>
              <w:rPr>
                <w:sz w:val="23"/>
                <w:szCs w:val="23"/>
                <w:color w:val="auto"/>
              </w:rPr>
            </w:pPr>
          </w:p>
        </w:tc>
        <w:tc>
          <w:tcPr>
            <w:tcW w:w="11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60" w:type="dxa"/>
            <w:vAlign w:val="bottom"/>
            <w:tcBorders>
              <w:bottom w:val="single" w:sz="8" w:color="231F20"/>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4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322</w:t>
            </w:r>
          </w:p>
        </w:tc>
        <w:tc>
          <w:tcPr>
            <w:tcW w:w="60" w:type="dxa"/>
            <w:vAlign w:val="bottom"/>
            <w:tcBorders>
              <w:bottom w:val="single" w:sz="8" w:color="231F20"/>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24,520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8,613</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34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11,205</w:t>
            </w:r>
          </w:p>
        </w:tc>
        <w:tc>
          <w:tcPr>
            <w:tcW w:w="60" w:type="dxa"/>
            <w:vAlign w:val="bottom"/>
            <w:tcBorders>
              <w:bottom w:val="single" w:sz="8" w:color="231F20"/>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8,655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(21,631)</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19,224</w:t>
            </w:r>
          </w:p>
        </w:tc>
        <w:tc>
          <w:tcPr>
            <w:tcW w:w="5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30,244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0.50</w:t>
            </w:r>
          </w:p>
        </w:tc>
        <w:tc>
          <w:tcPr>
            <w:tcW w:w="52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51"/>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35,247</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34,050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32,979</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38,369</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38,184</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37,170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30,244</w:t>
            </w:r>
          </w:p>
        </w:tc>
      </w:tr>
      <w:tr>
        <w:trPr>
          <w:trHeight w:val="264"/>
        </w:trPr>
        <w:tc>
          <w:tcPr>
            <w:tcW w:w="6760" w:type="dxa"/>
            <w:vAlign w:val="bottom"/>
          </w:tcPr>
          <w:p>
            <w:pPr>
              <w:ind w:left="120"/>
              <w:spacing w:after="0"/>
              <w:rPr>
                <w:sz w:val="20"/>
                <w:szCs w:val="20"/>
                <w:color w:val="auto"/>
              </w:rPr>
            </w:pPr>
            <w:r>
              <w:rPr>
                <w:rFonts w:ascii="Arial" w:cs="Arial" w:eastAsia="Arial" w:hAnsi="Arial"/>
                <w:sz w:val="14"/>
                <w:szCs w:val="14"/>
                <w:color w:val="231F20"/>
              </w:rPr>
              <w:t>Available-for-sale investments:</w:t>
            </w: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Change in net unrealized loss on investments, net of tax</w:t>
            </w:r>
          </w:p>
        </w:tc>
        <w:tc>
          <w:tcPr>
            <w:tcW w:w="9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231F20"/>
              </w:rPr>
              <w:t>Less: reclassification adjustment for net realized gain (loss) included in net income, net of tax</w:t>
            </w: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Net change</w:t>
            </w:r>
          </w:p>
        </w:tc>
        <w:tc>
          <w:tcPr>
            <w:tcW w:w="920" w:type="dxa"/>
            <w:vAlign w:val="bottom"/>
            <w:tcBorders>
              <w:bottom w:val="single" w:sz="8" w:color="231F20"/>
            </w:tcBorders>
            <w:shd w:val="clear" w:color="auto" w:fill="CCEEFF"/>
          </w:tcPr>
          <w:p>
            <w:pPr>
              <w:spacing w:after="0"/>
              <w:rPr>
                <w:sz w:val="21"/>
                <w:szCs w:val="21"/>
                <w:color w:val="auto"/>
              </w:rPr>
            </w:pPr>
          </w:p>
        </w:tc>
        <w:tc>
          <w:tcPr>
            <w:tcW w:w="52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60" w:type="dxa"/>
            <w:vAlign w:val="bottom"/>
            <w:tcBorders>
              <w:bottom w:val="single" w:sz="8" w:color="231F20"/>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231F20"/>
            </w:tcBorders>
            <w:shd w:val="clear" w:color="auto" w:fill="CCEEFF"/>
          </w:tcPr>
          <w:p>
            <w:pPr>
              <w:spacing w:after="0"/>
              <w:rPr>
                <w:sz w:val="21"/>
                <w:szCs w:val="21"/>
                <w:color w:val="auto"/>
              </w:rPr>
            </w:pPr>
          </w:p>
        </w:tc>
        <w:tc>
          <w:tcPr>
            <w:tcW w:w="11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231F20"/>
            </w:tcBorders>
            <w:shd w:val="clear" w:color="auto" w:fill="CCEEFF"/>
          </w:tcPr>
          <w:p>
            <w:pPr>
              <w:spacing w:after="0"/>
              <w:rPr>
                <w:sz w:val="21"/>
                <w:szCs w:val="21"/>
                <w:color w:val="auto"/>
              </w:rPr>
            </w:pPr>
          </w:p>
        </w:tc>
        <w:tc>
          <w:tcPr>
            <w:tcW w:w="320" w:type="dxa"/>
            <w:vAlign w:val="bottom"/>
            <w:tcBorders>
              <w:bottom w:val="single" w:sz="8" w:color="231F20"/>
            </w:tcBorders>
            <w:shd w:val="clear" w:color="auto" w:fill="CCEEFF"/>
          </w:tcPr>
          <w:p>
            <w:pPr>
              <w:spacing w:after="0"/>
              <w:rPr>
                <w:sz w:val="21"/>
                <w:szCs w:val="21"/>
                <w:color w:val="auto"/>
              </w:rPr>
            </w:pPr>
          </w:p>
        </w:tc>
        <w:tc>
          <w:tcPr>
            <w:tcW w:w="112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(loss), net</w:t>
            </w:r>
          </w:p>
        </w:tc>
        <w:tc>
          <w:tcPr>
            <w:tcW w:w="92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55</w:t>
            </w:r>
          </w:p>
        </w:tc>
        <w:tc>
          <w:tcPr>
            <w:tcW w:w="60" w:type="dxa"/>
            <w:vAlign w:val="bottom"/>
            <w:tcBorders>
              <w:bottom w:val="single" w:sz="8" w:color="231F20"/>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(28)</w:t>
            </w: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19,279</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15,644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30,244</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16,994</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11,897</w:t>
            </w: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20,149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17,494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10,549</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Impairment of intangible assets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6,564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(22,599)</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(4,898)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(10,183)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(4,882)</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0" w:type="dxa"/>
            <w:vAlign w:val="bottom"/>
          </w:tcPr>
          <w:p>
            <w:pPr>
              <w:spacing w:after="0"/>
              <w:rPr>
                <w:sz w:val="1"/>
                <w:szCs w:val="1"/>
                <w:color w:val="auto"/>
              </w:rPr>
            </w:pPr>
          </w:p>
        </w:tc>
      </w:tr>
      <w:tr>
        <w:trPr>
          <w:trHeight w:val="264"/>
        </w:trPr>
        <w:tc>
          <w:tcPr>
            <w:tcW w:w="6760" w:type="dxa"/>
            <w:vAlign w:val="bottom"/>
          </w:tcPr>
          <w:p>
            <w:pPr>
              <w:ind w:left="720"/>
              <w:spacing w:after="0"/>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2,332</w:t>
            </w:r>
          </w:p>
        </w:tc>
        <w:tc>
          <w:tcPr>
            <w:tcW w:w="0" w:type="dxa"/>
            <w:vAlign w:val="bottom"/>
          </w:tcPr>
          <w:p>
            <w:pPr>
              <w:spacing w:after="0"/>
              <w:rPr>
                <w:sz w:val="1"/>
                <w:szCs w:val="1"/>
                <w:color w:val="auto"/>
              </w:rPr>
            </w:pPr>
          </w:p>
        </w:tc>
      </w:tr>
      <w:tr>
        <w:trPr>
          <w:trHeight w:val="264"/>
        </w:trPr>
        <w:tc>
          <w:tcPr>
            <w:tcW w:w="676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9,696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14,817</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68,110</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65,960</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41,423</w:t>
            </w:r>
          </w:p>
        </w:tc>
        <w:tc>
          <w:tcPr>
            <w:tcW w:w="0" w:type="dxa"/>
            <w:vAlign w:val="bottom"/>
          </w:tcPr>
          <w:p>
            <w:pPr>
              <w:spacing w:after="0"/>
              <w:rPr>
                <w:sz w:val="1"/>
                <w:szCs w:val="1"/>
                <w:color w:val="auto"/>
              </w:rPr>
            </w:pPr>
          </w:p>
        </w:tc>
      </w:tr>
      <w:tr>
        <w:trPr>
          <w:trHeight w:val="258"/>
        </w:trPr>
        <w:tc>
          <w:tcPr>
            <w:tcW w:w="67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(222,953)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(146,707)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(157,660)</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Sales and maturities of investments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149,708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105,509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157,339</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(13,914)</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(96,490)</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(61,348)</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(14,333)</w:t>
            </w:r>
          </w:p>
        </w:tc>
        <w:tc>
          <w:tcPr>
            <w:tcW w:w="0" w:type="dxa"/>
            <w:vAlign w:val="bottom"/>
          </w:tcPr>
          <w:p>
            <w:pPr>
              <w:spacing w:after="0"/>
              <w:rPr>
                <w:sz w:val="1"/>
                <w:szCs w:val="1"/>
                <w:color w:val="auto"/>
              </w:rPr>
            </w:pPr>
          </w:p>
        </w:tc>
      </w:tr>
      <w:tr>
        <w:trPr>
          <w:trHeight w:val="258"/>
        </w:trPr>
        <w:tc>
          <w:tcPr>
            <w:tcW w:w="67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10,095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7,639</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10,582</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250"/>
        </w:trPr>
        <w:tc>
          <w:tcPr>
            <w:tcW w:w="6760" w:type="dxa"/>
            <w:vAlign w:val="bottom"/>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56"/>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(4,961)</w:t>
            </w: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15,194</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34,135</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91,698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76,504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42,369</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86,737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91,698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76,504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 expense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39"/>
        </w:trPr>
        <w:tc>
          <w:tcPr>
            <w:tcW w:w="8200" w:type="dxa"/>
            <w:vAlign w:val="bottom"/>
            <w:gridSpan w:val="3"/>
          </w:tcPr>
          <w:p>
            <w:pPr>
              <w:ind w:left="3680"/>
              <w:spacing w:after="0"/>
              <w:rPr>
                <w:sz w:val="20"/>
                <w:szCs w:val="20"/>
                <w:color w:val="auto"/>
              </w:rPr>
            </w:pPr>
            <w:r>
              <w:rPr>
                <w:rFonts w:ascii="Arial" w:cs="Arial" w:eastAsia="Arial" w:hAnsi="Arial"/>
                <w:sz w:val="14"/>
                <w:szCs w:val="14"/>
                <w:color w:val="231F20"/>
              </w:rPr>
              <w:t>See accompanying Notes to Consolidated Financial Statements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41" w:right="2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right"/>
        <w:ind w:right="30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at December 31, 2013</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unrealized loss on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upon exercise of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Excess tax benefits from 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at December 31, 2014</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unrealized loss on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upon exercise of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vesting of restricted stock units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Excess tax benefits from 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at December 31, 2015</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unrealized gain in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upon exercise of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vesting of restricted stock units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Excess tax benefits from 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Taxes from release of the restricted share units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at December 31, 2016</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940" w:type="dxa"/>
            <w:vAlign w:val="bottom"/>
            <w:gridSpan w:val="3"/>
            <w:vMerge w:val="restart"/>
          </w:tcPr>
          <w:p>
            <w:pPr>
              <w:jc w:val="right"/>
              <w:ind w:right="271"/>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4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49"/>
              <w:spacing w:after="0" w:line="14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100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Accumulated</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8"/>
        </w:trPr>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Deficit</w:t>
            </w:r>
          </w:p>
        </w:tc>
        <w:tc>
          <w:tcPr>
            <w:tcW w:w="220" w:type="dxa"/>
            <w:vAlign w:val="bottom"/>
          </w:tcPr>
          <w:p>
            <w:pPr>
              <w:spacing w:after="0"/>
              <w:rPr>
                <w:sz w:val="15"/>
                <w:szCs w:val="15"/>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45"/>
        </w:trPr>
        <w:tc>
          <w:tcPr>
            <w:tcW w:w="10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32,375,299</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ind w:right="591"/>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9"/>
              </w:rPr>
              <w:t>32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176,641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(73,594)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103,117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30,244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30,244</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0"/>
        </w:trPr>
        <w:tc>
          <w:tcPr>
            <w:tcW w:w="1040" w:type="dxa"/>
            <w:vAlign w:val="bottom"/>
          </w:tcPr>
          <w:p>
            <w:pPr>
              <w:jc w:val="right"/>
              <w:ind w:right="49"/>
              <w:spacing w:after="0"/>
              <w:rPr>
                <w:sz w:val="20"/>
                <w:szCs w:val="20"/>
                <w:color w:val="auto"/>
              </w:rPr>
            </w:pPr>
            <w:r>
              <w:rPr>
                <w:rFonts w:ascii="Arial" w:cs="Arial" w:eastAsia="Arial" w:hAnsi="Arial"/>
                <w:sz w:val="14"/>
                <w:szCs w:val="14"/>
                <w:color w:val="auto"/>
              </w:rPr>
              <w:t>1,216,710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7,637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7,639</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9"/>
              <w:spacing w:after="0"/>
              <w:rPr>
                <w:sz w:val="20"/>
                <w:szCs w:val="20"/>
                <w:color w:val="auto"/>
              </w:rPr>
            </w:pPr>
            <w:r>
              <w:rPr>
                <w:rFonts w:ascii="Arial" w:cs="Arial" w:eastAsia="Arial" w:hAnsi="Arial"/>
                <w:sz w:val="14"/>
                <w:szCs w:val="14"/>
                <w:color w:val="auto"/>
              </w:rPr>
              <w:t>2,401</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10,499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10,499</w:t>
            </w:r>
          </w:p>
        </w:tc>
        <w:tc>
          <w:tcPr>
            <w:tcW w:w="0" w:type="dxa"/>
            <w:vAlign w:val="bottom"/>
          </w:tcPr>
          <w:p>
            <w:pPr>
              <w:spacing w:after="0"/>
              <w:rPr>
                <w:sz w:val="1"/>
                <w:szCs w:val="1"/>
                <w:color w:val="auto"/>
              </w:rPr>
            </w:pPr>
          </w:p>
        </w:tc>
      </w:tr>
      <w:tr>
        <w:trPr>
          <w:trHeight w:val="250"/>
        </w:trPr>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33,594,285</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195,133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(43,350)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151,827</w:t>
            </w:r>
          </w:p>
        </w:tc>
        <w:tc>
          <w:tcPr>
            <w:tcW w:w="0" w:type="dxa"/>
            <w:vAlign w:val="bottom"/>
          </w:tcPr>
          <w:p>
            <w:pPr>
              <w:spacing w:after="0"/>
              <w:rPr>
                <w:sz w:val="1"/>
                <w:szCs w:val="1"/>
                <w:color w:val="auto"/>
              </w:rPr>
            </w:pPr>
          </w:p>
        </w:tc>
      </w:tr>
      <w:tr>
        <w:trPr>
          <w:trHeight w:val="244"/>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15,865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0"/>
        </w:trPr>
        <w:tc>
          <w:tcPr>
            <w:tcW w:w="1040" w:type="dxa"/>
            <w:vAlign w:val="bottom"/>
          </w:tcPr>
          <w:p>
            <w:pPr>
              <w:jc w:val="right"/>
              <w:ind w:right="49"/>
              <w:spacing w:after="0"/>
              <w:rPr>
                <w:sz w:val="20"/>
                <w:szCs w:val="20"/>
                <w:color w:val="auto"/>
              </w:rPr>
            </w:pPr>
            <w:r>
              <w:rPr>
                <w:rFonts w:ascii="Arial" w:cs="Arial" w:eastAsia="Arial" w:hAnsi="Arial"/>
                <w:sz w:val="14"/>
                <w:szCs w:val="14"/>
                <w:color w:val="auto"/>
              </w:rPr>
              <w:t>807,846</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10,095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10,095</w:t>
            </w:r>
          </w:p>
        </w:tc>
        <w:tc>
          <w:tcPr>
            <w:tcW w:w="0" w:type="dxa"/>
            <w:vAlign w:val="bottom"/>
          </w:tcPr>
          <w:p>
            <w:pPr>
              <w:spacing w:after="0"/>
              <w:rPr>
                <w:sz w:val="1"/>
                <w:szCs w:val="1"/>
                <w:color w:val="auto"/>
              </w:rPr>
            </w:pPr>
          </w:p>
        </w:tc>
      </w:tr>
      <w:tr>
        <w:trPr>
          <w:trHeight w:val="270"/>
        </w:trPr>
        <w:tc>
          <w:tcPr>
            <w:tcW w:w="1040" w:type="dxa"/>
            <w:vAlign w:val="bottom"/>
          </w:tcPr>
          <w:p>
            <w:pPr>
              <w:jc w:val="right"/>
              <w:ind w:right="49"/>
              <w:spacing w:after="0"/>
              <w:rPr>
                <w:sz w:val="20"/>
                <w:szCs w:val="20"/>
                <w:color w:val="auto"/>
              </w:rPr>
            </w:pPr>
            <w:r>
              <w:rPr>
                <w:rFonts w:ascii="Arial" w:cs="Arial" w:eastAsia="Arial" w:hAnsi="Arial"/>
                <w:sz w:val="14"/>
                <w:szCs w:val="14"/>
                <w:color w:val="auto"/>
              </w:rPr>
              <w:t>12,500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76"/>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17,494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17,494</w:t>
            </w:r>
          </w:p>
        </w:tc>
        <w:tc>
          <w:tcPr>
            <w:tcW w:w="0" w:type="dxa"/>
            <w:vAlign w:val="bottom"/>
          </w:tcPr>
          <w:p>
            <w:pPr>
              <w:spacing w:after="0"/>
              <w:rPr>
                <w:sz w:val="1"/>
                <w:szCs w:val="1"/>
                <w:color w:val="auto"/>
              </w:rPr>
            </w:pPr>
          </w:p>
        </w:tc>
      </w:tr>
      <w:tr>
        <w:trPr>
          <w:trHeight w:val="250"/>
        </w:trPr>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34,414,631</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223,228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(27,485)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195,566</w:t>
            </w:r>
          </w:p>
        </w:tc>
        <w:tc>
          <w:tcPr>
            <w:tcW w:w="0" w:type="dxa"/>
            <w:vAlign w:val="bottom"/>
          </w:tcPr>
          <w:p>
            <w:pPr>
              <w:spacing w:after="0"/>
              <w:rPr>
                <w:sz w:val="1"/>
                <w:szCs w:val="1"/>
                <w:color w:val="auto"/>
              </w:rPr>
            </w:pPr>
          </w:p>
        </w:tc>
      </w:tr>
      <w:tr>
        <w:trPr>
          <w:trHeight w:val="244"/>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19,224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19,224</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0"/>
        </w:trPr>
        <w:tc>
          <w:tcPr>
            <w:tcW w:w="1040" w:type="dxa"/>
            <w:vAlign w:val="bottom"/>
          </w:tcPr>
          <w:p>
            <w:pPr>
              <w:jc w:val="right"/>
              <w:ind w:right="49"/>
              <w:spacing w:after="0"/>
              <w:rPr>
                <w:sz w:val="20"/>
                <w:szCs w:val="20"/>
                <w:color w:val="auto"/>
              </w:rPr>
            </w:pPr>
            <w:r>
              <w:rPr>
                <w:rFonts w:ascii="Arial" w:cs="Arial" w:eastAsia="Arial" w:hAnsi="Arial"/>
                <w:sz w:val="14"/>
                <w:szCs w:val="14"/>
                <w:color w:val="auto"/>
              </w:rPr>
              <w:t>1,399,157</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15,155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15,157</w:t>
            </w:r>
          </w:p>
        </w:tc>
        <w:tc>
          <w:tcPr>
            <w:tcW w:w="0" w:type="dxa"/>
            <w:vAlign w:val="bottom"/>
          </w:tcPr>
          <w:p>
            <w:pPr>
              <w:spacing w:after="0"/>
              <w:rPr>
                <w:sz w:val="1"/>
                <w:szCs w:val="1"/>
                <w:color w:val="auto"/>
              </w:rPr>
            </w:pPr>
          </w:p>
        </w:tc>
      </w:tr>
      <w:tr>
        <w:trPr>
          <w:trHeight w:val="270"/>
        </w:trPr>
        <w:tc>
          <w:tcPr>
            <w:tcW w:w="1040" w:type="dxa"/>
            <w:vAlign w:val="bottom"/>
          </w:tcPr>
          <w:p>
            <w:pPr>
              <w:jc w:val="right"/>
              <w:ind w:right="49"/>
              <w:spacing w:after="0"/>
              <w:rPr>
                <w:sz w:val="20"/>
                <w:szCs w:val="20"/>
                <w:color w:val="auto"/>
              </w:rPr>
            </w:pPr>
            <w:r>
              <w:rPr>
                <w:rFonts w:ascii="Arial" w:cs="Arial" w:eastAsia="Arial" w:hAnsi="Arial"/>
                <w:sz w:val="14"/>
                <w:szCs w:val="14"/>
                <w:color w:val="auto"/>
              </w:rPr>
              <w:t>25,213</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9"/>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8,700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8,700</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76"/>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4"/>
                <w:szCs w:val="24"/>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20,123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20,123</w:t>
            </w:r>
          </w:p>
        </w:tc>
        <w:tc>
          <w:tcPr>
            <w:tcW w:w="0" w:type="dxa"/>
            <w:vAlign w:val="bottom"/>
          </w:tcPr>
          <w:p>
            <w:pPr>
              <w:spacing w:after="0"/>
              <w:rPr>
                <w:sz w:val="1"/>
                <w:szCs w:val="1"/>
                <w:color w:val="auto"/>
              </w:rPr>
            </w:pPr>
          </w:p>
        </w:tc>
      </w:tr>
      <w:tr>
        <w:trPr>
          <w:trHeight w:val="237"/>
        </w:trPr>
        <w:tc>
          <w:tcPr>
            <w:tcW w:w="10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35,841,001</w:t>
            </w:r>
          </w:p>
        </w:tc>
        <w:tc>
          <w:tcPr>
            <w:tcW w:w="1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36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266,794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(8,261)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258,413</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-4647565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-3961130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-3618230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-3275330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-2932430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-2589530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-2245995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-1903095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-1560195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-1217295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-874395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-530860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-187960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3980" w:space="720"/>
            <w:col w:w="6720"/>
          </w:cols>
          <w:pgMar w:left="240" w:top="141" w:right="2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1" w:right="2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Company and Summary of Significant Accounting Policies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The accompanying consolidated financial statements and footnotes have been prepared by the Company in accordance with accounting principles generally accepted in the United States (“U.S. GAAP”) as well as the instructions to Form 10-K and the rules and regulations of the U.S. Securities and Exchange Commission ("SEC"). In the opinion of management, the accompanying consolidated financial statements include all adjustments necessary for the fair presentation of the Company’s consolidated financial position, results of operations and cash flows for the periods presented. The accompanying consolidated financial statements include the accounts of the Company and its majority-owned subsidiaries. All significant intercompany transactions and balances have been eliminated upon consolidation.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provision for income taxes. Actual results could differ from those estimates and such differences may be material to the accompanying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94"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The Company maintains an allowance for potential credit losses based upon the expected collectability of accounts receivable. The Company writes off its receivables once collection efforts are unsuccessful. As of December 31, 2016 and 2015,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w:t>
      </w:r>
      <w:r>
        <w:rPr>
          <w:rFonts w:ascii="Arial" w:cs="Arial" w:eastAsia="Arial" w:hAnsi="Arial"/>
          <w:sz w:val="18"/>
          <w:szCs w:val="18"/>
          <w:color w:val="000000"/>
        </w:rPr>
        <w:t>10%</w:t>
      </w:r>
      <w:r>
        <w:rPr>
          <w:rFonts w:ascii="Arial" w:cs="Arial" w:eastAsia="Arial" w:hAnsi="Arial"/>
          <w:sz w:val="18"/>
          <w:szCs w:val="18"/>
          <w:color w:val="231F20"/>
        </w:rPr>
        <w:t xml:space="preserve"> of the Company's accounts receivable balance.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333"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classifies its investments as either short-term or long-term based on each instrument's underlying contractual maturity date.</w:t>
      </w:r>
    </w:p>
    <w:p>
      <w:pPr>
        <w:spacing w:after="0" w:line="22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w:t>
      </w:r>
    </w:p>
    <w:p>
      <w:pPr>
        <w:spacing w:after="0" w:line="204"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39"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231F20"/>
        </w:rPr>
        <w:t xml:space="preserve">Property and equipment are stated at cost less accumulated depreciation and amortization. Depreciation is computed using the straight-line method over the estimated useful lives of the assets, which range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five</w:t>
      </w:r>
      <w:r>
        <w:rPr>
          <w:rFonts w:ascii="Arial" w:cs="Arial" w:eastAsia="Arial" w:hAnsi="Arial"/>
          <w:sz w:val="18"/>
          <w:szCs w:val="18"/>
          <w:color w:val="231F20"/>
        </w:rPr>
        <w:t xml:space="preserve"> years. Leasehold improvements are amortized on a straight-line basis over the lesser of the estimated useful life of the asset or the lease term.</w:t>
      </w:r>
    </w:p>
    <w:p>
      <w:pPr>
        <w:spacing w:after="0" w:line="94"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to customers on a subscription basis. This equipment is recorded within property and equipment on the accompanying consolidated balance sheet, and the depreciation is recorded to cost of revenues over an estimated useful life of </w:t>
      </w:r>
      <w:r>
        <w:rPr>
          <w:rFonts w:ascii="Arial" w:cs="Arial" w:eastAsia="Arial" w:hAnsi="Arial"/>
          <w:sz w:val="18"/>
          <w:szCs w:val="18"/>
          <w:color w:val="000000"/>
        </w:rPr>
        <w:t>three</w:t>
      </w:r>
      <w:r>
        <w:rPr>
          <w:rFonts w:ascii="Arial" w:cs="Arial" w:eastAsia="Arial" w:hAnsi="Arial"/>
          <w:sz w:val="18"/>
          <w:szCs w:val="18"/>
          <w:color w:val="231F20"/>
        </w:rPr>
        <w:t xml:space="preserve"> years.</w:t>
      </w:r>
    </w:p>
    <w:p>
      <w:pPr>
        <w:spacing w:after="0" w:line="202"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13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As of December 31, 2016, the Company has not written down any of its long-lived assets as a result of impairment.</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333"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annually or if certain circumstances indicate a possible impairment may exist. These tests are performed at the reporting unit level. The Company’s operations are organized as one reporting unit.</w:t>
      </w:r>
    </w:p>
    <w:p>
      <w:pPr>
        <w:spacing w:after="0" w:line="20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qualitative assessment for the year ended </w:t>
      </w:r>
      <w:r>
        <w:rPr>
          <w:rFonts w:ascii="Arial" w:cs="Arial" w:eastAsia="Arial" w:hAnsi="Arial"/>
          <w:sz w:val="18"/>
          <w:szCs w:val="18"/>
          <w:color w:val="000000"/>
        </w:rPr>
        <w:t>December 31, 2016</w:t>
      </w:r>
      <w:r>
        <w:rPr>
          <w:rFonts w:ascii="Arial" w:cs="Arial" w:eastAsia="Arial" w:hAnsi="Arial"/>
          <w:sz w:val="18"/>
          <w:szCs w:val="18"/>
          <w:color w:val="231F20"/>
        </w:rPr>
        <w:t xml:space="preserve"> and concluded there was no impairment of goodwill.</w:t>
      </w:r>
    </w:p>
    <w:p>
      <w:pPr>
        <w:spacing w:after="0" w:line="20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performed the annual qualitative assessment in 2016 and concluded that as of </w:t>
      </w:r>
      <w:r>
        <w:rPr>
          <w:rFonts w:ascii="Arial" w:cs="Arial" w:eastAsia="Arial" w:hAnsi="Arial"/>
          <w:sz w:val="18"/>
          <w:szCs w:val="18"/>
          <w:color w:val="000000"/>
        </w:rPr>
        <w:t>December 31, 2016</w:t>
      </w:r>
      <w:r>
        <w:rPr>
          <w:rFonts w:ascii="Arial" w:cs="Arial" w:eastAsia="Arial" w:hAnsi="Arial"/>
          <w:sz w:val="18"/>
          <w:szCs w:val="18"/>
          <w:color w:val="231F20"/>
        </w:rPr>
        <w:t>, there was no impairment of the indefinite-lived intangible assets.</w:t>
      </w:r>
    </w:p>
    <w:p>
      <w:pPr>
        <w:spacing w:after="0" w:line="206"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 xml:space="preserve">If the qualitative assessment indicates there is more than a 50% likelihood that the fair value is less than the carrying amount of the reporting unit or the intangible asset, the Company would perform a two-step test. In the first step, the carrying value of the reporting unit or intangible asset is compared to its estimated fair value. If the estimated fair value is less than the carrying value, then potential impairment exists. In the second step, for goodwill, the Company calculates the amount of any impairment by determining the implied fair value of goodwill using a hypothetical purchase price allocation, similar to that which would be applied if it were an acquisition and the purchase price was equivalent to fair value as calculated in the first step. Impairment is equivalent to any excess of goodwill carrying value over its implied fair value. For indefinite-lived intangible assets, the Company performs the currently prescribed quantitative impairment test by comparing the fair value of the indefinite-lived intangible asset with its carrying value. In 2015, the Company determined there was an impairment of certain indefinite-lived intangible assets and recorded a write-off of </w:t>
      </w:r>
      <w:r>
        <w:rPr>
          <w:rFonts w:ascii="Arial" w:cs="Arial" w:eastAsia="Arial" w:hAnsi="Arial"/>
          <w:sz w:val="18"/>
          <w:szCs w:val="18"/>
          <w:color w:val="000000"/>
        </w:rPr>
        <w:t>$0.3 million</w:t>
      </w:r>
      <w:r>
        <w:rPr>
          <w:rFonts w:ascii="Arial" w:cs="Arial" w:eastAsia="Arial" w:hAnsi="Arial"/>
          <w:sz w:val="18"/>
          <w:szCs w:val="18"/>
          <w:color w:val="231F20"/>
        </w:rPr>
        <w:t>, recorded in other expense, net.</w:t>
      </w:r>
    </w:p>
    <w:p>
      <w:pPr>
        <w:spacing w:after="0" w:line="21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Certain other intangible assets acquired are amortized over their estimated useful lives and tested for impairment if certain circumstances indicate an impairment may exist. The Company’s intangible assets are comprised primarily of existing technology, patent license, and non-competition agreements and are amortized over periods ranging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fourteen</w:t>
      </w:r>
      <w:r>
        <w:rPr>
          <w:rFonts w:ascii="Arial" w:cs="Arial" w:eastAsia="Arial" w:hAnsi="Arial"/>
          <w:sz w:val="18"/>
          <w:szCs w:val="18"/>
          <w:color w:val="231F20"/>
        </w:rPr>
        <w:t xml:space="preserve"> years on a straight-line basis. As of December 31, 2016, the Company has not written down any of these intangible assets as a result of impairment.</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139" w:lineRule="exact"/>
        <w:rPr>
          <w:sz w:val="20"/>
          <w:szCs w:val="20"/>
          <w:color w:val="auto"/>
        </w:rPr>
      </w:pPr>
    </w:p>
    <w:p>
      <w:pPr>
        <w:ind w:right="380" w:firstLine="405"/>
        <w:spacing w:after="0" w:line="254" w:lineRule="auto"/>
        <w:rPr>
          <w:sz w:val="20"/>
          <w:szCs w:val="20"/>
          <w:color w:val="auto"/>
        </w:rPr>
      </w:pPr>
      <w:r>
        <w:rPr>
          <w:rFonts w:ascii="Arial" w:cs="Arial" w:eastAsia="Arial" w:hAnsi="Arial"/>
          <w:sz w:val="18"/>
          <w:szCs w:val="18"/>
          <w:color w:val="231F20"/>
        </w:rPr>
        <w:t xml:space="preserve">The Company capitalizes qualifying software costs developed for internal use. These costs generally include internal costs, such as payroll and benefits of those employees directly associated with the development of the software, and other consulting expenses. Total capitalized development costs are </w:t>
      </w:r>
      <w:r>
        <w:rPr>
          <w:rFonts w:ascii="Arial" w:cs="Arial" w:eastAsia="Arial" w:hAnsi="Arial"/>
          <w:sz w:val="18"/>
          <w:szCs w:val="18"/>
          <w:color w:val="000000"/>
        </w:rPr>
        <w:t>$0.4 million</w:t>
      </w:r>
      <w:r>
        <w:rPr>
          <w:rFonts w:ascii="Arial" w:cs="Arial" w:eastAsia="Arial" w:hAnsi="Arial"/>
          <w:sz w:val="18"/>
          <w:szCs w:val="18"/>
          <w:color w:val="231F20"/>
        </w:rPr>
        <w:t xml:space="preserve"> and $0.4 million </w:t>
      </w:r>
      <w:r>
        <w:rPr>
          <w:rFonts w:ascii="Arial" w:cs="Arial" w:eastAsia="Arial" w:hAnsi="Arial"/>
          <w:sz w:val="18"/>
          <w:szCs w:val="18"/>
          <w:color w:val="000000"/>
        </w:rPr>
        <w:t>at December 31, 2016</w:t>
      </w:r>
      <w:r>
        <w:rPr>
          <w:rFonts w:ascii="Arial" w:cs="Arial" w:eastAsia="Arial" w:hAnsi="Arial"/>
          <w:sz w:val="18"/>
          <w:szCs w:val="18"/>
          <w:color w:val="231F20"/>
        </w:rPr>
        <w:t xml:space="preserve"> and 2015</w:t>
      </w:r>
      <w:r>
        <w:rPr>
          <w:rFonts w:ascii="Arial" w:cs="Arial" w:eastAsia="Arial" w:hAnsi="Arial"/>
          <w:sz w:val="18"/>
          <w:szCs w:val="18"/>
          <w:color w:val="000000"/>
        </w:rPr>
        <w:t>, respectively, and the related accumulated</w:t>
      </w:r>
      <w:r>
        <w:rPr>
          <w:rFonts w:ascii="Arial" w:cs="Arial" w:eastAsia="Arial" w:hAnsi="Arial"/>
          <w:sz w:val="18"/>
          <w:szCs w:val="18"/>
          <w:color w:val="231F20"/>
        </w:rPr>
        <w:t xml:space="preserve"> </w:t>
      </w:r>
      <w:r>
        <w:rPr>
          <w:rFonts w:ascii="Arial" w:cs="Arial" w:eastAsia="Arial" w:hAnsi="Arial"/>
          <w:sz w:val="18"/>
          <w:szCs w:val="18"/>
          <w:color w:val="000000"/>
        </w:rPr>
        <w:t>amortization is $0.4 million and $0.3 million at December 31, 2016 and 2015.</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consolidated balance sheets. Gains and losses resulting from currency exchange rate movements on these forward contracts are recognized in other income (expense) in the accompanying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3"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231F20"/>
        </w:rPr>
        <w:t xml:space="preserve">At </w:t>
      </w:r>
      <w:r>
        <w:rPr>
          <w:rFonts w:ascii="Arial" w:cs="Arial" w:eastAsia="Arial" w:hAnsi="Arial"/>
          <w:sz w:val="17"/>
          <w:szCs w:val="17"/>
          <w:color w:val="000000"/>
        </w:rPr>
        <w:t>December 31, 2016</w:t>
      </w:r>
      <w:r>
        <w:rPr>
          <w:rFonts w:ascii="Arial" w:cs="Arial" w:eastAsia="Arial" w:hAnsi="Arial"/>
          <w:sz w:val="17"/>
          <w:szCs w:val="17"/>
          <w:color w:val="231F20"/>
        </w:rPr>
        <w:t xml:space="preserve">, the Company had </w:t>
      </w:r>
      <w:r>
        <w:rPr>
          <w:rFonts w:ascii="Arial" w:cs="Arial" w:eastAsia="Arial" w:hAnsi="Arial"/>
          <w:sz w:val="17"/>
          <w:szCs w:val="17"/>
          <w:color w:val="000000"/>
        </w:rPr>
        <w:t>two</w:t>
      </w:r>
      <w:r>
        <w:rPr>
          <w:rFonts w:ascii="Arial" w:cs="Arial" w:eastAsia="Arial" w:hAnsi="Arial"/>
          <w:sz w:val="17"/>
          <w:szCs w:val="17"/>
          <w:color w:val="231F20"/>
        </w:rPr>
        <w:t xml:space="preserve"> outstanding forward contracts with notional amounts of 7.6 million </w:t>
      </w:r>
      <w:r>
        <w:rPr>
          <w:rFonts w:ascii="Arial" w:cs="Arial" w:eastAsia="Arial" w:hAnsi="Arial"/>
          <w:sz w:val="17"/>
          <w:szCs w:val="17"/>
          <w:color w:val="000000"/>
        </w:rPr>
        <w:t>Euros</w:t>
      </w:r>
      <w:r>
        <w:rPr>
          <w:rFonts w:ascii="Arial" w:cs="Arial" w:eastAsia="Arial" w:hAnsi="Arial"/>
          <w:sz w:val="17"/>
          <w:szCs w:val="17"/>
          <w:color w:val="231F20"/>
        </w:rPr>
        <w:t xml:space="preserve"> and 4.6 million British Pounds, respectively, both with the expiry date of February 2, 2017</w:t>
      </w:r>
      <w:r>
        <w:rPr>
          <w:rFonts w:ascii="Arial" w:cs="Arial" w:eastAsia="Arial" w:hAnsi="Arial"/>
          <w:sz w:val="17"/>
          <w:szCs w:val="17"/>
          <w:color w:val="000000"/>
        </w:rPr>
        <w:t>.</w:t>
      </w:r>
      <w:r>
        <w:rPr>
          <w:rFonts w:ascii="Arial" w:cs="Arial" w:eastAsia="Arial" w:hAnsi="Arial"/>
          <w:sz w:val="17"/>
          <w:szCs w:val="17"/>
          <w:color w:val="231F20"/>
        </w:rPr>
        <w:t xml:space="preserve"> At </w:t>
      </w:r>
      <w:r>
        <w:rPr>
          <w:rFonts w:ascii="Arial" w:cs="Arial" w:eastAsia="Arial" w:hAnsi="Arial"/>
          <w:sz w:val="17"/>
          <w:szCs w:val="17"/>
          <w:color w:val="000000"/>
        </w:rPr>
        <w:t>December 31, 2015</w:t>
      </w:r>
      <w:r>
        <w:rPr>
          <w:rFonts w:ascii="Arial" w:cs="Arial" w:eastAsia="Arial" w:hAnsi="Arial"/>
          <w:sz w:val="17"/>
          <w:szCs w:val="17"/>
          <w:color w:val="231F20"/>
        </w:rPr>
        <w:t xml:space="preserve">, the Company had </w:t>
      </w:r>
      <w:r>
        <w:rPr>
          <w:rFonts w:ascii="Arial" w:cs="Arial" w:eastAsia="Arial" w:hAnsi="Arial"/>
          <w:sz w:val="17"/>
          <w:szCs w:val="17"/>
          <w:color w:val="000000"/>
        </w:rPr>
        <w:t>two</w:t>
      </w:r>
      <w:r>
        <w:rPr>
          <w:rFonts w:ascii="Arial" w:cs="Arial" w:eastAsia="Arial" w:hAnsi="Arial"/>
          <w:sz w:val="17"/>
          <w:szCs w:val="17"/>
          <w:color w:val="231F20"/>
        </w:rPr>
        <w:t xml:space="preserve"> outstanding forward contracts with notional amounts of 6.1 million Euros and 2.6 million British Pounds, which expired on January 31, 2016</w:t>
      </w:r>
      <w:r>
        <w:rPr>
          <w:rFonts w:ascii="Arial" w:cs="Arial" w:eastAsia="Arial" w:hAnsi="Arial"/>
          <w:sz w:val="17"/>
          <w:szCs w:val="17"/>
          <w:color w:val="000000"/>
        </w:rPr>
        <w:t>.</w:t>
      </w:r>
      <w:r>
        <w:rPr>
          <w:rFonts w:ascii="Arial" w:cs="Arial" w:eastAsia="Arial" w:hAnsi="Arial"/>
          <w:sz w:val="17"/>
          <w:szCs w:val="17"/>
          <w:color w:val="231F20"/>
        </w:rPr>
        <w:t xml:space="preserve"> These forward contracts were entered into as of December 30, 2016 and December 31, 2015, respectively, and had a fair value of </w:t>
      </w:r>
      <w:r>
        <w:rPr>
          <w:rFonts w:ascii="Arial" w:cs="Arial" w:eastAsia="Arial" w:hAnsi="Arial"/>
          <w:sz w:val="17"/>
          <w:szCs w:val="17"/>
          <w:color w:val="000000"/>
        </w:rPr>
        <w:t>$0</w:t>
      </w:r>
      <w:r>
        <w:rPr>
          <w:rFonts w:ascii="Arial" w:cs="Arial" w:eastAsia="Arial" w:hAnsi="Arial"/>
          <w:sz w:val="17"/>
          <w:szCs w:val="17"/>
          <w:color w:val="231F20"/>
        </w:rPr>
        <w:t xml:space="preserve"> at both December 31, 2016 and 2015. These derivatives did not meet the criteria to be designated as hedges. These instruments were valued using Level 2 inputs.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gains (losses) recognized from forward contracts and other foreign currency transactions: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r>
      <w:tr>
        <w:trPr>
          <w:trHeight w:val="243"/>
        </w:trPr>
        <w:tc>
          <w:tcPr>
            <w:tcW w:w="6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 from forward contracts</w:t>
            </w:r>
          </w:p>
        </w:tc>
        <w:tc>
          <w:tcPr>
            <w:tcW w:w="94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554</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foreign currency transaction losses</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w:t>
            </w: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foreign exchange loss, net</w:t>
            </w:r>
          </w:p>
        </w:tc>
        <w:tc>
          <w:tcPr>
            <w:tcW w:w="94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Company recognizes the fair value of its employee stock options and restricted stock units (RSUs) over the requisite service period for those awards ultimately expected to vest. The fair value of each option is estimated on date of grant using the Black-Scholes option pricing model and the fair value of each restricted stock unit is based on the fair value of the Company's stock on the date of grant. Forfeitures are estimated on the date of grant and revised if actual or expected forfeiture activity differs materially from original estimates.</w:t>
      </w:r>
    </w:p>
    <w:p>
      <w:pPr>
        <w:spacing w:after="0" w:line="204"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231F20"/>
        </w:rPr>
        <w:t>Option grants to non-employees are accounted for at the fair value of the equity instrument issued, as calculated using the Black-Scholes option-pricing model and the expense is recognized over the vesting periods of the options. The value of options granted to non-employees is remeasured as they vest over a performance period.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The Company derives revenues from subscriptions that require customers to pay a fee in order to access the Company’s cloud solutions.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w:t>
      </w:r>
      <w:r>
        <w:rPr>
          <w:rFonts w:ascii="Arial" w:cs="Arial" w:eastAsia="Arial" w:hAnsi="Arial"/>
          <w:sz w:val="18"/>
          <w:szCs w:val="18"/>
          <w:color w:val="000000"/>
        </w:rPr>
        <w:t>In some limited cases, the Company also provides certain computer equipment used to extend</w:t>
      </w:r>
      <w:r>
        <w:rPr>
          <w:rFonts w:ascii="Arial" w:cs="Arial" w:eastAsia="Arial" w:hAnsi="Arial"/>
          <w:sz w:val="18"/>
          <w:szCs w:val="18"/>
          <w:color w:val="231F20"/>
        </w:rPr>
        <w:t xml:space="preserve"> </w:t>
      </w:r>
      <w:r>
        <w:rPr>
          <w:rFonts w:ascii="Arial" w:cs="Arial" w:eastAsia="Arial" w:hAnsi="Arial"/>
          <w:sz w:val="18"/>
          <w:szCs w:val="18"/>
          <w:color w:val="000000"/>
        </w:rPr>
        <w:t xml:space="preserve">its Qualys Cloud Platform into its customers’ private cloud environment. </w:t>
      </w:r>
      <w:r>
        <w:rPr>
          <w:rFonts w:ascii="Arial" w:cs="Arial" w:eastAsia="Arial" w:hAnsi="Arial"/>
          <w:sz w:val="18"/>
          <w:szCs w:val="18"/>
          <w:color w:val="231F20"/>
        </w:rPr>
        <w:t>Customers are required to return physical scanner appliances and</w:t>
      </w:r>
      <w:r>
        <w:rPr>
          <w:rFonts w:ascii="Arial" w:cs="Arial" w:eastAsia="Arial" w:hAnsi="Arial"/>
          <w:sz w:val="18"/>
          <w:szCs w:val="18"/>
          <w:color w:val="000000"/>
        </w:rPr>
        <w:t xml:space="preserve"> </w:t>
      </w:r>
      <w:r>
        <w:rPr>
          <w:rFonts w:ascii="Arial" w:cs="Arial" w:eastAsia="Arial" w:hAnsi="Arial"/>
          <w:sz w:val="18"/>
          <w:szCs w:val="18"/>
          <w:color w:val="231F20"/>
        </w:rPr>
        <w:t>computer equipment if they do not renew their subscriptions.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recognizes revenues when all of the following conditions are met:</w:t>
      </w:r>
    </w:p>
    <w:p>
      <w:pPr>
        <w:spacing w:after="0" w:line="225"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service has been provided to the customer.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collection of the fees is reasonably assured.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17" w:lineRule="exact"/>
        <w:rPr>
          <w:sz w:val="20"/>
          <w:szCs w:val="20"/>
          <w:color w:val="auto"/>
        </w:rPr>
      </w:pPr>
    </w:p>
    <w:p>
      <w:pPr>
        <w:ind w:right="420" w:firstLine="405"/>
        <w:spacing w:after="0" w:line="262" w:lineRule="auto"/>
        <w:rPr>
          <w:sz w:val="20"/>
          <w:szCs w:val="20"/>
          <w:color w:val="auto"/>
        </w:rPr>
      </w:pPr>
      <w:r>
        <w:rPr>
          <w:rFonts w:ascii="Arial" w:cs="Arial" w:eastAsia="Arial" w:hAnsi="Arial"/>
          <w:sz w:val="18"/>
          <w:szCs w:val="18"/>
          <w:color w:val="231F20"/>
        </w:rPr>
        <w:t>Subscriptions are recognized ratably over the subscription period. The Company recognizes revenues from subscriptions that include physical scanner appliances and other computer equipment ratably over the period of the subscription.</w:t>
      </w:r>
    </w:p>
    <w:p>
      <w:pPr>
        <w:spacing w:after="0" w:line="1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We recognize revenues for certain limited scan arrangements, for which expiration dates can be extended, on an as-used basis.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3"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231F20"/>
        </w:rPr>
        <w:t>Deferred revenues consist of revenues billed or received that will be recognized in the future under subscriptions existing at the balance sheet date. The current portion of deferred revenues represents amounts that are expected to be recognized within one year of the balance sheet date.</w:t>
      </w:r>
    </w:p>
    <w:p>
      <w:pPr>
        <w:spacing w:after="0" w:line="202" w:lineRule="exact"/>
        <w:rPr>
          <w:sz w:val="20"/>
          <w:szCs w:val="20"/>
          <w:color w:val="auto"/>
        </w:rPr>
      </w:pPr>
    </w:p>
    <w:p>
      <w:pPr>
        <w:ind w:right="600" w:firstLine="405"/>
        <w:spacing w:after="0" w:line="26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39"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231F20"/>
        </w:rPr>
        <w:t xml:space="preserve">Advertising costs are expensed as incurred and include costs of advertising, trade show costs and </w:t>
      </w:r>
      <w:r>
        <w:rPr>
          <w:rFonts w:ascii="Arial" w:cs="Arial" w:eastAsia="Arial" w:hAnsi="Arial"/>
          <w:sz w:val="18"/>
          <w:szCs w:val="18"/>
          <w:color w:val="000000"/>
        </w:rPr>
        <w:t>promotional</w:t>
      </w:r>
      <w:r>
        <w:rPr>
          <w:rFonts w:ascii="Arial" w:cs="Arial" w:eastAsia="Arial" w:hAnsi="Arial"/>
          <w:sz w:val="18"/>
          <w:szCs w:val="18"/>
          <w:color w:val="231F20"/>
        </w:rPr>
        <w:t xml:space="preserve"> materials. The Company incurred advertising costs of </w:t>
      </w:r>
      <w:r>
        <w:rPr>
          <w:rFonts w:ascii="Arial" w:cs="Arial" w:eastAsia="Arial" w:hAnsi="Arial"/>
          <w:sz w:val="18"/>
          <w:szCs w:val="18"/>
          <w:color w:val="000000"/>
        </w:rPr>
        <w:t>$7.7 million, $6.1 million and $5.3 million</w:t>
      </w:r>
      <w:r>
        <w:rPr>
          <w:rFonts w:ascii="Arial" w:cs="Arial" w:eastAsia="Arial" w:hAnsi="Arial"/>
          <w:sz w:val="18"/>
          <w:szCs w:val="18"/>
          <w:color w:val="231F20"/>
        </w:rPr>
        <w:t xml:space="preserve"> for </w:t>
      </w:r>
      <w:r>
        <w:rPr>
          <w:rFonts w:ascii="Arial" w:cs="Arial" w:eastAsia="Arial" w:hAnsi="Arial"/>
          <w:sz w:val="18"/>
          <w:szCs w:val="18"/>
          <w:color w:val="000000"/>
        </w:rPr>
        <w:t>2016, 2015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247"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207"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provision (benefit) for income taxes, its deferred tax assets and liabilities, and any valuation allowance to be recorded against its deferred tax assets. The Company's judgments, assumptions and estimates relating to the current provision (benefit) for income taxes include the geographic mix and amount of income (loss), its interpretation of current tax laws, and possible outcomes of current and future audits conducted by foreign and domestic tax authorities. The Company's judgments also include anticipating the tax positions the Company will record in the consolidated financial statements before actually preparing and filing the tax returns. The Company's estimates and assumptions may differ from the actual results as reflected in its income tax returns and the Company records the required adjustments when they are identified or resolved. Changes in the Company's business, tax laws or the Company's interpretation of tax laws, and developments in current and future tax audits, could significantly impact the amounts provided for income taxes in the Company's results of operations, financial position, or cash flows.</w:t>
      </w:r>
    </w:p>
    <w:p>
      <w:pPr>
        <w:spacing w:after="0" w:line="212"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tax benefit carry-forwards and to differences between the financial statement amounts of assets and liabilities and their respective tax basis.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15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3" w:right="2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Comprehensive Income (Loss)</w:t>
      </w:r>
    </w:p>
    <w:p>
      <w:pPr>
        <w:spacing w:after="0" w:line="247" w:lineRule="exact"/>
        <w:rPr>
          <w:sz w:val="20"/>
          <w:szCs w:val="20"/>
          <w:color w:val="auto"/>
        </w:rPr>
      </w:pPr>
    </w:p>
    <w:p>
      <w:pPr>
        <w:jc w:val="both"/>
        <w:ind w:right="500" w:firstLine="405"/>
        <w:spacing w:after="0" w:line="256" w:lineRule="auto"/>
        <w:rPr>
          <w:sz w:val="20"/>
          <w:szCs w:val="20"/>
          <w:color w:val="auto"/>
        </w:rPr>
      </w:pPr>
      <w:r>
        <w:rPr>
          <w:rFonts w:ascii="Arial" w:cs="Arial" w:eastAsia="Arial" w:hAnsi="Arial"/>
          <w:sz w:val="18"/>
          <w:szCs w:val="18"/>
          <w:color w:val="231F20"/>
        </w:rPr>
        <w:t>Other comprehensive income (loss) consists of unrealized gains (losses) on available-for-sale investments, net of tax, which are not included in the Company’s net income. Total comprehensive income includes net income and other comprehensive income (loss) and is included in the consolidated statements of comprehensive income.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Transactions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 The Company recorded total foreign currency transaction losses of </w:t>
      </w:r>
      <w:r>
        <w:rPr>
          <w:rFonts w:ascii="Arial" w:cs="Arial" w:eastAsia="Arial" w:hAnsi="Arial"/>
          <w:sz w:val="18"/>
          <w:szCs w:val="18"/>
          <w:color w:val="000000"/>
        </w:rPr>
        <w:t>$0.8 million</w:t>
      </w:r>
      <w:r>
        <w:rPr>
          <w:rFonts w:ascii="Arial" w:cs="Arial" w:eastAsia="Arial" w:hAnsi="Arial"/>
          <w:sz w:val="18"/>
          <w:szCs w:val="18"/>
          <w:color w:val="231F20"/>
        </w:rPr>
        <w:t xml:space="preserve">, $0.4 million and $0.7 million during </w:t>
      </w:r>
      <w:r>
        <w:rPr>
          <w:rFonts w:ascii="Arial" w:cs="Arial" w:eastAsia="Arial" w:hAnsi="Arial"/>
          <w:sz w:val="18"/>
          <w:szCs w:val="18"/>
          <w:color w:val="000000"/>
        </w:rPr>
        <w:t>2016,</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respectively.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Fair Value Measurements</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333" w:right="27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w:t>
      </w:r>
      <w:r>
        <w:rPr>
          <w:rFonts w:ascii="Arial" w:cs="Arial" w:eastAsia="Arial" w:hAnsi="Arial"/>
          <w:sz w:val="18"/>
          <w:szCs w:val="18"/>
          <w:color w:val="000000"/>
        </w:rPr>
        <w:t xml:space="preserve"> </w:t>
      </w:r>
      <w:r>
        <w:rPr>
          <w:rFonts w:ascii="Arial" w:cs="Arial" w:eastAsia="Arial" w:hAnsi="Arial"/>
          <w:sz w:val="18"/>
          <w:szCs w:val="18"/>
          <w:color w:val="231F20"/>
        </w:rPr>
        <w:t>using observable inputs</w:t>
      </w:r>
      <w:r>
        <w:rPr>
          <w:rFonts w:ascii="Arial" w:cs="Arial" w:eastAsia="Arial" w:hAnsi="Arial"/>
          <w:sz w:val="18"/>
          <w:szCs w:val="18"/>
          <w:color w:val="000000"/>
        </w:rPr>
        <w:t>, such as quotations on forward foreign exchange points and foreign interest rates</w:t>
      </w:r>
      <w:r>
        <w:rPr>
          <w:rFonts w:ascii="Arial" w:cs="Arial" w:eastAsia="Arial" w:hAnsi="Arial"/>
          <w:sz w:val="18"/>
          <w:szCs w:val="18"/>
          <w:color w:val="231F20"/>
        </w:rPr>
        <w:t>. See Note 2 for more information regarding the fair value measurement of the Company's financial instruments.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Net Income Per Share</w:t>
      </w:r>
    </w:p>
    <w:p>
      <w:pPr>
        <w:spacing w:after="0" w:line="24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Basic net income per share is computed by dividing net income by the weighted-average number of common shares outstanding during the period. All participating securities are excluded from basic weighted average common shares outstanding. In computing diluted net income per share, undistributed earnings are reallocated to reflect the potential impact of dilutive securities. Diluted net income per share is computed by dividing net income by the weighted-average number of shares of common stock outstanding during the period, adjusted for the effects of potentially dilutive common shares, which are comprised of outstanding stock options. The dilutive potential common shares are computed using the treasury stock method or the as-if converted method, as applicable. The effects of outstanding stock options are excluded from the computation of diluted net income per common share in periods in which the effect would be antidilutive.</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Revenue from Contracts with Customers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31F20"/>
        </w:rPr>
        <w:t xml:space="preserve">In May 2014, the Financial Accounting Standards Board (FASB) issued Accounting Standards Update (ASU) 2014-09, </w:t>
      </w:r>
      <w:r>
        <w:rPr>
          <w:rFonts w:ascii="Arial" w:cs="Arial" w:eastAsia="Arial" w:hAnsi="Arial"/>
          <w:sz w:val="18"/>
          <w:szCs w:val="18"/>
          <w:i w:val="1"/>
          <w:iCs w:val="1"/>
          <w:color w:val="231F20"/>
        </w:rPr>
        <w:t>Revenue from</w:t>
      </w:r>
      <w:r>
        <w:rPr>
          <w:rFonts w:ascii="Arial" w:cs="Arial" w:eastAsia="Arial" w:hAnsi="Arial"/>
          <w:sz w:val="18"/>
          <w:szCs w:val="18"/>
          <w:color w:val="231F20"/>
        </w:rPr>
        <w:t xml:space="preserve"> </w:t>
      </w:r>
      <w:r>
        <w:rPr>
          <w:rFonts w:ascii="Arial" w:cs="Arial" w:eastAsia="Arial" w:hAnsi="Arial"/>
          <w:sz w:val="18"/>
          <w:szCs w:val="18"/>
          <w:i w:val="1"/>
          <w:iCs w:val="1"/>
          <w:color w:val="231F20"/>
        </w:rPr>
        <w:t>Contracts with Customers (</w:t>
      </w:r>
      <w:r>
        <w:rPr>
          <w:rFonts w:ascii="Arial" w:cs="Arial" w:eastAsia="Arial" w:hAnsi="Arial"/>
          <w:sz w:val="18"/>
          <w:szCs w:val="18"/>
          <w:color w:val="231F20"/>
        </w:rPr>
        <w:t>ASU 2014-09), as amended, which will supersede nearly all existing revenue recognition guidance. Under ASU</w:t>
      </w:r>
      <w:r>
        <w:rPr>
          <w:rFonts w:ascii="Arial" w:cs="Arial" w:eastAsia="Arial" w:hAnsi="Arial"/>
          <w:sz w:val="18"/>
          <w:szCs w:val="18"/>
          <w:i w:val="1"/>
          <w:iCs w:val="1"/>
          <w:color w:val="231F20"/>
        </w:rPr>
        <w:t xml:space="preserve"> </w:t>
      </w:r>
      <w:r>
        <w:rPr>
          <w:rFonts w:ascii="Arial" w:cs="Arial" w:eastAsia="Arial" w:hAnsi="Arial"/>
          <w:sz w:val="18"/>
          <w:szCs w:val="18"/>
          <w:color w:val="231F20"/>
        </w:rPr>
        <w:t>2014-09, an entity is required to recognize revenue upon transfer of promised goods or services to customers in an amount that reflects the expected consideration received in exchange for those goods or services. ASU 2014-09 defines a five-step process in order to achieve this core principle, which may require the use of judgment and estimates, and also requires expanded qualitative and quantitative disclosures relating to the nature, amount, timing and uncertainty of revenue and cash flows arising from contracts with customers, including significant judgments and estimates used.</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231F20"/>
        </w:rPr>
        <w:t xml:space="preserve">The FASB has recently issued several amendments to the new standard, including clarification on accounting for licenses of intellectual property and identifying performance obligations. The amendments include ASU 2016-08, </w:t>
      </w:r>
      <w:r>
        <w:rPr>
          <w:rFonts w:ascii="Arial" w:cs="Arial" w:eastAsia="Arial" w:hAnsi="Arial"/>
          <w:sz w:val="18"/>
          <w:szCs w:val="18"/>
          <w:i w:val="1"/>
          <w:iCs w:val="1"/>
          <w:color w:val="231F20"/>
        </w:rPr>
        <w:t>Revenue from Contracts with Customers (Topic</w:t>
      </w:r>
      <w:r>
        <w:rPr>
          <w:rFonts w:ascii="Arial" w:cs="Arial" w:eastAsia="Arial" w:hAnsi="Arial"/>
          <w:sz w:val="18"/>
          <w:szCs w:val="18"/>
          <w:color w:val="231F20"/>
        </w:rPr>
        <w:t xml:space="preserve"> </w:t>
      </w:r>
      <w:r>
        <w:rPr>
          <w:rFonts w:ascii="Arial" w:cs="Arial" w:eastAsia="Arial" w:hAnsi="Arial"/>
          <w:sz w:val="18"/>
          <w:szCs w:val="18"/>
          <w:i w:val="1"/>
          <w:iCs w:val="1"/>
          <w:color w:val="231F20"/>
        </w:rPr>
        <w:t>606)-Principal versus Agent Considerations</w:t>
      </w:r>
      <w:r>
        <w:rPr>
          <w:rFonts w:ascii="Arial" w:cs="Arial" w:eastAsia="Arial" w:hAnsi="Arial"/>
          <w:sz w:val="18"/>
          <w:szCs w:val="18"/>
          <w:color w:val="231F20"/>
        </w:rPr>
        <w:t>, which was issued in March 2016, and clarifies the implementation guidance for principal versus</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agent considerations in ASU 2014-09, and ASU 2016-10, </w:t>
      </w:r>
      <w:r>
        <w:rPr>
          <w:rFonts w:ascii="Arial" w:cs="Arial" w:eastAsia="Arial" w:hAnsi="Arial"/>
          <w:sz w:val="18"/>
          <w:szCs w:val="18"/>
          <w:i w:val="1"/>
          <w:iCs w:val="1"/>
          <w:color w:val="231F20"/>
        </w:rPr>
        <w:t>Revenue from Contracts with Customers (Topic 606)-Identifying Performance</w:t>
      </w:r>
      <w:r>
        <w:rPr>
          <w:rFonts w:ascii="Arial" w:cs="Arial" w:eastAsia="Arial" w:hAnsi="Arial"/>
          <w:sz w:val="18"/>
          <w:szCs w:val="18"/>
          <w:color w:val="231F20"/>
        </w:rPr>
        <w:t xml:space="preserve"> </w:t>
      </w:r>
      <w:r>
        <w:rPr>
          <w:rFonts w:ascii="Arial" w:cs="Arial" w:eastAsia="Arial" w:hAnsi="Arial"/>
          <w:sz w:val="18"/>
          <w:szCs w:val="18"/>
          <w:i w:val="1"/>
          <w:iCs w:val="1"/>
          <w:color w:val="231F20"/>
        </w:rPr>
        <w:t>Obligations and Licensing</w:t>
      </w:r>
      <w:r>
        <w:rPr>
          <w:rFonts w:ascii="Arial" w:cs="Arial" w:eastAsia="Arial" w:hAnsi="Arial"/>
          <w:sz w:val="18"/>
          <w:szCs w:val="18"/>
          <w:color w:val="231F20"/>
        </w:rPr>
        <w:t>, which was issued in April 2016, and amends the guidance in ASU 2014-09 related to identifying performance</w:t>
      </w:r>
      <w:r>
        <w:rPr>
          <w:rFonts w:ascii="Arial" w:cs="Arial" w:eastAsia="Arial" w:hAnsi="Arial"/>
          <w:sz w:val="18"/>
          <w:szCs w:val="18"/>
          <w:i w:val="1"/>
          <w:iCs w:val="1"/>
          <w:color w:val="231F20"/>
        </w:rPr>
        <w:t xml:space="preserve"> </w:t>
      </w:r>
      <w:r>
        <w:rPr>
          <w:rFonts w:ascii="Arial" w:cs="Arial" w:eastAsia="Arial" w:hAnsi="Arial"/>
          <w:sz w:val="18"/>
          <w:szCs w:val="18"/>
          <w:color w:val="231F20"/>
        </w:rPr>
        <w:t>obligations and accounting for licenses of intellectual property.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The Company will adopt the new standard effective January 1, 2018.</w:t>
      </w:r>
    </w:p>
    <w:p>
      <w:pPr>
        <w:spacing w:after="0" w:line="21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231F20"/>
        </w:rPr>
        <w:t>The Company currently plans to adopt using the modified retrospective approach. However, a final decision regarding the adoption method has not been finalized at this time.</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231F20"/>
        </w:rPr>
        <w:t>While the Company's assessment is ongoing, it currently believes that the most significant impacts are related to the potential deferral of sales commissions and contract costs and the accounting for financing components of certain long term contracts.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31F20"/>
        </w:rPr>
        <w:t xml:space="preserve">In January 2016, the FASB issued ASU 2016-01, </w:t>
      </w:r>
      <w:r>
        <w:rPr>
          <w:rFonts w:ascii="Arial" w:cs="Arial" w:eastAsia="Arial" w:hAnsi="Arial"/>
          <w:sz w:val="18"/>
          <w:szCs w:val="18"/>
          <w:i w:val="1"/>
          <w:iCs w:val="1"/>
          <w:color w:val="231F20"/>
        </w:rPr>
        <w:t>Financial Instruments – Overall (Subtopic 825-10): Recognition and Measurement of</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Assets and Financial Liabilities</w:t>
      </w:r>
      <w:r>
        <w:rPr>
          <w:rFonts w:ascii="Arial" w:cs="Arial" w:eastAsia="Arial" w:hAnsi="Arial"/>
          <w:sz w:val="18"/>
          <w:szCs w:val="18"/>
          <w:color w:val="231F20"/>
        </w:rPr>
        <w:t>, which will impact certain aspects of recognition, measurement, presentation and disclosure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financial instruments. </w:t>
      </w:r>
      <w:r>
        <w:rPr>
          <w:rFonts w:ascii="Arial" w:cs="Arial" w:eastAsia="Arial" w:hAnsi="Arial"/>
          <w:sz w:val="18"/>
          <w:szCs w:val="18"/>
          <w:color w:val="000000"/>
        </w:rPr>
        <w:t>The guidance will impact the accounting for equity investments, financial liabilities under the fair value option, and the</w:t>
      </w:r>
      <w:r>
        <w:rPr>
          <w:rFonts w:ascii="Arial" w:cs="Arial" w:eastAsia="Arial" w:hAnsi="Arial"/>
          <w:sz w:val="18"/>
          <w:szCs w:val="18"/>
          <w:color w:val="231F20"/>
        </w:rPr>
        <w:t xml:space="preserve"> </w:t>
      </w:r>
      <w:r>
        <w:rPr>
          <w:rFonts w:ascii="Arial" w:cs="Arial" w:eastAsia="Arial" w:hAnsi="Arial"/>
          <w:sz w:val="18"/>
          <w:szCs w:val="18"/>
          <w:color w:val="000000"/>
        </w:rPr>
        <w:t xml:space="preserve">presentation and disclosure requirements for financial instruments. </w:t>
      </w:r>
      <w:r>
        <w:rPr>
          <w:rFonts w:ascii="Arial" w:cs="Arial" w:eastAsia="Arial" w:hAnsi="Arial"/>
          <w:sz w:val="18"/>
          <w:szCs w:val="18"/>
          <w:color w:val="231F20"/>
        </w:rPr>
        <w:t>This guidance is effective for public business entities in fiscal years, and</w:t>
      </w:r>
      <w:r>
        <w:rPr>
          <w:rFonts w:ascii="Arial" w:cs="Arial" w:eastAsia="Arial" w:hAnsi="Arial"/>
          <w:sz w:val="18"/>
          <w:szCs w:val="18"/>
          <w:color w:val="000000"/>
        </w:rPr>
        <w:t xml:space="preserve"> </w:t>
      </w:r>
      <w:r>
        <w:rPr>
          <w:rFonts w:ascii="Arial" w:cs="Arial" w:eastAsia="Arial" w:hAnsi="Arial"/>
          <w:sz w:val="18"/>
          <w:szCs w:val="18"/>
          <w:color w:val="231F20"/>
        </w:rPr>
        <w:t>interim periods within those fiscal years, beginning after December 15, 2017. The Company is currently evaluating the impact this ASU will have on its consolidated financial statements.</w:t>
      </w:r>
    </w:p>
    <w:p>
      <w:pPr>
        <w:spacing w:after="0" w:line="18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which requires, among other things, lease assets and lease liabilities arising from leases, including operating leases, to be recognized on the balance sheet. In addition, this ASU requires disclosing key information about leasing arrangements. This guidance supersedes existing lease guidance and is effective for public business entities in fiscal years, and interim periods within those fiscal years, beginning after December 15, 2018. </w:t>
      </w:r>
      <w:r>
        <w:rPr>
          <w:rFonts w:ascii="Arial" w:cs="Arial" w:eastAsia="Arial" w:hAnsi="Arial"/>
          <w:sz w:val="18"/>
          <w:szCs w:val="18"/>
          <w:color w:val="000000"/>
        </w:rPr>
        <w:t>Pursuant to the leasing criteria, most of our leased</w:t>
      </w:r>
      <w:r>
        <w:rPr>
          <w:rFonts w:ascii="Arial" w:cs="Arial" w:eastAsia="Arial" w:hAnsi="Arial"/>
          <w:sz w:val="18"/>
          <w:szCs w:val="18"/>
          <w:color w:val="231F20"/>
        </w:rPr>
        <w:t xml:space="preserve"> </w:t>
      </w:r>
      <w:r>
        <w:rPr>
          <w:rFonts w:ascii="Arial" w:cs="Arial" w:eastAsia="Arial" w:hAnsi="Arial"/>
          <w:sz w:val="18"/>
          <w:szCs w:val="18"/>
          <w:color w:val="000000"/>
        </w:rPr>
        <w:t>space and equipment leases will be capitalized assets on the balance sheet with an offsetting financing obligation. In the statement of operations, what was formerly rent expense will be bifurcated into depreciation and interest expense.</w:t>
      </w:r>
    </w:p>
    <w:p>
      <w:pPr>
        <w:spacing w:after="0" w:line="18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 xml:space="preserve">In March 2016, the FASB issued ASU 2016-09, </w:t>
      </w:r>
      <w:r>
        <w:rPr>
          <w:rFonts w:ascii="Arial" w:cs="Arial" w:eastAsia="Arial" w:hAnsi="Arial"/>
          <w:sz w:val="18"/>
          <w:szCs w:val="18"/>
          <w:i w:val="1"/>
          <w:iCs w:val="1"/>
          <w:color w:val="231F20"/>
        </w:rPr>
        <w:t>Compensation – Stock Compensation (Topic 718): Improvements to Employee Share-Based Payment Accounting</w:t>
      </w:r>
      <w:r>
        <w:rPr>
          <w:rFonts w:ascii="Arial" w:cs="Arial" w:eastAsia="Arial" w:hAnsi="Arial"/>
          <w:sz w:val="18"/>
          <w:szCs w:val="18"/>
          <w:color w:val="231F20"/>
        </w:rPr>
        <w:t>, intended to simplify and improve various aspects related to how employee-share based payment transactions are</w:t>
      </w:r>
      <w:r>
        <w:rPr>
          <w:rFonts w:ascii="Arial" w:cs="Arial" w:eastAsia="Arial" w:hAnsi="Arial"/>
          <w:sz w:val="18"/>
          <w:szCs w:val="18"/>
          <w:i w:val="1"/>
          <w:iCs w:val="1"/>
          <w:color w:val="231F20"/>
        </w:rPr>
        <w:t xml:space="preserve"> </w:t>
      </w:r>
      <w:r>
        <w:rPr>
          <w:rFonts w:ascii="Arial" w:cs="Arial" w:eastAsia="Arial" w:hAnsi="Arial"/>
          <w:sz w:val="18"/>
          <w:szCs w:val="18"/>
          <w:color w:val="231F20"/>
        </w:rPr>
        <w:t>accounted for and presented in the financial statements. The ASU addresses income tax consequences, classification of awards as either equity or liabilities, classification on the statement of cash flows and forfeiture rate calculations. This guidance is effective for public business entities in fiscal years, and interim periods within those fiscal years, beginning after December 15, 2016. The Company will adopt this guidance in its first quarter of 2017. Currently, excess tax benefits or deficiencies from the Company's equity awards are recorded as additional paid-in capital in its consolidated balance sheets. Upon adoption, the Company will record any excess tax benefits or deficiencies from its equity awards in its consolidated statements of operations in the reporting periods in which vesting or exercise occurs. As a result, subsequent to adoption, the Company's income tax expense and associated effective tax rate will be impacted by fluctuations in stock price between the grant dates and vesting or exercise dates of equity awards. Additionally, this guidance must be adopted using a modified retrospective transition method. As a result, upon adoption, the Company anticipates recording an increase of approximately $8.5 million in deferred tax assets with a corresponding reduction in retained earnings on its consolidated balance sheets.</w:t>
      </w:r>
    </w:p>
    <w:p>
      <w:pPr>
        <w:spacing w:after="0" w:line="191" w:lineRule="exact"/>
        <w:rPr>
          <w:sz w:val="20"/>
          <w:szCs w:val="20"/>
          <w:color w:val="auto"/>
        </w:rPr>
      </w:pPr>
    </w:p>
    <w:p>
      <w:pPr>
        <w:ind w:right="200" w:firstLine="405"/>
        <w:spacing w:after="0" w:line="258" w:lineRule="auto"/>
        <w:rPr>
          <w:sz w:val="20"/>
          <w:szCs w:val="20"/>
          <w:color w:val="auto"/>
        </w:rPr>
      </w:pPr>
      <w:r>
        <w:rPr>
          <w:rFonts w:ascii="Arial" w:cs="Arial" w:eastAsia="Arial" w:hAnsi="Arial"/>
          <w:sz w:val="18"/>
          <w:szCs w:val="18"/>
          <w:color w:val="231F20"/>
        </w:rPr>
        <w:t xml:space="preserve">In August 2016, the FASB issued ASU 2016-15, </w:t>
      </w:r>
      <w:r>
        <w:rPr>
          <w:rFonts w:ascii="Arial" w:cs="Arial" w:eastAsia="Arial" w:hAnsi="Arial"/>
          <w:sz w:val="18"/>
          <w:szCs w:val="18"/>
          <w:i w:val="1"/>
          <w:iCs w:val="1"/>
          <w:color w:val="231F20"/>
        </w:rPr>
        <w:t>Classification of Certain Cash Receipts and Cash Payments (a consensus of the</w:t>
      </w:r>
      <w:r>
        <w:rPr>
          <w:rFonts w:ascii="Arial" w:cs="Arial" w:eastAsia="Arial" w:hAnsi="Arial"/>
          <w:sz w:val="18"/>
          <w:szCs w:val="18"/>
          <w:color w:val="231F20"/>
        </w:rPr>
        <w:t xml:space="preserve"> </w:t>
      </w:r>
      <w:r>
        <w:rPr>
          <w:rFonts w:ascii="Arial" w:cs="Arial" w:eastAsia="Arial" w:hAnsi="Arial"/>
          <w:sz w:val="18"/>
          <w:szCs w:val="18"/>
          <w:i w:val="1"/>
          <w:iCs w:val="1"/>
          <w:color w:val="231F20"/>
        </w:rPr>
        <w:t>Emerging Issues Task Force)</w:t>
      </w:r>
      <w:r>
        <w:rPr>
          <w:rFonts w:ascii="Arial" w:cs="Arial" w:eastAsia="Arial" w:hAnsi="Arial"/>
          <w:sz w:val="18"/>
          <w:szCs w:val="18"/>
          <w:color w:val="231F20"/>
        </w:rPr>
        <w:t>, to provide guidance on the presentation of certain cash receipts and cash payments in the statement of cash</w:t>
      </w:r>
      <w:r>
        <w:rPr>
          <w:rFonts w:ascii="Arial" w:cs="Arial" w:eastAsia="Arial" w:hAnsi="Arial"/>
          <w:sz w:val="18"/>
          <w:szCs w:val="18"/>
          <w:i w:val="1"/>
          <w:iCs w:val="1"/>
          <w:color w:val="231F20"/>
        </w:rPr>
        <w:t xml:space="preserve"> </w:t>
      </w:r>
      <w:r>
        <w:rPr>
          <w:rFonts w:ascii="Arial" w:cs="Arial" w:eastAsia="Arial" w:hAnsi="Arial"/>
          <w:sz w:val="18"/>
          <w:szCs w:val="18"/>
          <w:color w:val="231F20"/>
        </w:rPr>
        <w:t>flows in order to reduce diversity in existing practice. The amendments in this ASU are effective for public business entities for fiscal years beginning after December 15, 2017, and interim periods within those fiscal years. Early adoption is permitted, including adoption in an interim period. The Company is currently evaluating the impact of the adoption of this update on its consolidated financial statements.</w:t>
      </w:r>
    </w:p>
    <w:p>
      <w:pPr>
        <w:spacing w:after="0" w:line="18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231F20"/>
        </w:rPr>
        <w:t xml:space="preserve">In November 2016, the FASB issued ASU 2016-18, </w:t>
      </w:r>
      <w:r>
        <w:rPr>
          <w:rFonts w:ascii="Arial" w:cs="Arial" w:eastAsia="Arial" w:hAnsi="Arial"/>
          <w:sz w:val="18"/>
          <w:szCs w:val="18"/>
          <w:i w:val="1"/>
          <w:iCs w:val="1"/>
          <w:color w:val="231F20"/>
        </w:rPr>
        <w:t>Statement of Cash Flows (Topic 230): Restricted Cash</w:t>
      </w:r>
      <w:r>
        <w:rPr>
          <w:rFonts w:ascii="Arial" w:cs="Arial" w:eastAsia="Arial" w:hAnsi="Arial"/>
          <w:sz w:val="18"/>
          <w:szCs w:val="18"/>
          <w:color w:val="231F20"/>
        </w:rPr>
        <w:t>, which requires the statement of cash flows to explain the change during the period in the total of cash, cash equivalents and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guidance is effective for public business entities in fiscal years, and interim periods within those fiscal years, beginning after December 15, 2017. Early adoption is permitted. The Company is currently evaluating the impact this ASU will have on its consolidated financial statements.</w:t>
      </w:r>
    </w:p>
    <w:p>
      <w:pPr>
        <w:spacing w:after="0" w:line="183"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color w:val="231F20"/>
        </w:rPr>
        <w:t xml:space="preserve">In January 2017, the FASB issued ASU 2017-04, </w:t>
      </w:r>
      <w:r>
        <w:rPr>
          <w:rFonts w:ascii="Arial" w:cs="Arial" w:eastAsia="Arial" w:hAnsi="Arial"/>
          <w:sz w:val="18"/>
          <w:szCs w:val="18"/>
          <w:i w:val="1"/>
          <w:iCs w:val="1"/>
          <w:color w:val="231F20"/>
        </w:rPr>
        <w:t>Simplifying the Test for Goodwill Impairment (Topic 350)</w:t>
      </w:r>
      <w:r>
        <w:rPr>
          <w:rFonts w:ascii="Arial" w:cs="Arial" w:eastAsia="Arial" w:hAnsi="Arial"/>
          <w:sz w:val="18"/>
          <w:szCs w:val="18"/>
          <w:color w:val="231F20"/>
        </w:rPr>
        <w:t>. This standard eliminates Step 2 from the goodwill impairment test, instead requiring an entity to recognize a goodwill impairment charge for the amount by which the goodwill carrying amount exceeds the reporting unit’s fair value. This guidance is effective for interim and annual goodwill impairment tests in fiscal years beginning after December 15, 2019 with early adoption permitted. This guidance must be applied on a prospective basis. The Company does not expect the adoption of this guidance to have a material impact on its consolidated financial statements.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Fair Value of Financial Instruments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72,673</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72,673</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13,591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13,591</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86,737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86,737</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14,782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14,787</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13,490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13,479</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r>
      <w:tr>
        <w:trPr>
          <w:trHeight w:val="264"/>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127,660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127,618</w:t>
            </w:r>
          </w:p>
        </w:tc>
      </w:tr>
      <w:tr>
        <w:trPr>
          <w:trHeight w:val="257"/>
        </w:trPr>
        <w:tc>
          <w:tcPr>
            <w:tcW w:w="51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157,167</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157,119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5,093</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29,501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29,430</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11,243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11,202</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45,835</w:t>
            </w:r>
          </w:p>
        </w:tc>
        <w:tc>
          <w:tcPr>
            <w:tcW w:w="1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45,725</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289,739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289,581</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98"/>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61,372</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61,372</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8,999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9,000</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17,345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17,346</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91,696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91,698</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10,448</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12,448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12,435</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64,422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64,385</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87,317</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87,268</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32,683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32,541</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3,751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43,441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43,277</w:t>
            </w:r>
          </w:p>
        </w:tc>
      </w:tr>
      <w:tr>
        <w:trPr>
          <w:trHeight w:val="24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222,454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222,243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333"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2016</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157,048</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157,048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r>
      <w:tr>
        <w:trPr>
          <w:trHeight w:val="20"/>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85"/>
        </w:trPr>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 2015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3"/>
        </w:trPr>
        <w:tc>
          <w:tcPr>
            <w:tcW w:w="5160" w:type="dxa"/>
            <w:vAlign w:val="bottom"/>
          </w:tcPr>
          <w:p>
            <w:pPr>
              <w:spacing w:after="0"/>
              <w:rPr>
                <w:sz w:val="24"/>
                <w:szCs w:val="24"/>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105,926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105,926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After One Year</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5160" w:type="dxa"/>
            <w:vAlign w:val="bottom"/>
          </w:tcPr>
          <w:p>
            <w:pPr>
              <w:spacing w:after="0"/>
              <w:rPr>
                <w:sz w:val="16"/>
                <w:szCs w:val="16"/>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Mature within One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through Two</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7"/>
              </w:rPr>
              <w:t>Year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Years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127,619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29,430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157,049</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6,327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6,327</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177,473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38,962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98"/>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After One Year</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5160" w:type="dxa"/>
            <w:vAlign w:val="bottom"/>
          </w:tcPr>
          <w:p>
            <w:pPr>
              <w:spacing w:after="0"/>
              <w:rPr>
                <w:sz w:val="16"/>
                <w:szCs w:val="16"/>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Mature within One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through Two</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7"/>
              </w:rPr>
              <w:t>Year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Years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73,385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32,541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105,926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6,989</w:t>
            </w:r>
          </w:p>
        </w:tc>
      </w:tr>
      <w:tr>
        <w:trPr>
          <w:trHeight w:val="24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113,614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333"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2016</w:t>
      </w:r>
      <w:r>
        <w:rPr>
          <w:rFonts w:ascii="Arial" w:cs="Arial" w:eastAsia="Arial" w:hAnsi="Arial"/>
          <w:sz w:val="18"/>
          <w:szCs w:val="18"/>
          <w:color w:val="231F20"/>
        </w:rPr>
        <w:t xml:space="preserve"> and 2015, derivative financial instruments, consisting of foreign currency forward contracts, were valued at </w:t>
      </w:r>
      <w:r>
        <w:rPr>
          <w:rFonts w:ascii="Arial" w:cs="Arial" w:eastAsia="Arial" w:hAnsi="Arial"/>
          <w:sz w:val="18"/>
          <w:szCs w:val="18"/>
          <w:color w:val="000000"/>
        </w:rPr>
        <w:t>$0</w:t>
      </w:r>
      <w:r>
        <w:rPr>
          <w:rFonts w:ascii="Arial" w:cs="Arial" w:eastAsia="Arial" w:hAnsi="Arial"/>
          <w:sz w:val="18"/>
          <w:szCs w:val="18"/>
          <w:color w:val="231F20"/>
        </w:rPr>
        <w:t xml:space="preserve"> as the contracts were entered into on the last day of the respective reporting periods. These instruments were valued using Level 2 inputs.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3.</w:t>
            </w:r>
          </w:p>
        </w:tc>
        <w:tc>
          <w:tcPr>
            <w:tcW w:w="734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46"/>
        </w:trPr>
        <w:tc>
          <w:tcPr>
            <w:tcW w:w="8360" w:type="dxa"/>
            <w:vAlign w:val="bottom"/>
            <w:gridSpan w:val="2"/>
          </w:tcPr>
          <w:p>
            <w:pPr>
              <w:ind w:left="420"/>
              <w:spacing w:after="0"/>
              <w:rPr>
                <w:sz w:val="20"/>
                <w:szCs w:val="20"/>
                <w:color w:val="auto"/>
              </w:rPr>
            </w:pPr>
            <w:r>
              <w:rPr>
                <w:rFonts w:ascii="Arial" w:cs="Arial" w:eastAsia="Arial" w:hAnsi="Arial"/>
                <w:sz w:val="18"/>
                <w:szCs w:val="18"/>
                <w:color w:val="231F20"/>
              </w:rPr>
              <w:t>Property and equipment consists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102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10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48,192</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Computer software</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19,716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12,484</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2,804</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Scanner appliances</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14,776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22,627</w:t>
            </w:r>
          </w:p>
        </w:tc>
      </w:tr>
      <w:tr>
        <w:trPr>
          <w:trHeight w:val="27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r>
      <w:tr>
        <w:trPr>
          <w:trHeight w:val="24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Total property and equipment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98,906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89,474</w:t>
            </w:r>
          </w:p>
        </w:tc>
      </w:tr>
      <w:tr>
        <w:trPr>
          <w:trHeight w:val="27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(58,145)</w:t>
            </w:r>
          </w:p>
        </w:tc>
      </w:tr>
      <w:tr>
        <w:trPr>
          <w:trHeight w:val="240"/>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39,401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31,329</w:t>
            </w:r>
          </w:p>
        </w:tc>
      </w:tr>
      <w:tr>
        <w:trPr>
          <w:trHeight w:val="20"/>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$8.3 million and </w:t>
      </w:r>
      <w:r>
        <w:rPr>
          <w:rFonts w:ascii="Arial" w:cs="Arial" w:eastAsia="Arial" w:hAnsi="Arial"/>
          <w:sz w:val="18"/>
          <w:szCs w:val="18"/>
          <w:color w:val="000000"/>
        </w:rPr>
        <w:t>$8.4 million</w:t>
      </w:r>
      <w:r>
        <w:rPr>
          <w:rFonts w:ascii="Arial" w:cs="Arial" w:eastAsia="Arial" w:hAnsi="Arial"/>
          <w:sz w:val="18"/>
          <w:szCs w:val="18"/>
          <w:color w:val="231F20"/>
        </w:rPr>
        <w:t xml:space="preserve"> at December 31, 2016 and 2015, respectively, including assets that have not been placed in service of $1.3 million </w:t>
      </w:r>
      <w:r>
        <w:rPr>
          <w:rFonts w:ascii="Arial" w:cs="Arial" w:eastAsia="Arial" w:hAnsi="Arial"/>
          <w:sz w:val="18"/>
          <w:szCs w:val="18"/>
          <w:color w:val="000000"/>
        </w:rPr>
        <w:t>and $1.4 million,</w:t>
      </w:r>
      <w:r>
        <w:rPr>
          <w:rFonts w:ascii="Arial" w:cs="Arial" w:eastAsia="Arial" w:hAnsi="Arial"/>
          <w:sz w:val="18"/>
          <w:szCs w:val="18"/>
          <w:color w:val="231F20"/>
        </w:rPr>
        <w:t xml:space="preserve"> respectively. Other fixed assets not placed in service at </w:t>
      </w:r>
      <w:r>
        <w:rPr>
          <w:rFonts w:ascii="Arial" w:cs="Arial" w:eastAsia="Arial" w:hAnsi="Arial"/>
          <w:sz w:val="18"/>
          <w:szCs w:val="18"/>
          <w:color w:val="000000"/>
        </w:rPr>
        <w:t>December 31, 2016</w:t>
      </w:r>
      <w:r>
        <w:rPr>
          <w:rFonts w:ascii="Arial" w:cs="Arial" w:eastAsia="Arial" w:hAnsi="Arial"/>
          <w:sz w:val="18"/>
          <w:szCs w:val="18"/>
          <w:color w:val="231F20"/>
        </w:rPr>
        <w:t xml:space="preserve"> and 2015, included in computer equipment and leasehold improvements, were </w:t>
      </w:r>
      <w:r>
        <w:rPr>
          <w:rFonts w:ascii="Arial" w:cs="Arial" w:eastAsia="Arial" w:hAnsi="Arial"/>
          <w:sz w:val="18"/>
          <w:szCs w:val="18"/>
          <w:color w:val="000000"/>
        </w:rPr>
        <w:t>$3.6 million</w:t>
      </w:r>
      <w:r>
        <w:rPr>
          <w:rFonts w:ascii="Arial" w:cs="Arial" w:eastAsia="Arial" w:hAnsi="Arial"/>
          <w:sz w:val="18"/>
          <w:szCs w:val="18"/>
          <w:color w:val="231F20"/>
        </w:rPr>
        <w:t xml:space="preserve"> and </w:t>
      </w:r>
      <w:r>
        <w:rPr>
          <w:rFonts w:ascii="Arial" w:cs="Arial" w:eastAsia="Arial" w:hAnsi="Arial"/>
          <w:sz w:val="18"/>
          <w:szCs w:val="18"/>
          <w:color w:val="000000"/>
        </w:rPr>
        <w:t>$4.3 million,</w:t>
      </w:r>
      <w:r>
        <w:rPr>
          <w:rFonts w:ascii="Arial" w:cs="Arial" w:eastAsia="Arial" w:hAnsi="Arial"/>
          <w:sz w:val="18"/>
          <w:szCs w:val="18"/>
          <w:color w:val="231F20"/>
        </w:rPr>
        <w:t xml:space="preserve"> respectively. </w:t>
      </w:r>
      <w:r>
        <w:rPr>
          <w:rFonts w:ascii="Arial" w:cs="Arial" w:eastAsia="Arial" w:hAnsi="Arial"/>
          <w:sz w:val="18"/>
          <w:szCs w:val="18"/>
          <w:color w:val="000000"/>
        </w:rPr>
        <w:t>Depreciation</w:t>
      </w:r>
      <w:r>
        <w:rPr>
          <w:rFonts w:ascii="Arial" w:cs="Arial" w:eastAsia="Arial" w:hAnsi="Arial"/>
          <w:sz w:val="18"/>
          <w:szCs w:val="18"/>
          <w:color w:val="231F20"/>
        </w:rPr>
        <w:t xml:space="preserve"> and amortization expense relating to property and equipment was </w:t>
      </w:r>
      <w:r>
        <w:rPr>
          <w:rFonts w:ascii="Arial" w:cs="Arial" w:eastAsia="Arial" w:hAnsi="Arial"/>
          <w:sz w:val="18"/>
          <w:szCs w:val="18"/>
          <w:color w:val="000000"/>
        </w:rPr>
        <w:t>$16.6 million, $13.9 million</w:t>
      </w:r>
      <w:r>
        <w:rPr>
          <w:rFonts w:ascii="Arial" w:cs="Arial" w:eastAsia="Arial" w:hAnsi="Arial"/>
          <w:sz w:val="18"/>
          <w:szCs w:val="18"/>
          <w:color w:val="231F20"/>
        </w:rPr>
        <w:t xml:space="preserve"> and </w:t>
      </w:r>
      <w:r>
        <w:rPr>
          <w:rFonts w:ascii="Arial" w:cs="Arial" w:eastAsia="Arial" w:hAnsi="Arial"/>
          <w:sz w:val="18"/>
          <w:szCs w:val="18"/>
          <w:color w:val="000000"/>
        </w:rPr>
        <w:t>$11.5 million</w:t>
      </w:r>
      <w:r>
        <w:rPr>
          <w:rFonts w:ascii="Arial" w:cs="Arial" w:eastAsia="Arial" w:hAnsi="Arial"/>
          <w:sz w:val="18"/>
          <w:szCs w:val="18"/>
          <w:color w:val="231F20"/>
        </w:rPr>
        <w:t xml:space="preserve"> for </w:t>
      </w:r>
      <w:r>
        <w:rPr>
          <w:rFonts w:ascii="Arial" w:cs="Arial" w:eastAsia="Arial" w:hAnsi="Arial"/>
          <w:sz w:val="18"/>
          <w:szCs w:val="18"/>
          <w:color w:val="000000"/>
        </w:rPr>
        <w:t>2016, 2015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Goodwill and Intangible Assets, Net</w:t>
      </w:r>
    </w:p>
    <w:p>
      <w:pPr>
        <w:spacing w:after="0" w:line="261" w:lineRule="exact"/>
        <w:rPr>
          <w:sz w:val="20"/>
          <w:szCs w:val="20"/>
          <w:color w:val="auto"/>
        </w:rPr>
      </w:pPr>
    </w:p>
    <w:p>
      <w:pPr>
        <w:ind w:right="960" w:firstLine="405"/>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64"/>
        </w:trPr>
        <w:tc>
          <w:tcPr>
            <w:tcW w:w="3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175"/>
        </w:trPr>
        <w:tc>
          <w:tcPr>
            <w:tcW w:w="378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37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Net Book 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Net Book Value</w:t>
            </w:r>
          </w:p>
        </w:tc>
      </w:tr>
      <w:tr>
        <w:trPr>
          <w:trHeight w:val="256"/>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 years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14 years</w:t>
            </w:r>
          </w:p>
        </w:tc>
        <w:tc>
          <w:tcPr>
            <w:tcW w:w="180" w:type="dxa"/>
            <w:vAlign w:val="bottom"/>
          </w:tcPr>
          <w:p>
            <w:pPr>
              <w:spacing w:after="0"/>
              <w:rPr>
                <w:sz w:val="22"/>
                <w:szCs w:val="22"/>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866</w:t>
            </w:r>
          </w:p>
        </w:tc>
      </w:tr>
      <w:tr>
        <w:trPr>
          <w:trHeight w:val="273"/>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780" w:type="dxa"/>
            <w:vAlign w:val="bottom"/>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947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1,320</w:t>
            </w:r>
          </w:p>
        </w:tc>
      </w:tr>
      <w:tr>
        <w:trPr>
          <w:trHeight w:val="22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auto"/>
            </w:tcBorders>
            <w:shd w:val="clear" w:color="auto" w:fill="CCEEFF"/>
          </w:tcPr>
          <w:p>
            <w:pPr>
              <w:spacing w:after="0"/>
              <w:rPr>
                <w:sz w:val="19"/>
                <w:szCs w:val="19"/>
                <w:color w:val="auto"/>
              </w:rPr>
            </w:pPr>
          </w:p>
        </w:tc>
        <w:tc>
          <w:tcPr>
            <w:tcW w:w="720" w:type="dxa"/>
            <w:vAlign w:val="bottom"/>
            <w:tcBorders>
              <w:top w:val="single" w:sz="8" w:color="CCEEFF"/>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auto"/>
            </w:tcBorders>
            <w:shd w:val="clear" w:color="auto" w:fill="CCEEFF"/>
          </w:tcPr>
          <w:p>
            <w:pPr>
              <w:spacing w:after="0"/>
              <w:rPr>
                <w:sz w:val="19"/>
                <w:szCs w:val="19"/>
                <w:color w:val="auto"/>
              </w:rPr>
            </w:pPr>
          </w:p>
        </w:tc>
        <w:tc>
          <w:tcPr>
            <w:tcW w:w="760" w:type="dxa"/>
            <w:vAlign w:val="bottom"/>
            <w:tcBorders>
              <w:top w:val="single" w:sz="8" w:color="CCEEFF"/>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40"/>
        </w:trPr>
        <w:tc>
          <w:tcPr>
            <w:tcW w:w="3780" w:type="dxa"/>
            <w:vAlign w:val="bottom"/>
          </w:tcPr>
          <w:p>
            <w:pPr>
              <w:ind w:left="280"/>
              <w:spacing w:after="0"/>
              <w:rPr>
                <w:sz w:val="20"/>
                <w:szCs w:val="20"/>
                <w:color w:val="auto"/>
              </w:rPr>
            </w:pPr>
            <w:r>
              <w:rPr>
                <w:rFonts w:ascii="Arial" w:cs="Arial" w:eastAsia="Arial" w:hAnsi="Arial"/>
                <w:sz w:val="16"/>
                <w:szCs w:val="16"/>
                <w:color w:val="auto"/>
              </w:rPr>
              <w:t>Total intangible assets, net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1,360</w:t>
            </w: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231F20"/>
        </w:rPr>
        <w:t xml:space="preserve">Intangibles amortization expense for each of </w:t>
      </w:r>
      <w:r>
        <w:rPr>
          <w:rFonts w:ascii="Arial" w:cs="Arial" w:eastAsia="Arial" w:hAnsi="Arial"/>
          <w:sz w:val="18"/>
          <w:szCs w:val="18"/>
          <w:color w:val="000000"/>
        </w:rPr>
        <w:t>2016,</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xml:space="preserve"> was </w:t>
      </w:r>
      <w:r>
        <w:rPr>
          <w:rFonts w:ascii="Arial" w:cs="Arial" w:eastAsia="Arial" w:hAnsi="Arial"/>
          <w:sz w:val="18"/>
          <w:szCs w:val="18"/>
          <w:color w:val="000000"/>
        </w:rPr>
        <w:t>$0.4 million. In 2015, the Company wrote off $0.3 million related to</w:t>
      </w:r>
      <w:r>
        <w:rPr>
          <w:rFonts w:ascii="Arial" w:cs="Arial" w:eastAsia="Arial" w:hAnsi="Arial"/>
          <w:sz w:val="18"/>
          <w:szCs w:val="18"/>
          <w:color w:val="231F20"/>
        </w:rPr>
        <w:t xml:space="preserve"> </w:t>
      </w:r>
      <w:r>
        <w:rPr>
          <w:rFonts w:ascii="Arial" w:cs="Arial" w:eastAsia="Arial" w:hAnsi="Arial"/>
          <w:sz w:val="18"/>
          <w:szCs w:val="18"/>
          <w:color w:val="000000"/>
        </w:rPr>
        <w:t>the impairment of certain intangible assets that were not subject to amortization.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2016</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r>
      <w:tr>
        <w:trPr>
          <w:trHeight w:val="233"/>
        </w:trPr>
        <w:tc>
          <w:tcPr>
            <w:tcW w:w="9740" w:type="dxa"/>
            <w:vAlign w:val="bottom"/>
          </w:tcPr>
          <w:p>
            <w:pPr>
              <w:ind w:left="40"/>
              <w:spacing w:after="0"/>
              <w:rPr>
                <w:sz w:val="20"/>
                <w:szCs w:val="20"/>
                <w:color w:val="auto"/>
              </w:rPr>
            </w:pPr>
            <w:r>
              <w:rPr>
                <w:rFonts w:ascii="Arial" w:cs="Arial" w:eastAsia="Arial" w:hAnsi="Arial"/>
                <w:sz w:val="16"/>
                <w:szCs w:val="16"/>
                <w:color w:val="auto"/>
              </w:rPr>
              <w:t>2018</w:t>
            </w:r>
          </w:p>
        </w:tc>
        <w:tc>
          <w:tcPr>
            <w:tcW w:w="6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100</w:t>
            </w:r>
          </w:p>
        </w:tc>
      </w:tr>
      <w:tr>
        <w:trPr>
          <w:trHeight w:val="253"/>
        </w:trPr>
        <w:tc>
          <w:tcPr>
            <w:tcW w:w="9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33"/>
        </w:trPr>
        <w:tc>
          <w:tcPr>
            <w:tcW w:w="9740" w:type="dxa"/>
            <w:vAlign w:val="bottom"/>
          </w:tcPr>
          <w:p>
            <w:pPr>
              <w:ind w:left="40"/>
              <w:spacing w:after="0"/>
              <w:rPr>
                <w:sz w:val="20"/>
                <w:szCs w:val="20"/>
                <w:color w:val="auto"/>
              </w:rPr>
            </w:pPr>
            <w:r>
              <w:rPr>
                <w:rFonts w:ascii="Arial" w:cs="Arial" w:eastAsia="Arial" w:hAnsi="Arial"/>
                <w:sz w:val="16"/>
                <w:szCs w:val="16"/>
                <w:color w:val="auto"/>
              </w:rPr>
              <w:t>2020</w:t>
            </w:r>
          </w:p>
        </w:tc>
        <w:tc>
          <w:tcPr>
            <w:tcW w:w="6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100</w:t>
            </w:r>
          </w:p>
        </w:tc>
      </w:tr>
      <w:tr>
        <w:trPr>
          <w:trHeight w:val="253"/>
        </w:trPr>
        <w:tc>
          <w:tcPr>
            <w:tcW w:w="9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37"/>
        </w:trPr>
        <w:tc>
          <w:tcPr>
            <w:tcW w:w="9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2022 and thereafter</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w:t>
            </w:r>
          </w:p>
        </w:tc>
      </w:tr>
      <w:tr>
        <w:trPr>
          <w:trHeight w:val="240"/>
        </w:trPr>
        <w:tc>
          <w:tcPr>
            <w:tcW w:w="9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expected future amortization expense</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947</w:t>
            </w:r>
          </w:p>
        </w:tc>
      </w:tr>
      <w:tr>
        <w:trPr>
          <w:trHeight w:val="20"/>
        </w:trPr>
        <w:tc>
          <w:tcPr>
            <w:tcW w:w="9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Commitments and Contingencies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39"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December 31, 2016</w:t>
      </w:r>
      <w:r>
        <w:rPr>
          <w:rFonts w:ascii="Arial" w:cs="Arial" w:eastAsia="Arial" w:hAnsi="Arial"/>
          <w:sz w:val="18"/>
          <w:szCs w:val="18"/>
          <w:color w:val="231F20"/>
        </w:rPr>
        <w:t xml:space="preserve">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7,128</w:t>
            </w:r>
          </w:p>
        </w:tc>
      </w:tr>
      <w:tr>
        <w:trPr>
          <w:trHeight w:val="260"/>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5,371</w:t>
            </w:r>
          </w:p>
        </w:tc>
      </w:tr>
      <w:tr>
        <w:trPr>
          <w:trHeight w:val="28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4,048</w:t>
            </w:r>
          </w:p>
        </w:tc>
      </w:tr>
      <w:tr>
        <w:trPr>
          <w:trHeight w:val="260"/>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3,846</w:t>
            </w:r>
          </w:p>
        </w:tc>
      </w:tr>
      <w:tr>
        <w:trPr>
          <w:trHeight w:val="28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3,525</w:t>
            </w:r>
          </w:p>
        </w:tc>
      </w:tr>
      <w:tr>
        <w:trPr>
          <w:trHeight w:val="264"/>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17,479</w:t>
            </w:r>
          </w:p>
        </w:tc>
      </w:tr>
      <w:tr>
        <w:trPr>
          <w:trHeight w:val="24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minimum lease payments</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41,397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Rent expense was $7.1 million, $6.6 million and $ 6.2 million for 2016, 2015 </w:t>
      </w:r>
      <w:r>
        <w:rPr>
          <w:rFonts w:ascii="Arial" w:cs="Arial" w:eastAsia="Arial" w:hAnsi="Arial"/>
          <w:sz w:val="18"/>
          <w:szCs w:val="18"/>
          <w:color w:val="231F20"/>
        </w:rPr>
        <w:t>and</w:t>
      </w:r>
      <w:r>
        <w:rPr>
          <w:rFonts w:ascii="Arial" w:cs="Arial" w:eastAsia="Arial" w:hAnsi="Arial"/>
          <w:sz w:val="18"/>
          <w:szCs w:val="18"/>
          <w:color w:val="auto"/>
        </w:rPr>
        <w:t xml:space="preserve"> 2014</w:t>
      </w:r>
      <w:r>
        <w:rPr>
          <w:rFonts w:ascii="Arial" w:cs="Arial" w:eastAsia="Arial" w:hAnsi="Arial"/>
          <w:sz w:val="18"/>
          <w:szCs w:val="18"/>
          <w:color w:val="231F20"/>
        </w:rPr>
        <w:t>, respectively. Although certain of the operating lease</w:t>
      </w:r>
      <w:r>
        <w:rPr>
          <w:rFonts w:ascii="Arial" w:cs="Arial" w:eastAsia="Arial" w:hAnsi="Arial"/>
          <w:sz w:val="18"/>
          <w:szCs w:val="18"/>
          <w:color w:val="auto"/>
        </w:rPr>
        <w:t xml:space="preserve"> </w:t>
      </w:r>
      <w:r>
        <w:rPr>
          <w:rFonts w:ascii="Arial" w:cs="Arial" w:eastAsia="Arial" w:hAnsi="Arial"/>
          <w:sz w:val="18"/>
          <w:szCs w:val="18"/>
          <w:color w:val="231F20"/>
        </w:rPr>
        <w:t xml:space="preserve">agreements provide for escalating rent payments over the terms of the leases, rent expense under these agreements is recognized on a straight-line basis. As of December 31, 2016 and 2015, the Company has accrued $ 0.4 million </w:t>
      </w:r>
      <w:r>
        <w:rPr>
          <w:rFonts w:ascii="Arial" w:cs="Arial" w:eastAsia="Arial" w:hAnsi="Arial"/>
          <w:sz w:val="18"/>
          <w:szCs w:val="18"/>
          <w:color w:val="000000"/>
        </w:rPr>
        <w:t>and</w:t>
      </w:r>
      <w:r>
        <w:rPr>
          <w:rFonts w:ascii="Arial" w:cs="Arial" w:eastAsia="Arial" w:hAnsi="Arial"/>
          <w:sz w:val="18"/>
          <w:szCs w:val="18"/>
          <w:color w:val="231F20"/>
        </w:rPr>
        <w:t xml:space="preserve"> $0.5 million of deferred rent related to these agreements, which is reflected in accrued liabilities and other noncurrent liabilities in the accompanying consolidated balance sheets.</w:t>
      </w:r>
    </w:p>
    <w:p>
      <w:pPr>
        <w:spacing w:after="0" w:line="20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October 14, 2016, the Company entered into a lease agreement (included in the table above) for its new headquarter office facility. The lease commences May 1, 2018 and has a ten-year term through April 2028. The total commitment of $38.6 million is payable monthly with escalating rental payments throughout the lease term. The Company will be provided access to the facility in the first half of fiscal 2017 to begin construction of certain leasehold improvements.</w:t>
      </w:r>
    </w:p>
    <w:p>
      <w:pPr>
        <w:spacing w:after="0" w:line="204" w:lineRule="exact"/>
        <w:rPr>
          <w:sz w:val="20"/>
          <w:szCs w:val="20"/>
          <w:color w:val="auto"/>
        </w:rPr>
      </w:pPr>
    </w:p>
    <w:p>
      <w:pPr>
        <w:ind w:right="880" w:firstLine="648"/>
        <w:spacing w:after="0" w:line="262" w:lineRule="auto"/>
        <w:rPr>
          <w:sz w:val="20"/>
          <w:szCs w:val="20"/>
          <w:color w:val="auto"/>
        </w:rPr>
      </w:pPr>
      <w:r>
        <w:rPr>
          <w:rFonts w:ascii="Arial" w:cs="Arial" w:eastAsia="Arial" w:hAnsi="Arial"/>
          <w:sz w:val="18"/>
          <w:szCs w:val="18"/>
          <w:color w:val="auto"/>
        </w:rPr>
        <w:t>In connection with this lease, the Company has provided the landlord with a $1.2 million standby letter of credit to secure the Company’s obligations through the end of the lease term.</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39" w:lineRule="exact"/>
        <w:rPr>
          <w:sz w:val="20"/>
          <w:szCs w:val="20"/>
          <w:color w:val="auto"/>
        </w:rPr>
      </w:pPr>
    </w:p>
    <w:p>
      <w:pPr>
        <w:jc w:val="both"/>
        <w:ind w:right="500" w:firstLine="405"/>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December 31, 2016</w:t>
      </w:r>
      <w:r>
        <w:rPr>
          <w:rFonts w:ascii="Arial" w:cs="Arial" w:eastAsia="Arial" w:hAnsi="Arial"/>
          <w:sz w:val="18"/>
          <w:szCs w:val="18"/>
          <w:color w:val="231F20"/>
        </w:rPr>
        <w:t>, the Company has not recorded any material liabilities for contingencies.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6.</w:t>
            </w:r>
          </w:p>
        </w:tc>
        <w:tc>
          <w:tcPr>
            <w:tcW w:w="8920" w:type="dxa"/>
            <w:vAlign w:val="bottom"/>
          </w:tcPr>
          <w:p>
            <w:pPr>
              <w:ind w:left="280"/>
              <w:spacing w:after="0"/>
              <w:rPr>
                <w:sz w:val="20"/>
                <w:szCs w:val="20"/>
                <w:color w:val="auto"/>
              </w:rPr>
            </w:pPr>
            <w:r>
              <w:rPr>
                <w:rFonts w:ascii="Arial" w:cs="Arial" w:eastAsia="Arial" w:hAnsi="Arial"/>
                <w:sz w:val="18"/>
                <w:szCs w:val="18"/>
                <w:b w:val="1"/>
                <w:bCs w:val="1"/>
                <w:color w:val="auto"/>
              </w:rPr>
              <w:t>Stockholders' Equity and Stock-based Compensation</w:t>
            </w:r>
          </w:p>
        </w:tc>
        <w:tc>
          <w:tcPr>
            <w:tcW w:w="1480" w:type="dxa"/>
            <w:vAlign w:val="bottom"/>
          </w:tcPr>
          <w:p>
            <w:pPr>
              <w:spacing w:after="0"/>
              <w:rPr>
                <w:sz w:val="20"/>
                <w:szCs w:val="20"/>
                <w:color w:val="auto"/>
              </w:rPr>
            </w:pPr>
          </w:p>
        </w:tc>
      </w:tr>
      <w:tr>
        <w:trPr>
          <w:trHeight w:val="446"/>
        </w:trPr>
        <w:tc>
          <w:tcPr>
            <w:tcW w:w="99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231F20"/>
              </w:rPr>
              <w:t>Common Stock</w:t>
            </w:r>
          </w:p>
        </w:tc>
        <w:tc>
          <w:tcPr>
            <w:tcW w:w="1480" w:type="dxa"/>
            <w:vAlign w:val="bottom"/>
          </w:tcPr>
          <w:p>
            <w:pPr>
              <w:spacing w:after="0"/>
              <w:rPr>
                <w:sz w:val="24"/>
                <w:szCs w:val="24"/>
                <w:color w:val="auto"/>
              </w:rPr>
            </w:pPr>
          </w:p>
        </w:tc>
      </w:tr>
      <w:tr>
        <w:trPr>
          <w:trHeight w:val="432"/>
        </w:trPr>
        <w:tc>
          <w:tcPr>
            <w:tcW w:w="9940" w:type="dxa"/>
            <w:vAlign w:val="bottom"/>
            <w:gridSpan w:val="2"/>
          </w:tcPr>
          <w:p>
            <w:pPr>
              <w:ind w:left="420"/>
              <w:spacing w:after="0"/>
              <w:rPr>
                <w:sz w:val="20"/>
                <w:szCs w:val="20"/>
                <w:color w:val="auto"/>
              </w:rPr>
            </w:pPr>
            <w:r>
              <w:rPr>
                <w:rFonts w:ascii="Arial" w:cs="Arial" w:eastAsia="Arial" w:hAnsi="Arial"/>
                <w:sz w:val="18"/>
                <w:szCs w:val="18"/>
                <w:color w:val="231F20"/>
              </w:rPr>
              <w:t xml:space="preserve">The Company had reserved shares of common stock for future issuance as of </w:t>
            </w:r>
            <w:r>
              <w:rPr>
                <w:rFonts w:ascii="Arial" w:cs="Arial" w:eastAsia="Arial" w:hAnsi="Arial"/>
                <w:sz w:val="18"/>
                <w:szCs w:val="18"/>
                <w:color w:val="000000"/>
              </w:rPr>
              <w:t>December 31, 2016</w:t>
            </w:r>
            <w:r>
              <w:rPr>
                <w:rFonts w:ascii="Arial" w:cs="Arial" w:eastAsia="Arial" w:hAnsi="Arial"/>
                <w:sz w:val="18"/>
                <w:szCs w:val="18"/>
                <w:color w:val="231F20"/>
              </w:rPr>
              <w:t xml:space="preserve"> as follows:</w:t>
            </w:r>
          </w:p>
        </w:tc>
        <w:tc>
          <w:tcPr>
            <w:tcW w:w="1480" w:type="dxa"/>
            <w:vAlign w:val="bottom"/>
          </w:tcPr>
          <w:p>
            <w:pPr>
              <w:spacing w:after="0"/>
              <w:rPr>
                <w:sz w:val="24"/>
                <w:szCs w:val="24"/>
                <w:color w:val="auto"/>
              </w:rPr>
            </w:pPr>
          </w:p>
        </w:tc>
      </w:tr>
      <w:tr>
        <w:trPr>
          <w:trHeight w:val="611"/>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Options and RSUs outstanding under equity incentive plans</w:t>
            </w:r>
          </w:p>
        </w:tc>
        <w:tc>
          <w:tcPr>
            <w:tcW w:w="1480" w:type="dxa"/>
            <w:vAlign w:val="bottom"/>
          </w:tcPr>
          <w:p>
            <w:pPr>
              <w:spacing w:after="0"/>
              <w:rPr>
                <w:sz w:val="24"/>
                <w:szCs w:val="24"/>
                <w:color w:val="auto"/>
              </w:rPr>
            </w:pPr>
          </w:p>
        </w:tc>
      </w:tr>
      <w:tr>
        <w:trPr>
          <w:trHeight w:val="280"/>
        </w:trPr>
        <w:tc>
          <w:tcPr>
            <w:tcW w:w="9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2000 Equity Incentive Plan</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2,718,517</w:t>
            </w:r>
          </w:p>
        </w:tc>
      </w:tr>
      <w:tr>
        <w:trPr>
          <w:trHeight w:val="260"/>
        </w:trPr>
        <w:tc>
          <w:tcPr>
            <w:tcW w:w="9940" w:type="dxa"/>
            <w:vAlign w:val="bottom"/>
            <w:gridSpan w:val="2"/>
          </w:tcPr>
          <w:p>
            <w:pPr>
              <w:ind w:left="280"/>
              <w:spacing w:after="0"/>
              <w:rPr>
                <w:sz w:val="20"/>
                <w:szCs w:val="20"/>
                <w:color w:val="auto"/>
              </w:rPr>
            </w:pPr>
            <w:r>
              <w:rPr>
                <w:rFonts w:ascii="Arial" w:cs="Arial" w:eastAsia="Arial" w:hAnsi="Arial"/>
                <w:sz w:val="16"/>
                <w:szCs w:val="16"/>
                <w:color w:val="auto"/>
              </w:rPr>
              <w:t>2012 Equity Incentive Plan</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5,396,496</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under an equity incentive plan</w:t>
            </w:r>
          </w:p>
        </w:tc>
        <w:tc>
          <w:tcPr>
            <w:tcW w:w="1480" w:type="dxa"/>
            <w:vAlign w:val="bottom"/>
            <w:shd w:val="clear" w:color="auto" w:fill="CCEEFF"/>
          </w:tcPr>
          <w:p>
            <w:pPr>
              <w:spacing w:after="0"/>
              <w:rPr>
                <w:sz w:val="24"/>
                <w:szCs w:val="24"/>
                <w:color w:val="auto"/>
              </w:rPr>
            </w:pPr>
          </w:p>
        </w:tc>
      </w:tr>
      <w:tr>
        <w:trPr>
          <w:trHeight w:val="264"/>
        </w:trPr>
        <w:tc>
          <w:tcPr>
            <w:tcW w:w="9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2012 Equity Incentive Plan</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1,425,230</w:t>
            </w:r>
          </w:p>
        </w:tc>
      </w:tr>
      <w:tr>
        <w:trPr>
          <w:trHeight w:val="24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shares reserved for future issuance</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9,540,243</w:t>
            </w:r>
          </w:p>
        </w:tc>
      </w:tr>
      <w:tr>
        <w:trPr>
          <w:trHeight w:val="20"/>
        </w:trPr>
        <w:tc>
          <w:tcPr>
            <w:tcW w:w="10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39" w:lineRule="exact"/>
        <w:rPr>
          <w:sz w:val="20"/>
          <w:szCs w:val="20"/>
          <w:color w:val="auto"/>
        </w:rPr>
      </w:pPr>
    </w:p>
    <w:p>
      <w:pPr>
        <w:ind w:right="440" w:firstLine="405"/>
        <w:spacing w:after="0" w:line="274" w:lineRule="auto"/>
        <w:rPr>
          <w:sz w:val="20"/>
          <w:szCs w:val="20"/>
          <w:color w:val="auto"/>
        </w:rPr>
      </w:pPr>
      <w:r>
        <w:rPr>
          <w:rFonts w:ascii="Arial" w:cs="Arial" w:eastAsia="Arial" w:hAnsi="Arial"/>
          <w:sz w:val="17"/>
          <w:szCs w:val="17"/>
          <w:color w:val="231F20"/>
        </w:rPr>
        <w:t xml:space="preserve">Effective October 3, 2012, the Company is authorized to issue </w:t>
      </w:r>
      <w:r>
        <w:rPr>
          <w:rFonts w:ascii="Arial" w:cs="Arial" w:eastAsia="Arial" w:hAnsi="Arial"/>
          <w:sz w:val="17"/>
          <w:szCs w:val="17"/>
          <w:color w:val="000000"/>
        </w:rPr>
        <w:t>20,000,000</w:t>
      </w:r>
      <w:r>
        <w:rPr>
          <w:rFonts w:ascii="Arial" w:cs="Arial" w:eastAsia="Arial" w:hAnsi="Arial"/>
          <w:sz w:val="17"/>
          <w:szCs w:val="17"/>
          <w:color w:val="231F20"/>
        </w:rPr>
        <w:t xml:space="preserve"> shares of undesignated preferred stock with a par value of </w:t>
      </w:r>
      <w:r>
        <w:rPr>
          <w:rFonts w:ascii="Arial" w:cs="Arial" w:eastAsia="Arial" w:hAnsi="Arial"/>
          <w:sz w:val="17"/>
          <w:szCs w:val="17"/>
          <w:color w:val="000000"/>
        </w:rPr>
        <w:t xml:space="preserve">$0.001 </w:t>
      </w:r>
      <w:r>
        <w:rPr>
          <w:rFonts w:ascii="Arial" w:cs="Arial" w:eastAsia="Arial" w:hAnsi="Arial"/>
          <w:sz w:val="17"/>
          <w:szCs w:val="17"/>
          <w:color w:val="231F20"/>
        </w:rPr>
        <w:t>per share. Each series of preferred stock will have such</w:t>
      </w:r>
      <w:r>
        <w:rPr>
          <w:rFonts w:ascii="Arial" w:cs="Arial" w:eastAsia="Arial" w:hAnsi="Arial"/>
          <w:sz w:val="17"/>
          <w:szCs w:val="17"/>
          <w:color w:val="000000"/>
        </w:rPr>
        <w:t xml:space="preserve"> rights and preferences including dividend rights, dividend rate, conversion rights, voting rights, rights and terms of redemption (including sinking fund provisions), redemption price, and liquidation preferences as determined by the Board. </w:t>
      </w:r>
      <w:r>
        <w:rPr>
          <w:rFonts w:ascii="Arial" w:cs="Arial" w:eastAsia="Arial" w:hAnsi="Arial"/>
          <w:sz w:val="17"/>
          <w:szCs w:val="17"/>
          <w:color w:val="231F20"/>
        </w:rPr>
        <w:t>As of December 31, 2016 and 2015, there are no issued or outstanding shares of preferred stock.</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100" w:firstLine="405"/>
        <w:spacing w:after="0" w:line="250"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8,069,184</w:t>
      </w:r>
      <w:r>
        <w:rPr>
          <w:rFonts w:ascii="Arial" w:cs="Arial" w:eastAsia="Arial" w:hAnsi="Arial"/>
          <w:sz w:val="18"/>
          <w:szCs w:val="18"/>
          <w:color w:val="231F20"/>
        </w:rPr>
        <w:t xml:space="preserve"> shares of common stock as of December 31, 2016. The number of shares of common stock available for issuance under the 2012 Plan includes an annual increase on January 1 of each year by an amount equal to the least of</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3,050,000 </w:t>
      </w:r>
      <w:r>
        <w:rPr>
          <w:rFonts w:ascii="Arial" w:cs="Arial" w:eastAsia="Arial" w:hAnsi="Arial"/>
          <w:sz w:val="18"/>
          <w:szCs w:val="18"/>
          <w:color w:val="231F20"/>
        </w:rPr>
        <w:t>shares;</w:t>
      </w:r>
      <w:r>
        <w:rPr>
          <w:rFonts w:ascii="Arial" w:cs="Arial" w:eastAsia="Arial" w:hAnsi="Arial"/>
          <w:sz w:val="18"/>
          <w:szCs w:val="18"/>
          <w:color w:val="auto"/>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auto"/>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subsidiary corporations' employees and consultants. </w:t>
      </w:r>
      <w:r>
        <w:rPr>
          <w:rFonts w:ascii="Arial" w:cs="Arial" w:eastAsia="Arial" w:hAnsi="Arial"/>
          <w:sz w:val="18"/>
          <w:szCs w:val="18"/>
          <w:color w:val="000000"/>
        </w:rPr>
        <w:t>Options, SARs, RSAs, RSUs, performance</w:t>
      </w:r>
      <w:r>
        <w:rPr>
          <w:rFonts w:ascii="Arial" w:cs="Arial" w:eastAsia="Arial" w:hAnsi="Arial"/>
          <w:sz w:val="18"/>
          <w:szCs w:val="18"/>
          <w:color w:val="231F20"/>
        </w:rPr>
        <w:t xml:space="preserve"> </w:t>
      </w:r>
      <w:r>
        <w:rPr>
          <w:rFonts w:ascii="Arial" w:cs="Arial" w:eastAsia="Arial" w:hAnsi="Arial"/>
          <w:sz w:val="18"/>
          <w:szCs w:val="18"/>
          <w:color w:val="000000"/>
        </w:rPr>
        <w:t xml:space="preserve">units and performance awards may be granted with vesting terms as determined by the board of directors and expire no more than ten years after the date of grant or earlier if employment or service is terminated. </w:t>
      </w:r>
      <w:r>
        <w:rPr>
          <w:rFonts w:ascii="Arial" w:cs="Arial" w:eastAsia="Arial" w:hAnsi="Arial"/>
          <w:sz w:val="18"/>
          <w:szCs w:val="18"/>
          <w:color w:val="231F20"/>
        </w:rPr>
        <w:t>As of</w:t>
      </w:r>
      <w:r>
        <w:rPr>
          <w:rFonts w:ascii="Arial" w:cs="Arial" w:eastAsia="Arial" w:hAnsi="Arial"/>
          <w:sz w:val="18"/>
          <w:szCs w:val="18"/>
          <w:color w:val="000000"/>
        </w:rPr>
        <w:t xml:space="preserve"> December 31, 2016</w:t>
      </w:r>
      <w:r>
        <w:rPr>
          <w:rFonts w:ascii="Arial" w:cs="Arial" w:eastAsia="Arial" w:hAnsi="Arial"/>
          <w:sz w:val="18"/>
          <w:szCs w:val="18"/>
          <w:color w:val="231F20"/>
        </w:rPr>
        <w:t>,</w:t>
      </w:r>
      <w:r>
        <w:rPr>
          <w:rFonts w:ascii="Arial" w:cs="Arial" w:eastAsia="Arial" w:hAnsi="Arial"/>
          <w:sz w:val="18"/>
          <w:szCs w:val="18"/>
          <w:color w:val="000000"/>
        </w:rPr>
        <w:t xml:space="preserve"> 1,425,230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IPO, and accordingly, </w:t>
      </w:r>
      <w:r>
        <w:rPr>
          <w:rFonts w:ascii="Arial" w:cs="Arial" w:eastAsia="Arial" w:hAnsi="Arial"/>
          <w:sz w:val="18"/>
          <w:szCs w:val="18"/>
          <w:color w:val="000000"/>
        </w:rPr>
        <w:t>no</w:t>
      </w:r>
      <w:r>
        <w:rPr>
          <w:rFonts w:ascii="Arial" w:cs="Arial" w:eastAsia="Arial" w:hAnsi="Arial"/>
          <w:sz w:val="18"/>
          <w:szCs w:val="18"/>
          <w:color w:val="231F20"/>
        </w:rPr>
        <w:t xml:space="preserve"> shares are currently available for issuance under the 2000 Plan. The 2000 Plan continues to govern outstanding awards granted thereunder.</w:t>
      </w:r>
    </w:p>
    <w:p>
      <w:pPr>
        <w:spacing w:after="0" w:line="206" w:lineRule="exact"/>
        <w:rPr>
          <w:sz w:val="20"/>
          <w:szCs w:val="20"/>
          <w:color w:val="auto"/>
        </w:rPr>
      </w:pPr>
    </w:p>
    <w:p>
      <w:pPr>
        <w:jc w:val="both"/>
        <w:ind w:right="340" w:firstLine="405"/>
        <w:spacing w:after="0" w:line="256" w:lineRule="auto"/>
        <w:rPr>
          <w:sz w:val="20"/>
          <w:szCs w:val="20"/>
          <w:color w:val="auto"/>
        </w:rPr>
      </w:pPr>
      <w:r>
        <w:rPr>
          <w:rFonts w:ascii="Arial" w:cs="Arial" w:eastAsia="Arial" w:hAnsi="Arial"/>
          <w:sz w:val="18"/>
          <w:szCs w:val="18"/>
          <w:color w:val="231F20"/>
        </w:rPr>
        <w:t>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The amounts paid for shares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231F20"/>
        </w:rPr>
        <w:t xml:space="preserve">purchased under an early exercise of stock options and subject to repurchase by the Company are not reported as a component of </w:t>
      </w:r>
      <w:r>
        <w:rPr>
          <w:rFonts w:ascii="Arial" w:cs="Arial" w:eastAsia="Arial" w:hAnsi="Arial"/>
          <w:sz w:val="18"/>
          <w:szCs w:val="18"/>
          <w:color w:val="000000"/>
        </w:rPr>
        <w:t>stockholders</w:t>
      </w:r>
      <w:r>
        <w:rPr>
          <w:rFonts w:ascii="Arial" w:cs="Arial" w:eastAsia="Arial" w:hAnsi="Arial"/>
          <w:sz w:val="18"/>
          <w:szCs w:val="18"/>
          <w:color w:val="231F20"/>
        </w:rPr>
        <w:t>’ equity (deficit) until those shares vest. The amounts received in exchange for these shares are recorded as an accrued liability in</w:t>
      </w:r>
      <w:r>
        <w:rPr>
          <w:rFonts w:ascii="Arial" w:cs="Arial" w:eastAsia="Arial" w:hAnsi="Arial"/>
          <w:sz w:val="18"/>
          <w:szCs w:val="18"/>
          <w:color w:val="000000"/>
        </w:rPr>
        <w:t xml:space="preserve"> </w:t>
      </w:r>
      <w:r>
        <w:rPr>
          <w:rFonts w:ascii="Arial" w:cs="Arial" w:eastAsia="Arial" w:hAnsi="Arial"/>
          <w:sz w:val="18"/>
          <w:szCs w:val="18"/>
          <w:color w:val="231F20"/>
        </w:rPr>
        <w:t>the accompanying consolidated balance sheets and will be reclassified to common stock and additional paid-in capital as the shares vest.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Stock-based Compensation</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included in the consolidated statements of operations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47"/>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4,936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2,470</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2,407</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4,915</w:t>
            </w:r>
          </w:p>
        </w:tc>
      </w:tr>
      <w:tr>
        <w:trPr>
          <w:trHeight w:val="24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10,549</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40" w:firstLine="405"/>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2016</w:t>
      </w:r>
      <w:r>
        <w:rPr>
          <w:rFonts w:ascii="Arial" w:cs="Arial" w:eastAsia="Arial" w:hAnsi="Arial"/>
          <w:sz w:val="18"/>
          <w:szCs w:val="18"/>
          <w:color w:val="231F20"/>
        </w:rPr>
        <w:t xml:space="preserve">, the Company had </w:t>
      </w:r>
      <w:r>
        <w:rPr>
          <w:rFonts w:ascii="Arial" w:cs="Arial" w:eastAsia="Arial" w:hAnsi="Arial"/>
          <w:sz w:val="18"/>
          <w:szCs w:val="18"/>
          <w:color w:val="000000"/>
        </w:rPr>
        <w:t>$23.2 million</w:t>
      </w:r>
      <w:r>
        <w:rPr>
          <w:rFonts w:ascii="Arial" w:cs="Arial" w:eastAsia="Arial" w:hAnsi="Arial"/>
          <w:sz w:val="18"/>
          <w:szCs w:val="18"/>
          <w:color w:val="231F20"/>
        </w:rPr>
        <w:t xml:space="preserve"> of total unrecognized employee compensation cost related to unvested awards that it expects to recognize over a weighted-average period of </w:t>
      </w:r>
      <w:r>
        <w:rPr>
          <w:rFonts w:ascii="Arial" w:cs="Arial" w:eastAsia="Arial" w:hAnsi="Arial"/>
          <w:sz w:val="18"/>
          <w:szCs w:val="18"/>
          <w:color w:val="000000"/>
        </w:rPr>
        <w:t>2.8</w:t>
      </w:r>
      <w:r>
        <w:rPr>
          <w:rFonts w:ascii="Arial" w:cs="Arial" w:eastAsia="Arial" w:hAnsi="Arial"/>
          <w:sz w:val="18"/>
          <w:szCs w:val="18"/>
          <w:color w:val="231F20"/>
        </w:rPr>
        <w:t xml:space="preserve"> years.</w:t>
      </w:r>
    </w:p>
    <w:p>
      <w:pPr>
        <w:spacing w:after="0" w:line="142"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The fair value of each option granted to employees is estimated on the date of grant using the Black-Scholes option-pricing model based on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8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57"/>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to</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to</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840" w:type="dxa"/>
            <w:vAlign w:val="bottom"/>
          </w:tcPr>
          <w:p>
            <w:pPr>
              <w:jc w:val="right"/>
              <w:spacing w:after="0"/>
              <w:rPr>
                <w:sz w:val="20"/>
                <w:szCs w:val="20"/>
                <w:color w:val="auto"/>
              </w:rPr>
            </w:pPr>
            <w:r>
              <w:rPr>
                <w:rFonts w:ascii="Arial" w:cs="Arial" w:eastAsia="Arial" w:hAnsi="Arial"/>
                <w:sz w:val="16"/>
                <w:szCs w:val="16"/>
                <w:color w:val="auto"/>
              </w:rPr>
              <w:t>45% to</w:t>
            </w:r>
          </w:p>
        </w:tc>
        <w:tc>
          <w:tcPr>
            <w:tcW w:w="440" w:type="dxa"/>
            <w:vAlign w:val="bottom"/>
          </w:tcPr>
          <w:p>
            <w:pPr>
              <w:ind w:left="20"/>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 to</w:t>
            </w:r>
          </w:p>
        </w:tc>
        <w:tc>
          <w:tcPr>
            <w:tcW w:w="640" w:type="dxa"/>
            <w:vAlign w:val="bottom"/>
          </w:tcPr>
          <w:p>
            <w:pPr>
              <w:ind w:lef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 to</w:t>
            </w:r>
          </w:p>
        </w:tc>
        <w:tc>
          <w:tcPr>
            <w:tcW w:w="640" w:type="dxa"/>
            <w:vAlign w:val="bottom"/>
          </w:tcPr>
          <w:p>
            <w:pPr>
              <w:ind w:left="20"/>
              <w:spacing w:after="0"/>
              <w:rPr>
                <w:sz w:val="20"/>
                <w:szCs w:val="20"/>
                <w:color w:val="auto"/>
              </w:rPr>
            </w:pPr>
            <w:r>
              <w:rPr>
                <w:rFonts w:ascii="Arial" w:cs="Arial" w:eastAsia="Arial" w:hAnsi="Arial"/>
                <w:sz w:val="16"/>
                <w:szCs w:val="16"/>
                <w:color w:val="auto"/>
              </w:rPr>
              <w:t>52%</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to</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to</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to</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r>
      <w:tr>
        <w:trPr>
          <w:trHeight w:val="251"/>
        </w:trPr>
        <w:tc>
          <w:tcPr>
            <w:tcW w:w="67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center"/>
              <w:ind w:left="3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1"/>
                <w:szCs w:val="21"/>
                <w:color w:val="auto"/>
              </w:rPr>
            </w:pPr>
          </w:p>
        </w:tc>
      </w:tr>
    </w:tbl>
    <w:p>
      <w:pPr>
        <w:spacing w:after="0" w:line="235"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a combination of the historical volatility of the Company and of several public entities that are similar to the Company. The Company bases volatility on this combination because it does not have sufficient historical transactions in its own shares on which to solely base expected volatility. The Company has not historically declared any dividends and does not expect to in the future.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$0.7 million, $0.6 million</w:t>
      </w:r>
      <w:r>
        <w:rPr>
          <w:rFonts w:ascii="Arial" w:cs="Arial" w:eastAsia="Arial" w:hAnsi="Arial"/>
          <w:sz w:val="18"/>
          <w:szCs w:val="18"/>
          <w:color w:val="231F20"/>
        </w:rPr>
        <w:t xml:space="preserve"> and </w:t>
      </w:r>
      <w:r>
        <w:rPr>
          <w:rFonts w:ascii="Arial" w:cs="Arial" w:eastAsia="Arial" w:hAnsi="Arial"/>
          <w:sz w:val="18"/>
          <w:szCs w:val="18"/>
          <w:color w:val="000000"/>
        </w:rPr>
        <w:t>$0.7 million</w:t>
      </w:r>
      <w:r>
        <w:rPr>
          <w:rFonts w:ascii="Arial" w:cs="Arial" w:eastAsia="Arial" w:hAnsi="Arial"/>
          <w:sz w:val="18"/>
          <w:szCs w:val="18"/>
          <w:color w:val="231F20"/>
        </w:rPr>
        <w:t xml:space="preserve"> for </w:t>
      </w:r>
      <w:r>
        <w:rPr>
          <w:rFonts w:ascii="Arial" w:cs="Arial" w:eastAsia="Arial" w:hAnsi="Arial"/>
          <w:sz w:val="18"/>
          <w:szCs w:val="18"/>
          <w:color w:val="000000"/>
        </w:rPr>
        <w:t>2016</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xml:space="preserve"> and </w:t>
      </w:r>
      <w:r>
        <w:rPr>
          <w:rFonts w:ascii="Arial" w:cs="Arial" w:eastAsia="Arial" w:hAnsi="Arial"/>
          <w:sz w:val="18"/>
          <w:szCs w:val="18"/>
          <w:color w:val="000000"/>
        </w:rPr>
        <w:t>2014</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 Option Plan Activity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Exercise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Contractual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Intrinsic</w:t>
            </w:r>
          </w:p>
        </w:tc>
      </w:tr>
      <w:tr>
        <w:trPr>
          <w:trHeight w:val="228"/>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Price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Life (Years)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31, 2013</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7,039,093</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112,312</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60"/>
        </w:trPr>
        <w:tc>
          <w:tcPr>
            <w:tcW w:w="388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2,744,150</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26.16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Exercised</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(1,216,710)</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64"/>
        </w:trPr>
        <w:tc>
          <w:tcPr>
            <w:tcW w:w="388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(961,126)</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16.91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3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31, 2014</w:t>
            </w:r>
          </w:p>
        </w:tc>
        <w:tc>
          <w:tcPr>
            <w:tcW w:w="460" w:type="dxa"/>
            <w:vAlign w:val="bottom"/>
            <w:tcBorders>
              <w:bottom w:val="single" w:sz="8" w:color="CCEEFF"/>
            </w:tcBorders>
            <w:gridSpan w:val="2"/>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7,605,407</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188,743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60"/>
        </w:trPr>
        <w:tc>
          <w:tcPr>
            <w:tcW w:w="388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1,526,450</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Exercised</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(807,846)</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64"/>
        </w:trPr>
        <w:tc>
          <w:tcPr>
            <w:tcW w:w="388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(744,953)</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27.67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3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31, 2015</w:t>
            </w:r>
          </w:p>
        </w:tc>
        <w:tc>
          <w:tcPr>
            <w:tcW w:w="460" w:type="dxa"/>
            <w:vAlign w:val="bottom"/>
            <w:tcBorders>
              <w:bottom w:val="single" w:sz="8" w:color="CCEEFF"/>
            </w:tcBorders>
            <w:gridSpan w:val="2"/>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7,579,058</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131,345</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60"/>
        </w:trPr>
        <w:tc>
          <w:tcPr>
            <w:tcW w:w="388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2,120,633</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26.64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Exercised</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(1,399,157)</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64"/>
        </w:trPr>
        <w:tc>
          <w:tcPr>
            <w:tcW w:w="388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(772,854)</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31.57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3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as of December 31, 2016</w:t>
            </w:r>
          </w:p>
        </w:tc>
        <w:tc>
          <w:tcPr>
            <w:tcW w:w="460" w:type="dxa"/>
            <w:vAlign w:val="bottom"/>
            <w:tcBorders>
              <w:bottom w:val="single" w:sz="8" w:color="CCEEFF"/>
            </w:tcBorders>
            <w:gridSpan w:val="2"/>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7,527,680</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101,717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3880" w:type="dxa"/>
            <w:vAlign w:val="bottom"/>
            <w:gridSpan w:val="3"/>
          </w:tcPr>
          <w:p>
            <w:pPr>
              <w:ind w:left="40"/>
              <w:spacing w:after="0"/>
              <w:rPr>
                <w:sz w:val="20"/>
                <w:szCs w:val="20"/>
                <w:color w:val="auto"/>
              </w:rPr>
            </w:pPr>
            <w:r>
              <w:rPr>
                <w:rFonts w:ascii="Arial" w:cs="Arial" w:eastAsia="Arial" w:hAnsi="Arial"/>
                <w:sz w:val="16"/>
                <w:szCs w:val="16"/>
                <w:color w:val="auto"/>
              </w:rPr>
              <w:t>Vested and expected to vest—December 31, 2016</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7,008,375</w:t>
            </w:r>
          </w:p>
        </w:tc>
        <w:tc>
          <w:tcPr>
            <w:tcW w:w="20" w:type="dxa"/>
            <w:vAlign w:val="bottom"/>
          </w:tcPr>
          <w:p>
            <w:pPr>
              <w:spacing w:after="0"/>
              <w:rPr>
                <w:sz w:val="19"/>
                <w:szCs w:val="19"/>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99,875</w:t>
            </w:r>
          </w:p>
        </w:tc>
        <w:tc>
          <w:tcPr>
            <w:tcW w:w="60" w:type="dxa"/>
            <w:vAlign w:val="bottom"/>
          </w:tcPr>
          <w:p>
            <w:pPr>
              <w:spacing w:after="0"/>
              <w:rPr>
                <w:sz w:val="19"/>
                <w:szCs w:val="19"/>
                <w:color w:val="auto"/>
              </w:rPr>
            </w:pPr>
          </w:p>
        </w:tc>
      </w:tr>
      <w:tr>
        <w:trPr>
          <w:trHeight w:val="26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Exercisable—December 31, 2016</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5,137,869</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91,928</w:t>
            </w:r>
          </w:p>
        </w:tc>
        <w:tc>
          <w:tcPr>
            <w:tcW w:w="60" w:type="dxa"/>
            <w:vAlign w:val="bottom"/>
            <w:tcBorders>
              <w:bottom w:val="single" w:sz="8" w:color="CCEEFF"/>
            </w:tcBorders>
            <w:shd w:val="clear" w:color="auto" w:fill="CCEEFF"/>
          </w:tcPr>
          <w:p>
            <w:pPr>
              <w:spacing w:after="0"/>
              <w:rPr>
                <w:sz w:val="22"/>
                <w:szCs w:val="22"/>
                <w:color w:val="auto"/>
              </w:rPr>
            </w:pPr>
          </w:p>
        </w:tc>
      </w:tr>
      <w:tr>
        <w:trPr>
          <w:trHeight w:val="432"/>
        </w:trPr>
        <w:tc>
          <w:tcPr>
            <w:tcW w:w="8360" w:type="dxa"/>
            <w:vAlign w:val="bottom"/>
            <w:gridSpan w:val="15"/>
          </w:tcPr>
          <w:p>
            <w:pPr>
              <w:ind w:left="420"/>
              <w:spacing w:after="0"/>
              <w:rPr>
                <w:sz w:val="20"/>
                <w:szCs w:val="20"/>
                <w:color w:val="auto"/>
              </w:rPr>
            </w:pPr>
            <w:r>
              <w:rPr>
                <w:rFonts w:ascii="Arial" w:cs="Arial" w:eastAsia="Arial" w:hAnsi="Arial"/>
                <w:sz w:val="18"/>
                <w:szCs w:val="18"/>
                <w:color w:val="auto"/>
              </w:rPr>
              <w:t>The following table summarizes the outstanding and vested stock options at December 31, 2016:</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Outstanding</w:t>
            </w:r>
          </w:p>
        </w:tc>
        <w:tc>
          <w:tcPr>
            <w:tcW w:w="100" w:type="dxa"/>
            <w:vAlign w:val="bottom"/>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1019"/>
              <w:spacing w:after="0"/>
              <w:rPr>
                <w:sz w:val="20"/>
                <w:szCs w:val="20"/>
                <w:color w:val="auto"/>
              </w:rPr>
            </w:pPr>
            <w:r>
              <w:rPr>
                <w:rFonts w:ascii="Arial" w:cs="Arial" w:eastAsia="Arial" w:hAnsi="Arial"/>
                <w:sz w:val="14"/>
                <w:szCs w:val="14"/>
                <w:b w:val="1"/>
                <w:bCs w:val="1"/>
                <w:color w:val="auto"/>
              </w:rPr>
              <w:t>Exercisable</w:t>
            </w:r>
          </w:p>
        </w:tc>
        <w:tc>
          <w:tcPr>
            <w:tcW w:w="60" w:type="dxa"/>
            <w:vAlign w:val="bottom"/>
          </w:tcPr>
          <w:p>
            <w:pPr>
              <w:spacing w:after="0"/>
              <w:rPr>
                <w:sz w:val="24"/>
                <w:szCs w:val="24"/>
                <w:color w:val="auto"/>
              </w:rPr>
            </w:pPr>
          </w:p>
        </w:tc>
      </w:tr>
      <w:tr>
        <w:trPr>
          <w:trHeight w:val="197"/>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9"/>
              </w:rPr>
              <w:t>Weighted</w:t>
            </w: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Average</w:t>
            </w: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Exercise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Remaining</w:t>
            </w: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Exercise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18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 Per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rPr>
              <w:t>Contractual</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Price Per</w:t>
            </w:r>
          </w:p>
        </w:tc>
      </w:tr>
      <w:tr>
        <w:trPr>
          <w:trHeight w:val="228"/>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Share</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Life (Years)</w:t>
            </w:r>
          </w:p>
        </w:tc>
        <w:tc>
          <w:tcPr>
            <w:tcW w:w="100" w:type="dxa"/>
            <w:vAlign w:val="bottom"/>
            <w:tcBorders>
              <w:bottom w:val="single" w:sz="8" w:color="CCEEFF"/>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Share</w:t>
            </w:r>
          </w:p>
        </w:tc>
        <w:tc>
          <w:tcPr>
            <w:tcW w:w="60" w:type="dxa"/>
            <w:vAlign w:val="bottom"/>
          </w:tcPr>
          <w:p>
            <w:pPr>
              <w:spacing w:after="0"/>
              <w:rPr>
                <w:sz w:val="19"/>
                <w:szCs w:val="19"/>
                <w:color w:val="auto"/>
              </w:rPr>
            </w:pPr>
          </w:p>
        </w:tc>
      </w:tr>
      <w:tr>
        <w:trPr>
          <w:trHeight w:val="257"/>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$1.90 - $1.90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938,282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0.07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938,282</w:t>
            </w:r>
          </w:p>
        </w:tc>
        <w:tc>
          <w:tcPr>
            <w:tcW w:w="6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22"/>
                <w:szCs w:val="22"/>
                <w:color w:val="auto"/>
              </w:rPr>
            </w:pP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$2.10 - $2.80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161,970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rPr>
              <w:t>2.21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161,970</w:t>
            </w:r>
          </w:p>
        </w:tc>
        <w:tc>
          <w:tcPr>
            <w:tcW w:w="60" w:type="dxa"/>
            <w:vAlign w:val="bottom"/>
          </w:tcPr>
          <w:p>
            <w:pPr>
              <w:spacing w:after="0"/>
              <w:rPr>
                <w:sz w:val="22"/>
                <w:szCs w:val="22"/>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22"/>
                <w:szCs w:val="22"/>
                <w:color w:val="auto"/>
              </w:rPr>
            </w:pP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$3.80 - $3.80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1,057,235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2.92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1,057,235</w:t>
            </w:r>
          </w:p>
        </w:tc>
        <w:tc>
          <w:tcPr>
            <w:tcW w:w="6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60" w:type="dxa"/>
            <w:vAlign w:val="bottom"/>
          </w:tcPr>
          <w:p>
            <w:pPr>
              <w:spacing w:after="0"/>
              <w:rPr>
                <w:sz w:val="24"/>
                <w:szCs w:val="24"/>
                <w:color w:val="auto"/>
              </w:rPr>
            </w:pP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$4.10 - $12.68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841,480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rPr>
              <w:t>4.87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835,654</w:t>
            </w:r>
          </w:p>
        </w:tc>
        <w:tc>
          <w:tcPr>
            <w:tcW w:w="60" w:type="dxa"/>
            <w:vAlign w:val="bottom"/>
          </w:tcPr>
          <w:p>
            <w:pPr>
              <w:spacing w:after="0"/>
              <w:rPr>
                <w:sz w:val="22"/>
                <w:szCs w:val="22"/>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8.49</w:t>
            </w:r>
          </w:p>
        </w:tc>
        <w:tc>
          <w:tcPr>
            <w:tcW w:w="60" w:type="dxa"/>
            <w:vAlign w:val="bottom"/>
          </w:tcPr>
          <w:p>
            <w:pPr>
              <w:spacing w:after="0"/>
              <w:rPr>
                <w:sz w:val="22"/>
                <w:szCs w:val="22"/>
                <w:color w:val="auto"/>
              </w:rPr>
            </w:pP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$13.50 - $25.17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1,126,929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7.74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592,323</w:t>
            </w:r>
          </w:p>
        </w:tc>
        <w:tc>
          <w:tcPr>
            <w:tcW w:w="6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20.13</w:t>
            </w:r>
          </w:p>
        </w:tc>
        <w:tc>
          <w:tcPr>
            <w:tcW w:w="60" w:type="dxa"/>
            <w:vAlign w:val="bottom"/>
          </w:tcPr>
          <w:p>
            <w:pPr>
              <w:spacing w:after="0"/>
              <w:rPr>
                <w:sz w:val="24"/>
                <w:szCs w:val="24"/>
                <w:color w:val="auto"/>
              </w:rPr>
            </w:pP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$25.56 - $25.56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1,064,551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rPr>
              <w:t>9.28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146,263</w:t>
            </w:r>
          </w:p>
        </w:tc>
        <w:tc>
          <w:tcPr>
            <w:tcW w:w="60" w:type="dxa"/>
            <w:vAlign w:val="bottom"/>
          </w:tcPr>
          <w:p>
            <w:pPr>
              <w:spacing w:after="0"/>
              <w:rPr>
                <w:sz w:val="22"/>
                <w:szCs w:val="22"/>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25.56</w:t>
            </w:r>
          </w:p>
        </w:tc>
        <w:tc>
          <w:tcPr>
            <w:tcW w:w="60" w:type="dxa"/>
            <w:vAlign w:val="bottom"/>
          </w:tcPr>
          <w:p>
            <w:pPr>
              <w:spacing w:after="0"/>
              <w:rPr>
                <w:sz w:val="22"/>
                <w:szCs w:val="22"/>
                <w:color w:val="auto"/>
              </w:rPr>
            </w:pP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$26.86 - $30.58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1,065,841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7.37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968,961</w:t>
            </w:r>
          </w:p>
        </w:tc>
        <w:tc>
          <w:tcPr>
            <w:tcW w:w="6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28.74</w:t>
            </w:r>
          </w:p>
        </w:tc>
        <w:tc>
          <w:tcPr>
            <w:tcW w:w="60" w:type="dxa"/>
            <w:vAlign w:val="bottom"/>
          </w:tcPr>
          <w:p>
            <w:pPr>
              <w:spacing w:after="0"/>
              <w:rPr>
                <w:sz w:val="24"/>
                <w:szCs w:val="24"/>
                <w:color w:val="auto"/>
              </w:rPr>
            </w:pP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$31.67 - $37.28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905,161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35.41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color w:val="auto"/>
              </w:rPr>
              <w:t>8.88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220,324</w:t>
            </w:r>
          </w:p>
        </w:tc>
        <w:tc>
          <w:tcPr>
            <w:tcW w:w="60" w:type="dxa"/>
            <w:vAlign w:val="bottom"/>
          </w:tcPr>
          <w:p>
            <w:pPr>
              <w:spacing w:after="0"/>
              <w:rPr>
                <w:sz w:val="22"/>
                <w:szCs w:val="22"/>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36.55</w:t>
            </w:r>
          </w:p>
        </w:tc>
        <w:tc>
          <w:tcPr>
            <w:tcW w:w="60" w:type="dxa"/>
            <w:vAlign w:val="bottom"/>
          </w:tcPr>
          <w:p>
            <w:pPr>
              <w:spacing w:after="0"/>
              <w:rPr>
                <w:sz w:val="22"/>
                <w:szCs w:val="22"/>
                <w:color w:val="auto"/>
              </w:rPr>
            </w:pPr>
          </w:p>
        </w:tc>
      </w:tr>
      <w:tr>
        <w:trPr>
          <w:trHeight w:val="28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$40.68 - $40.89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225,661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7.55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154,011</w:t>
            </w:r>
          </w:p>
        </w:tc>
        <w:tc>
          <w:tcPr>
            <w:tcW w:w="6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40.79</w:t>
            </w:r>
          </w:p>
        </w:tc>
        <w:tc>
          <w:tcPr>
            <w:tcW w:w="60" w:type="dxa"/>
            <w:vAlign w:val="bottom"/>
          </w:tcPr>
          <w:p>
            <w:pPr>
              <w:spacing w:after="0"/>
              <w:rPr>
                <w:sz w:val="24"/>
                <w:szCs w:val="24"/>
                <w:color w:val="auto"/>
              </w:rPr>
            </w:pPr>
          </w:p>
        </w:tc>
      </w:tr>
      <w:tr>
        <w:trPr>
          <w:trHeight w:val="26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$52.14 - $52.14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140,570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52.14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center"/>
              <w:ind w:right="139"/>
              <w:spacing w:after="0"/>
              <w:rPr>
                <w:sz w:val="20"/>
                <w:szCs w:val="20"/>
                <w:color w:val="auto"/>
              </w:rPr>
            </w:pPr>
            <w:r>
              <w:rPr>
                <w:rFonts w:ascii="Arial" w:cs="Arial" w:eastAsia="Arial" w:hAnsi="Arial"/>
                <w:sz w:val="16"/>
                <w:szCs w:val="16"/>
                <w:color w:val="auto"/>
              </w:rPr>
              <w:t>7.46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62,846</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52.14</w:t>
            </w:r>
          </w:p>
        </w:tc>
        <w:tc>
          <w:tcPr>
            <w:tcW w:w="60" w:type="dxa"/>
            <w:vAlign w:val="bottom"/>
          </w:tcPr>
          <w:p>
            <w:pPr>
              <w:spacing w:after="0"/>
              <w:rPr>
                <w:sz w:val="22"/>
                <w:szCs w:val="22"/>
                <w:color w:val="auto"/>
              </w:rPr>
            </w:pPr>
          </w:p>
        </w:tc>
      </w:tr>
      <w:tr>
        <w:trPr>
          <w:trHeight w:val="240"/>
        </w:trPr>
        <w:tc>
          <w:tcPr>
            <w:tcW w:w="3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7,527,680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rPr>
              <w:t>5.96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5,137,869</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w:t>
            </w:r>
          </w:p>
        </w:tc>
        <w:tc>
          <w:tcPr>
            <w:tcW w:w="6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The weighted-average grant date fair value of the Company’s stock options granted during 2016</w:t>
      </w:r>
      <w:r>
        <w:rPr>
          <w:rFonts w:ascii="Arial" w:cs="Arial" w:eastAsia="Arial" w:hAnsi="Arial"/>
          <w:sz w:val="18"/>
          <w:szCs w:val="18"/>
          <w:color w:val="231F20"/>
        </w:rPr>
        <w:t>, 2015 and</w:t>
      </w:r>
      <w:r>
        <w:rPr>
          <w:rFonts w:ascii="Arial" w:cs="Arial" w:eastAsia="Arial" w:hAnsi="Arial"/>
          <w:sz w:val="18"/>
          <w:szCs w:val="18"/>
          <w:color w:val="auto"/>
        </w:rPr>
        <w:t xml:space="preserve"> 2014 was $11.12, $16.51 and $12.07, respectively. The aggregate grant date fair value of the Company’s stock options granted during 2016</w:t>
      </w:r>
      <w:r>
        <w:rPr>
          <w:rFonts w:ascii="Arial" w:cs="Arial" w:eastAsia="Arial" w:hAnsi="Arial"/>
          <w:sz w:val="18"/>
          <w:szCs w:val="18"/>
          <w:color w:val="231F20"/>
        </w:rPr>
        <w:t>,</w:t>
      </w:r>
      <w:r>
        <w:rPr>
          <w:rFonts w:ascii="Arial" w:cs="Arial" w:eastAsia="Arial" w:hAnsi="Arial"/>
          <w:sz w:val="18"/>
          <w:szCs w:val="18"/>
          <w:color w:val="auto"/>
        </w:rPr>
        <w:t xml:space="preserve"> 2015 </w:t>
      </w:r>
      <w:r>
        <w:rPr>
          <w:rFonts w:ascii="Arial" w:cs="Arial" w:eastAsia="Arial" w:hAnsi="Arial"/>
          <w:sz w:val="18"/>
          <w:szCs w:val="18"/>
          <w:color w:val="231F20"/>
        </w:rPr>
        <w:t>and</w:t>
      </w:r>
      <w:r>
        <w:rPr>
          <w:rFonts w:ascii="Arial" w:cs="Arial" w:eastAsia="Arial" w:hAnsi="Arial"/>
          <w:sz w:val="18"/>
          <w:szCs w:val="18"/>
          <w:color w:val="auto"/>
        </w:rPr>
        <w:t xml:space="preserve"> 2014 was $23.6 million, $25.2 million and $33.1 million, respectively.</w:t>
      </w:r>
    </w:p>
    <w:p>
      <w:pPr>
        <w:spacing w:after="0" w:line="148" w:lineRule="exact"/>
        <w:rPr>
          <w:sz w:val="20"/>
          <w:szCs w:val="20"/>
          <w:color w:val="auto"/>
        </w:rPr>
      </w:pPr>
    </w:p>
    <w:p>
      <w:pPr>
        <w:ind w:right="360" w:firstLine="405"/>
        <w:spacing w:after="0" w:line="256" w:lineRule="auto"/>
        <w:rPr>
          <w:sz w:val="20"/>
          <w:szCs w:val="20"/>
          <w:color w:val="auto"/>
        </w:rPr>
      </w:pPr>
      <w:r>
        <w:rPr>
          <w:rFonts w:ascii="Arial" w:cs="Arial" w:eastAsia="Arial" w:hAnsi="Arial"/>
          <w:sz w:val="18"/>
          <w:szCs w:val="18"/>
          <w:color w:val="auto"/>
        </w:rPr>
        <w:t>The intrinsic value of options exercised was $25.0 million, $22.7 million and $25.7 million during 2016</w:t>
      </w:r>
      <w:r>
        <w:rPr>
          <w:rFonts w:ascii="Arial" w:cs="Arial" w:eastAsia="Arial" w:hAnsi="Arial"/>
          <w:sz w:val="18"/>
          <w:szCs w:val="18"/>
          <w:color w:val="231F20"/>
        </w:rPr>
        <w:t>, 2015 and</w:t>
      </w:r>
      <w:r>
        <w:rPr>
          <w:rFonts w:ascii="Arial" w:cs="Arial" w:eastAsia="Arial" w:hAnsi="Arial"/>
          <w:sz w:val="18"/>
          <w:szCs w:val="18"/>
          <w:color w:val="auto"/>
        </w:rPr>
        <w:t xml:space="preserve"> 2014, respectively. Intrinsic value of an option is the difference between the fair value of the Company’s common stock at the time of exercise and the exercise price paid.</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333"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139"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The terms and conditions of RSUs and RSAs, including vesting criteria and timing are set by the board of directors. The cost of RSUs and RSAs is determined using the fair value of the Company’s common stock on the date of the grant. Compensation cost is recognized on a straight-line basis over the requisite service period of each grant adjusted for estimated forfeitures.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RSUs and RSAs activity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ind w:right="112"/>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8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ind w:right="132"/>
              <w:spacing w:after="0"/>
              <w:rPr>
                <w:sz w:val="20"/>
                <w:szCs w:val="20"/>
                <w:color w:val="auto"/>
              </w:rPr>
            </w:pPr>
            <w:r>
              <w:rPr>
                <w:rFonts w:ascii="Arial" w:cs="Arial" w:eastAsia="Arial" w:hAnsi="Arial"/>
                <w:sz w:val="16"/>
                <w:szCs w:val="16"/>
                <w:b w:val="1"/>
                <w:bCs w:val="1"/>
                <w:color w:val="auto"/>
              </w:rPr>
              <w:t>Average Grant</w:t>
            </w:r>
          </w:p>
        </w:tc>
      </w:tr>
      <w:tr>
        <w:trPr>
          <w:trHeight w:val="189"/>
        </w:trPr>
        <w:tc>
          <w:tcPr>
            <w:tcW w:w="8360" w:type="dxa"/>
            <w:vAlign w:val="bottom"/>
          </w:tcPr>
          <w:p>
            <w:pPr>
              <w:spacing w:after="0"/>
              <w:rPr>
                <w:sz w:val="16"/>
                <w:szCs w:val="16"/>
                <w:color w:val="auto"/>
              </w:rPr>
            </w:pPr>
          </w:p>
        </w:tc>
        <w:tc>
          <w:tcPr>
            <w:tcW w:w="1240" w:type="dxa"/>
            <w:vAlign w:val="bottom"/>
          </w:tcPr>
          <w:p>
            <w:pPr>
              <w:jc w:val="right"/>
              <w:ind w:right="131"/>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Date Fair Value Per</w:t>
            </w:r>
          </w:p>
        </w:tc>
      </w:tr>
      <w:tr>
        <w:trPr>
          <w:trHeight w:val="228"/>
        </w:trPr>
        <w:tc>
          <w:tcPr>
            <w:tcW w:w="8360" w:type="dxa"/>
            <w:vAlign w:val="bottom"/>
          </w:tcPr>
          <w:p>
            <w:pPr>
              <w:spacing w:after="0"/>
              <w:rPr>
                <w:sz w:val="19"/>
                <w:szCs w:val="19"/>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98"/>
              </w:rPr>
              <w:t>Share</w:t>
            </w:r>
          </w:p>
        </w:tc>
      </w:tr>
      <w:tr>
        <w:trPr>
          <w:trHeight w:val="250"/>
        </w:trPr>
        <w:tc>
          <w:tcPr>
            <w:tcW w:w="836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37.28</w:t>
            </w:r>
          </w:p>
        </w:tc>
      </w:tr>
      <w:tr>
        <w:trPr>
          <w:trHeight w:val="263"/>
        </w:trPr>
        <w:tc>
          <w:tcPr>
            <w:tcW w:w="8360" w:type="dxa"/>
            <w:vAlign w:val="bottom"/>
          </w:tcPr>
          <w:p>
            <w:pPr>
              <w:ind w:left="280"/>
              <w:spacing w:after="0"/>
              <w:rPr>
                <w:sz w:val="20"/>
                <w:szCs w:val="20"/>
                <w:color w:val="auto"/>
              </w:rPr>
            </w:pPr>
            <w:r>
              <w:rPr>
                <w:rFonts w:ascii="Arial" w:cs="Arial" w:eastAsia="Arial" w:hAnsi="Arial"/>
                <w:sz w:val="18"/>
                <w:szCs w:val="18"/>
                <w:color w:val="auto"/>
              </w:rPr>
              <w:t>Vested</w:t>
            </w:r>
          </w:p>
        </w:tc>
        <w:tc>
          <w:tcPr>
            <w:tcW w:w="1240" w:type="dxa"/>
            <w:vAlign w:val="bottom"/>
          </w:tcPr>
          <w:p>
            <w:pPr>
              <w:jc w:val="right"/>
              <w:spacing w:after="0"/>
              <w:rPr>
                <w:sz w:val="20"/>
                <w:szCs w:val="20"/>
                <w:color w:val="auto"/>
              </w:rPr>
            </w:pPr>
            <w:r>
              <w:rPr>
                <w:rFonts w:ascii="Arial" w:cs="Arial" w:eastAsia="Arial" w:hAnsi="Arial"/>
                <w:sz w:val="18"/>
                <w:szCs w:val="18"/>
                <w:color w:val="auto"/>
              </w:rPr>
              <w:t>(12,500)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37.28</w:t>
            </w:r>
          </w:p>
        </w:tc>
      </w:tr>
      <w:tr>
        <w:trPr>
          <w:trHeight w:val="277"/>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Cancelled</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37.28</w:t>
            </w:r>
          </w:p>
        </w:tc>
      </w:tr>
      <w:tr>
        <w:trPr>
          <w:trHeight w:val="277"/>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681,350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28.52</w:t>
            </w:r>
          </w:p>
        </w:tc>
      </w:tr>
      <w:tr>
        <w:trPr>
          <w:trHeight w:val="263"/>
        </w:trPr>
        <w:tc>
          <w:tcPr>
            <w:tcW w:w="8360" w:type="dxa"/>
            <w:vAlign w:val="bottom"/>
          </w:tcPr>
          <w:p>
            <w:pPr>
              <w:ind w:left="280"/>
              <w:spacing w:after="0"/>
              <w:rPr>
                <w:sz w:val="20"/>
                <w:szCs w:val="20"/>
                <w:color w:val="auto"/>
              </w:rPr>
            </w:pPr>
            <w:r>
              <w:rPr>
                <w:rFonts w:ascii="Arial" w:cs="Arial" w:eastAsia="Arial" w:hAnsi="Arial"/>
                <w:sz w:val="18"/>
                <w:szCs w:val="18"/>
                <w:color w:val="auto"/>
              </w:rPr>
              <w:t>Vested</w:t>
            </w:r>
          </w:p>
        </w:tc>
        <w:tc>
          <w:tcPr>
            <w:tcW w:w="1240" w:type="dxa"/>
            <w:vAlign w:val="bottom"/>
          </w:tcPr>
          <w:p>
            <w:pPr>
              <w:jc w:val="right"/>
              <w:spacing w:after="0"/>
              <w:rPr>
                <w:sz w:val="20"/>
                <w:szCs w:val="20"/>
                <w:color w:val="auto"/>
              </w:rPr>
            </w:pPr>
            <w:r>
              <w:rPr>
                <w:rFonts w:ascii="Arial" w:cs="Arial" w:eastAsia="Arial" w:hAnsi="Arial"/>
                <w:sz w:val="18"/>
                <w:szCs w:val="18"/>
                <w:color w:val="auto"/>
              </w:rPr>
              <w:t>(39,998)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27.49</w:t>
            </w: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Cancelled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31.12</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587,333</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28.85</w:t>
            </w:r>
          </w:p>
        </w:tc>
      </w:tr>
      <w:tr>
        <w:trPr>
          <w:trHeight w:val="237"/>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Expected to vest as of December 31, 2016</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409,789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28.81</w:t>
            </w:r>
          </w:p>
        </w:tc>
      </w:tr>
      <w:tr>
        <w:trPr>
          <w:trHeight w:val="20"/>
        </w:trPr>
        <w:tc>
          <w:tcPr>
            <w:tcW w:w="8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As of December 31, 2016, the Company had $10.6 million of unrecognized compensation cost related to unvested awards that it expects to recognize over a weighted-average period of 3.2 years.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401(k) Plan</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The Company’s 401(k) Plan (the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As of December 31, 2016 and 2015, the Company has made contributions to the 401(k) Plan of $0.6 million and $0 million, respectively.</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NOTE 7.</w:t>
            </w:r>
          </w:p>
        </w:tc>
        <w:tc>
          <w:tcPr>
            <w:tcW w:w="3960" w:type="dxa"/>
            <w:vAlign w:val="bottom"/>
          </w:tcPr>
          <w:p>
            <w:pPr>
              <w:ind w:left="100"/>
              <w:spacing w:after="0"/>
              <w:rPr>
                <w:sz w:val="20"/>
                <w:szCs w:val="20"/>
                <w:color w:val="auto"/>
              </w:rPr>
            </w:pPr>
            <w:r>
              <w:rPr>
                <w:rFonts w:ascii="Arial" w:cs="Arial" w:eastAsia="Arial" w:hAnsi="Arial"/>
                <w:sz w:val="18"/>
                <w:szCs w:val="18"/>
                <w:b w:val="1"/>
                <w:bCs w:val="1"/>
                <w:color w:val="auto"/>
              </w:rPr>
              <w:t>Other Income (Expense), Net</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160" w:type="dxa"/>
            <w:vAlign w:val="bottom"/>
            <w:gridSpan w:val="2"/>
          </w:tcPr>
          <w:p>
            <w:pPr>
              <w:ind w:left="420"/>
              <w:spacing w:after="0"/>
              <w:rPr>
                <w:sz w:val="20"/>
                <w:szCs w:val="20"/>
                <w:color w:val="auto"/>
              </w:rPr>
            </w:pPr>
            <w:r>
              <w:rPr>
                <w:rFonts w:ascii="Arial" w:cs="Arial" w:eastAsia="Arial" w:hAnsi="Arial"/>
                <w:sz w:val="18"/>
                <w:szCs w:val="18"/>
                <w:color w:val="auto"/>
              </w:rPr>
              <w:t>Other income (expense), net consists of the following:</w:t>
            </w: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left="7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47"/>
        </w:trPr>
        <w:tc>
          <w:tcPr>
            <w:tcW w:w="12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losses</w:t>
            </w:r>
          </w:p>
        </w:tc>
        <w:tc>
          <w:tcPr>
            <w:tcW w:w="260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64"/>
        </w:trPr>
        <w:tc>
          <w:tcPr>
            <w:tcW w:w="1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w:t>
            </w:r>
          </w:p>
        </w:tc>
        <w:tc>
          <w:tcPr>
            <w:tcW w:w="396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6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60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857"/>
              <w:spacing w:after="0"/>
              <w:rPr>
                <w:sz w:val="20"/>
                <w:szCs w:val="20"/>
                <w:color w:val="auto"/>
              </w:rPr>
            </w:pPr>
            <w:r>
              <w:rPr>
                <w:rFonts w:ascii="Arial" w:cs="Arial" w:eastAsia="Arial" w:hAnsi="Arial"/>
                <w:sz w:val="18"/>
                <w:szCs w:val="18"/>
                <w:color w:val="auto"/>
              </w:rPr>
              <w:t>80</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12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NOTE 8.</w:t>
            </w:r>
          </w:p>
        </w:tc>
        <w:tc>
          <w:tcPr>
            <w:tcW w:w="5720" w:type="dxa"/>
            <w:vAlign w:val="bottom"/>
          </w:tcPr>
          <w:p>
            <w:pPr>
              <w:ind w:left="260"/>
              <w:spacing w:after="0"/>
              <w:rPr>
                <w:sz w:val="20"/>
                <w:szCs w:val="20"/>
                <w:color w:val="auto"/>
              </w:rPr>
            </w:pPr>
            <w:r>
              <w:rPr>
                <w:rFonts w:ascii="Arial" w:cs="Arial" w:eastAsia="Arial" w:hAnsi="Arial"/>
                <w:sz w:val="18"/>
                <w:szCs w:val="18"/>
                <w:b w:val="1"/>
                <w:bCs w:val="1"/>
                <w:color w:val="auto"/>
              </w:rPr>
              <w:t>Income Taxes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7300" w:type="dxa"/>
            <w:vAlign w:val="bottom"/>
            <w:gridSpan w:val="3"/>
          </w:tcPr>
          <w:p>
            <w:pPr>
              <w:ind w:left="420"/>
              <w:spacing w:after="0"/>
              <w:rPr>
                <w:sz w:val="20"/>
                <w:szCs w:val="20"/>
                <w:color w:val="auto"/>
              </w:rPr>
            </w:pPr>
            <w:r>
              <w:rPr>
                <w:rFonts w:ascii="Arial" w:cs="Arial" w:eastAsia="Arial" w:hAnsi="Arial"/>
                <w:sz w:val="18"/>
                <w:szCs w:val="18"/>
                <w:color w:val="auto"/>
              </w:rPr>
              <w:t>The Company’s geographical breakdown of income before income taxes is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57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7,384</w:t>
            </w:r>
          </w:p>
        </w:tc>
        <w:tc>
          <w:tcPr>
            <w:tcW w:w="0" w:type="dxa"/>
            <w:vAlign w:val="bottom"/>
          </w:tcPr>
          <w:p>
            <w:pPr>
              <w:spacing w:after="0"/>
              <w:rPr>
                <w:sz w:val="1"/>
                <w:szCs w:val="1"/>
                <w:color w:val="auto"/>
              </w:rPr>
            </w:pPr>
          </w:p>
        </w:tc>
      </w:tr>
      <w:tr>
        <w:trPr>
          <w:trHeight w:val="264"/>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57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8,613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20"/>
              <w:spacing w:after="0"/>
              <w:rPr>
                <w:sz w:val="20"/>
                <w:szCs w:val="20"/>
                <w:color w:val="auto"/>
              </w:rPr>
            </w:pPr>
            <w:r>
              <w:rPr>
                <w:rFonts w:ascii="Arial" w:cs="Arial" w:eastAsia="Arial" w:hAnsi="Arial"/>
                <w:sz w:val="18"/>
                <w:szCs w:val="18"/>
                <w:color w:val="auto"/>
              </w:rPr>
              <w:t>The provision for (benefit from) income taxes consists of the following:</w:t>
            </w: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67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5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40" w:type="dxa"/>
            <w:vAlign w:val="bottom"/>
          </w:tcPr>
          <w:p>
            <w:pPr>
              <w:ind w:left="380"/>
              <w:spacing w:after="0"/>
              <w:rPr>
                <w:sz w:val="20"/>
                <w:szCs w:val="20"/>
                <w:color w:val="auto"/>
              </w:rPr>
            </w:pPr>
            <w:r>
              <w:rPr>
                <w:rFonts w:ascii="Arial" w:cs="Arial" w:eastAsia="Arial" w:hAnsi="Arial"/>
                <w:sz w:val="16"/>
                <w:szCs w:val="16"/>
                <w:color w:val="auto"/>
              </w:rPr>
              <w:t>Federal</w:t>
            </w:r>
          </w:p>
        </w:tc>
        <w:tc>
          <w:tcPr>
            <w:tcW w:w="572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1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5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64"/>
        </w:trPr>
        <w:tc>
          <w:tcPr>
            <w:tcW w:w="10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Foreign</w:t>
            </w:r>
          </w:p>
        </w:tc>
        <w:tc>
          <w:tcPr>
            <w:tcW w:w="57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57"/>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current provision</w:t>
            </w: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6"/>
                <w:szCs w:val="16"/>
                <w:color w:val="auto"/>
              </w:rPr>
              <w:t>Deferred</w:t>
            </w:r>
          </w:p>
        </w:tc>
        <w:tc>
          <w:tcPr>
            <w:tcW w:w="5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5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(22,184)</w:t>
            </w:r>
          </w:p>
        </w:tc>
        <w:tc>
          <w:tcPr>
            <w:tcW w:w="0" w:type="dxa"/>
            <w:vAlign w:val="bottom"/>
          </w:tcPr>
          <w:p>
            <w:pPr>
              <w:spacing w:after="0"/>
              <w:rPr>
                <w:sz w:val="1"/>
                <w:szCs w:val="1"/>
                <w:color w:val="auto"/>
              </w:rPr>
            </w:pPr>
          </w:p>
        </w:tc>
      </w:tr>
      <w:tr>
        <w:trPr>
          <w:trHeight w:val="260"/>
        </w:trPr>
        <w:tc>
          <w:tcPr>
            <w:tcW w:w="1040" w:type="dxa"/>
            <w:vAlign w:val="bottom"/>
          </w:tcPr>
          <w:p>
            <w:pPr>
              <w:ind w:left="380"/>
              <w:spacing w:after="0"/>
              <w:rPr>
                <w:sz w:val="20"/>
                <w:szCs w:val="20"/>
                <w:color w:val="auto"/>
              </w:rPr>
            </w:pPr>
            <w:r>
              <w:rPr>
                <w:rFonts w:ascii="Arial" w:cs="Arial" w:eastAsia="Arial" w:hAnsi="Arial"/>
                <w:sz w:val="16"/>
                <w:szCs w:val="16"/>
                <w:color w:val="auto"/>
              </w:rPr>
              <w:t>State</w:t>
            </w:r>
          </w:p>
        </w:tc>
        <w:tc>
          <w:tcPr>
            <w:tcW w:w="5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73"/>
        </w:trPr>
        <w:tc>
          <w:tcPr>
            <w:tcW w:w="1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57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tcPr>
          <w:p>
            <w:pPr>
              <w:ind w:left="720"/>
              <w:spacing w:after="0"/>
              <w:rPr>
                <w:sz w:val="20"/>
                <w:szCs w:val="20"/>
                <w:color w:val="auto"/>
              </w:rPr>
            </w:pPr>
            <w:r>
              <w:rPr>
                <w:rFonts w:ascii="Arial" w:cs="Arial" w:eastAsia="Arial" w:hAnsi="Arial"/>
                <w:sz w:val="16"/>
                <w:szCs w:val="16"/>
                <w:color w:val="auto"/>
              </w:rPr>
              <w:t>Total deferred provision (benefit)</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(22,599)</w:t>
            </w:r>
          </w:p>
        </w:tc>
        <w:tc>
          <w:tcPr>
            <w:tcW w:w="0" w:type="dxa"/>
            <w:vAlign w:val="bottom"/>
          </w:tcPr>
          <w:p>
            <w:pPr>
              <w:spacing w:after="0"/>
              <w:rPr>
                <w:sz w:val="1"/>
                <w:szCs w:val="1"/>
                <w:color w:val="auto"/>
              </w:rPr>
            </w:pPr>
          </w:p>
        </w:tc>
      </w:tr>
      <w:tr>
        <w:trPr>
          <w:trHeight w:val="240"/>
        </w:trPr>
        <w:tc>
          <w:tcPr>
            <w:tcW w:w="1040" w:type="dxa"/>
            <w:vAlign w:val="bottom"/>
            <w:tcBorders>
              <w:bottom w:val="single" w:sz="8" w:color="CCEEFF"/>
            </w:tcBorders>
            <w:shd w:val="clear" w:color="auto" w:fill="CCEEFF"/>
          </w:tcPr>
          <w:p>
            <w:pPr>
              <w:spacing w:after="0"/>
              <w:rPr>
                <w:sz w:val="20"/>
                <w:szCs w:val="20"/>
                <w:color w:val="auto"/>
              </w:rPr>
            </w:pPr>
          </w:p>
        </w:tc>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provision for (benefit from) income taxes</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181"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216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r>
      <w:tr>
        <w:trPr>
          <w:trHeight w:val="432"/>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statutory rate</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0"/>
        </w:trPr>
        <w:tc>
          <w:tcPr>
            <w:tcW w:w="7500" w:type="dxa"/>
            <w:vAlign w:val="bottom"/>
            <w:gridSpan w:val="2"/>
          </w:tcPr>
          <w:p>
            <w:pPr>
              <w:ind w:left="40"/>
              <w:spacing w:after="0"/>
              <w:rPr>
                <w:sz w:val="20"/>
                <w:szCs w:val="20"/>
                <w:color w:val="auto"/>
              </w:rPr>
            </w:pPr>
            <w:r>
              <w:rPr>
                <w:rFonts w:ascii="Arial" w:cs="Arial" w:eastAsia="Arial" w:hAnsi="Arial"/>
                <w:sz w:val="16"/>
                <w:szCs w:val="16"/>
                <w:color w:val="auto"/>
              </w:rPr>
              <w:t>State taxes</w:t>
            </w:r>
          </w:p>
        </w:tc>
        <w:tc>
          <w:tcPr>
            <w:tcW w:w="580" w:type="dxa"/>
            <w:vAlign w:val="bottom"/>
          </w:tcPr>
          <w:p>
            <w:pPr>
              <w:jc w:val="right"/>
              <w:ind w:right="15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1.4</w:t>
            </w:r>
          </w:p>
        </w:tc>
      </w:tr>
      <w:tr>
        <w:trPr>
          <w:trHeight w:val="280"/>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60"/>
        </w:trPr>
        <w:tc>
          <w:tcPr>
            <w:tcW w:w="7500" w:type="dxa"/>
            <w:vAlign w:val="bottom"/>
            <w:gridSpan w:val="2"/>
          </w:tcPr>
          <w:p>
            <w:pPr>
              <w:ind w:left="40"/>
              <w:spacing w:after="0"/>
              <w:rPr>
                <w:sz w:val="20"/>
                <w:szCs w:val="20"/>
                <w:color w:val="auto"/>
              </w:rPr>
            </w:pPr>
            <w:r>
              <w:rPr>
                <w:rFonts w:ascii="Arial" w:cs="Arial" w:eastAsia="Arial" w:hAnsi="Arial"/>
                <w:sz w:val="16"/>
                <w:szCs w:val="16"/>
                <w:color w:val="auto"/>
              </w:rPr>
              <w:t>Foreign source income</w:t>
            </w:r>
          </w:p>
        </w:tc>
        <w:tc>
          <w:tcPr>
            <w:tcW w:w="580" w:type="dxa"/>
            <w:vAlign w:val="bottom"/>
          </w:tcPr>
          <w:p>
            <w:pPr>
              <w:jc w:val="right"/>
              <w:ind w:right="15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3.9</w:t>
            </w:r>
          </w:p>
        </w:tc>
      </w:tr>
      <w:tr>
        <w:trPr>
          <w:trHeight w:val="280"/>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(270.5)</w:t>
            </w:r>
          </w:p>
        </w:tc>
      </w:tr>
      <w:tr>
        <w:trPr>
          <w:trHeight w:val="260"/>
        </w:trPr>
        <w:tc>
          <w:tcPr>
            <w:tcW w:w="7500" w:type="dxa"/>
            <w:vAlign w:val="bottom"/>
            <w:gridSpan w:val="2"/>
          </w:tcPr>
          <w:p>
            <w:pPr>
              <w:ind w:left="40"/>
              <w:spacing w:after="0"/>
              <w:rPr>
                <w:sz w:val="20"/>
                <w:szCs w:val="20"/>
                <w:color w:val="auto"/>
              </w:rPr>
            </w:pPr>
            <w:r>
              <w:rPr>
                <w:rFonts w:ascii="Arial" w:cs="Arial" w:eastAsia="Arial" w:hAnsi="Arial"/>
                <w:sz w:val="16"/>
                <w:szCs w:val="16"/>
                <w:color w:val="auto"/>
              </w:rPr>
              <w:t>Incremental federal rate benefit previously not recognized</w:t>
            </w:r>
          </w:p>
        </w:tc>
        <w:tc>
          <w:tcPr>
            <w:tcW w:w="1680" w:type="dxa"/>
            <w:vAlign w:val="bottom"/>
            <w:gridSpan w:val="3"/>
          </w:tcPr>
          <w:p>
            <w:pPr>
              <w:jc w:val="right"/>
              <w:ind w:right="125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(7.0)</w:t>
            </w:r>
          </w:p>
        </w:tc>
      </w:tr>
      <w:tr>
        <w:trPr>
          <w:trHeight w:val="280"/>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and state research and development credit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w:t>
            </w:r>
          </w:p>
        </w:tc>
      </w:tr>
      <w:tr>
        <w:trPr>
          <w:trHeight w:val="240"/>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35.3 %</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3"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9"/>
                <w:szCs w:val="19"/>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1,936</w:t>
            </w:r>
          </w:p>
        </w:tc>
      </w:tr>
      <w:tr>
        <w:trPr>
          <w:trHeight w:val="28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credit carryforwards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6,508</w:t>
            </w: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614</w:t>
            </w:r>
          </w:p>
        </w:tc>
      </w:tr>
      <w:tr>
        <w:trPr>
          <w:trHeight w:val="28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3,838</w:t>
            </w: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Deferred rent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142</w:t>
            </w:r>
          </w:p>
        </w:tc>
      </w:tr>
      <w:tr>
        <w:trPr>
          <w:trHeight w:val="28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12,513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8,301</w:t>
            </w:r>
          </w:p>
        </w:tc>
      </w:tr>
      <w:tr>
        <w:trPr>
          <w:trHeight w:val="273"/>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1,225</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1,396</w:t>
            </w:r>
          </w:p>
        </w:tc>
      </w:tr>
      <w:tr>
        <w:trPr>
          <w:trHeight w:val="247"/>
        </w:trPr>
        <w:tc>
          <w:tcPr>
            <w:tcW w:w="8360" w:type="dxa"/>
            <w:vAlign w:val="bottom"/>
          </w:tcPr>
          <w:p>
            <w:pPr>
              <w:ind w:left="720"/>
              <w:spacing w:after="0"/>
              <w:rPr>
                <w:sz w:val="20"/>
                <w:szCs w:val="20"/>
                <w:color w:val="auto"/>
              </w:rPr>
            </w:pPr>
            <w:r>
              <w:rPr>
                <w:rFonts w:ascii="Arial" w:cs="Arial" w:eastAsia="Arial" w:hAnsi="Arial"/>
                <w:sz w:val="16"/>
                <w:szCs w:val="16"/>
                <w:color w:val="auto"/>
              </w:rPr>
              <w:t>Gross deferred tax assets</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24,726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22,981</w:t>
            </w:r>
          </w:p>
        </w:tc>
      </w:tr>
      <w:tr>
        <w:trPr>
          <w:trHeight w:val="273"/>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(3,688)</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w:t>
            </w:r>
          </w:p>
        </w:tc>
      </w:tr>
      <w:tr>
        <w:trPr>
          <w:trHeight w:val="247"/>
        </w:trPr>
        <w:tc>
          <w:tcPr>
            <w:tcW w:w="836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21,038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19,678</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Fixed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(4,448)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(3,599)</w:t>
            </w:r>
          </w:p>
        </w:tc>
      </w:tr>
      <w:tr>
        <w:trPr>
          <w:trHeight w:val="273"/>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deferred tax liabilities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(4,448)</w:t>
            </w:r>
          </w:p>
        </w:tc>
        <w:tc>
          <w:tcPr>
            <w:tcW w:w="1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(3,599)</w:t>
            </w: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16,590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16,079</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Realization of deferred tax assets is dependent upon future earnings, if any, and the timing and amount of such assets are uncertain. Prior to the fourth quarter of 2014, the Company had provided a valuation allowance for its U.S. federal and state deferred tax assets that it believed were not more likely than not realizable. Management determined that the objective and verifiable negative evidence, such as relatively low U.S. operating income and uncertainty of sustaining or growing future operating profits, continued to outweigh positive evidence that would be necessary to reduce the valuation allowance.</w:t>
      </w:r>
    </w:p>
    <w:p>
      <w:pPr>
        <w:spacing w:after="0" w:line="152"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In the fourth quarter of 2014, the Company recorded a $23.7 million tax benefit for the recognition of its U.S. federal and certain state deferred tax assets, primarily due to the increased and expected sustainable profitability in its U.S. operations. In reaching this conclusion, management considered the Company's increasing realized profitability in the fourth quarter of 2014, forecasted future profitability, its ability to better absorb uncertainties in future profits, and the cumulative effect of changes in the macro-economic environment surrounding the IT security industry, which ultimately resulted in increased demand for its solutions.</w:t>
      </w:r>
    </w:p>
    <w:p>
      <w:pPr>
        <w:spacing w:after="0" w:line="15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Company believes it is more likely than not that its California deferred tax assets will not be realized because the income attributed to California is not expected to be sufficient to recognize these deferred tax assets. Accordingly, the Company continues to record the valuation allowance of $3.7 million as of December 31, 2016 for its California deferred tax assets. During the year ended December 31, 2016, the valuation allowance had increased by $0.4 million to $3.7 million.</w:t>
      </w:r>
    </w:p>
    <w:p>
      <w:pPr>
        <w:spacing w:after="0" w:line="15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At December 31, 2016, the Company had federal and state net operating loss carryforwards of approximately $31.5 million and $4.6 million respectively, available to reduce federal and state taxable income. The excess tax benefits included in net operating loss carryforwards but not reflected in deferred tax assets for federal is $29.0 million. The Company’s federal net operating losses expire in the years 2022 to 2034, and its state net operating losses expire from 2016 to 2033. Utilization of the Company’s net operating loss carryforwards may be subject to a substantial annual limitation due to the ownership change limitations provided by the Internal Revenue Code and similar state provisions. Such an annual limitation could result in the expiration of the net operating loss carryforwards before utilization. As of December 31, 2016, the Company had federal and state research and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development credits of $7.0 million and $6.7 million, respectively. Federal research and development credits expire in the years 2022 to 2036.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research and development credits do not expire.</w:t>
      </w:r>
    </w:p>
    <w:p>
      <w:pPr>
        <w:spacing w:after="0" w:line="171"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U.S. income taxes and foreign withholding taxes have not been provided on undistributed earnings for non-U.S. subsidiaries. The Company intends to continue to reinvest the earnings of these foreign subsidiaries indefinitely. The Company’s share of undistributed earnings of foreign subsidiaries that could be subject to additional U.S. income tax if remitted was approximately $11.0 million and $8.7 million as of December 31, 2016 and 2015, respectively. Determination of the amount of unrecognized deferred tax liability for temporary differences related to investments in these non-U.S. subsidiaries that are essentially permanent in duration is not practicable. If the undistributed earnings are remitted to the U.S. these amounts would be taxable in the U.S. at the current federal and state tax rates net of foreign tax credits. Also, depending on the jurisdiction any distribution would potentially be subject to withholding taxes at rates applicable to that jurisdiction.</w:t>
      </w:r>
    </w:p>
    <w:p>
      <w:pPr>
        <w:spacing w:after="0" w:line="15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evaluation of an unrecognized tax position is a two-step process. The first step requires the Company to determine whether it is more likely than not that a tax position will be sustained upon examination based on the technical merits of the position. The second step requires the Company to recognize in the financial statement each tax position that meets the more likely than not criteria, measured at the amount of benefit that has a greater than fifty percent likelihood of being realized.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47"/>
        </w:trPr>
        <w:tc>
          <w:tcPr>
            <w:tcW w:w="6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beginning balance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3,255</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Gross increase for tax positions of prior years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decrease for tax positions of prior years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Gross increase for tax positions of current year</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w:t>
            </w:r>
          </w:p>
        </w:tc>
      </w:tr>
      <w:tr>
        <w:trPr>
          <w:trHeight w:val="273"/>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Lapse of statute of limitations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40"/>
        </w:trPr>
        <w:tc>
          <w:tcPr>
            <w:tcW w:w="6760" w:type="dxa"/>
            <w:vAlign w:val="bottom"/>
          </w:tcPr>
          <w:p>
            <w:pPr>
              <w:ind w:left="380"/>
              <w:spacing w:after="0"/>
              <w:rPr>
                <w:sz w:val="20"/>
                <w:szCs w:val="20"/>
                <w:color w:val="auto"/>
              </w:rPr>
            </w:pPr>
            <w:r>
              <w:rPr>
                <w:rFonts w:ascii="Arial" w:cs="Arial" w:eastAsia="Arial" w:hAnsi="Arial"/>
                <w:sz w:val="16"/>
                <w:szCs w:val="16"/>
                <w:color w:val="auto"/>
              </w:rPr>
              <w:t>Total unrecognized tax benefits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3,330</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80" w:firstLine="405"/>
        <w:spacing w:after="0" w:line="262" w:lineRule="auto"/>
        <w:rPr>
          <w:sz w:val="20"/>
          <w:szCs w:val="20"/>
          <w:color w:val="auto"/>
        </w:rPr>
      </w:pPr>
      <w:r>
        <w:rPr>
          <w:rFonts w:ascii="Arial" w:cs="Arial" w:eastAsia="Arial" w:hAnsi="Arial"/>
          <w:sz w:val="18"/>
          <w:szCs w:val="18"/>
          <w:color w:val="auto"/>
        </w:rPr>
        <w:t>The unrecognized tax benefits, if recognized, would impact the income tax provision by $2.4 million, $2.1 million and $2.1 million as of December 31, 2016, 2015 and 2014, respectively.</w:t>
      </w:r>
    </w:p>
    <w:p>
      <w:pPr>
        <w:spacing w:after="0" w:line="156" w:lineRule="exact"/>
        <w:rPr>
          <w:sz w:val="20"/>
          <w:szCs w:val="20"/>
          <w:color w:val="auto"/>
        </w:rPr>
      </w:pPr>
    </w:p>
    <w:p>
      <w:pPr>
        <w:ind w:right="300" w:firstLine="405"/>
        <w:spacing w:after="0" w:line="262" w:lineRule="auto"/>
        <w:rPr>
          <w:sz w:val="20"/>
          <w:szCs w:val="20"/>
          <w:color w:val="auto"/>
        </w:rPr>
      </w:pPr>
      <w:r>
        <w:rPr>
          <w:rFonts w:ascii="Arial" w:cs="Arial" w:eastAsia="Arial" w:hAnsi="Arial"/>
          <w:sz w:val="18"/>
          <w:szCs w:val="18"/>
          <w:color w:val="auto"/>
        </w:rPr>
        <w:t xml:space="preserve">The Company has elected to include interest and penalties as a component of income tax expense. The amounts were not material for 2016, 2015 </w:t>
      </w:r>
      <w:r>
        <w:rPr>
          <w:rFonts w:ascii="Arial" w:cs="Arial" w:eastAsia="Arial" w:hAnsi="Arial"/>
          <w:sz w:val="18"/>
          <w:szCs w:val="18"/>
          <w:color w:val="231F20"/>
        </w:rPr>
        <w:t>and</w:t>
      </w:r>
      <w:r>
        <w:rPr>
          <w:rFonts w:ascii="Arial" w:cs="Arial" w:eastAsia="Arial" w:hAnsi="Arial"/>
          <w:sz w:val="18"/>
          <w:szCs w:val="18"/>
          <w:color w:val="auto"/>
        </w:rPr>
        <w:t xml:space="preserve"> 2014.</w:t>
      </w:r>
    </w:p>
    <w:p>
      <w:pPr>
        <w:spacing w:after="0" w:line="142" w:lineRule="exact"/>
        <w:rPr>
          <w:sz w:val="20"/>
          <w:szCs w:val="20"/>
          <w:color w:val="auto"/>
        </w:rPr>
      </w:pPr>
    </w:p>
    <w:p>
      <w:pPr>
        <w:ind w:right="320" w:firstLine="405"/>
        <w:spacing w:after="0" w:line="254"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2011 to 2016 remain open to examination by the major taxing jurisdictions in which the Company is subject to tax, with the exception of France which remains open to examination for the 2012 through 2015 tax years only. As of December 31, 2016, the Company was not under examination by the Internal Revenue Service or any state tax jurisdictions.</w:t>
      </w:r>
    </w:p>
    <w:p>
      <w:pPr>
        <w:spacing w:after="0" w:line="15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A retroactive and permanent reinstatement of the federal research and development tax credit was signed into law on December 18, 2015 in accordance with the Protecting Americans from Tax Hikes Act of 2015. The Company recorded a 2016 federal research and development credit of $ 0.7 million, net of reserves, in the fourth quarter of 2016. The California research and development credit estimated for 2016, net of reserves, is $0.6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Segment Information and Information about Geographic Area</w:t>
      </w:r>
    </w:p>
    <w:p>
      <w:pPr>
        <w:spacing w:after="0" w:line="26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47"/>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139,743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115,384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93,425</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58,182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48,900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40,154</w:t>
            </w:r>
          </w:p>
        </w:tc>
      </w:tr>
      <w:tr>
        <w:trPr>
          <w:trHeight w:val="24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197,925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164,284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9"/>
                <w:szCs w:val="19"/>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30,733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25,623</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5,706</w:t>
            </w: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31,329</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NOTE 10.</w:t>
            </w:r>
          </w:p>
        </w:tc>
        <w:tc>
          <w:tcPr>
            <w:tcW w:w="5600" w:type="dxa"/>
            <w:vAlign w:val="bottom"/>
          </w:tcPr>
          <w:p>
            <w:pPr>
              <w:ind w:left="14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760" w:type="dxa"/>
            <w:vAlign w:val="bottom"/>
            <w:gridSpan w:val="2"/>
          </w:tcPr>
          <w:p>
            <w:pPr>
              <w:ind w:left="420"/>
              <w:spacing w:after="0"/>
              <w:rPr>
                <w:sz w:val="20"/>
                <w:szCs w:val="20"/>
                <w:color w:val="auto"/>
              </w:rPr>
            </w:pPr>
            <w:r>
              <w:rPr>
                <w:rFonts w:ascii="Arial" w:cs="Arial" w:eastAsia="Arial" w:hAnsi="Arial"/>
                <w:sz w:val="18"/>
                <w:szCs w:val="18"/>
                <w:color w:val="231F20"/>
              </w:rPr>
              <w:t>The computations for basic and diluted net income per share are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47"/>
        </w:trPr>
        <w:tc>
          <w:tcPr>
            <w:tcW w:w="116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20" w:type="dxa"/>
            <w:vAlign w:val="bottom"/>
            <w:gridSpan w:val="7"/>
          </w:tcPr>
          <w:p>
            <w:pPr>
              <w:jc w:val="center"/>
              <w:ind w:right="239"/>
              <w:spacing w:after="0"/>
              <w:rPr>
                <w:sz w:val="20"/>
                <w:szCs w:val="20"/>
                <w:color w:val="auto"/>
              </w:rPr>
            </w:pPr>
            <w:r>
              <w:rPr>
                <w:rFonts w:ascii="Arial" w:cs="Arial" w:eastAsia="Arial" w:hAnsi="Arial"/>
                <w:sz w:val="16"/>
                <w:szCs w:val="16"/>
                <w:b w:val="1"/>
                <w:bCs w:val="1"/>
                <w:color w:val="auto"/>
              </w:rPr>
              <w:t>(in thousands, except per share data)</w:t>
            </w:r>
          </w:p>
        </w:tc>
        <w:tc>
          <w:tcPr>
            <w:tcW w:w="0" w:type="dxa"/>
            <w:vAlign w:val="bottom"/>
          </w:tcPr>
          <w:p>
            <w:pPr>
              <w:spacing w:after="0"/>
              <w:rPr>
                <w:sz w:val="1"/>
                <w:szCs w:val="1"/>
                <w:color w:val="auto"/>
              </w:rPr>
            </w:pPr>
          </w:p>
        </w:tc>
      </w:tr>
      <w:tr>
        <w:trPr>
          <w:trHeight w:val="28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 basic and diluted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19,224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15,865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30,244</w:t>
            </w:r>
          </w:p>
        </w:tc>
        <w:tc>
          <w:tcPr>
            <w:tcW w:w="0" w:type="dxa"/>
            <w:vAlign w:val="bottom"/>
          </w:tcPr>
          <w:p>
            <w:pPr>
              <w:spacing w:after="0"/>
              <w:rPr>
                <w:sz w:val="1"/>
                <w:szCs w:val="1"/>
                <w:color w:val="auto"/>
              </w:rPr>
            </w:pPr>
          </w:p>
        </w:tc>
      </w:tr>
      <w:tr>
        <w:trPr>
          <w:trHeight w:val="308"/>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16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5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 basic</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32,979</w:t>
            </w:r>
          </w:p>
        </w:tc>
        <w:tc>
          <w:tcPr>
            <w:tcW w:w="0" w:type="dxa"/>
            <w:vAlign w:val="bottom"/>
          </w:tcPr>
          <w:p>
            <w:pPr>
              <w:spacing w:after="0"/>
              <w:rPr>
                <w:sz w:val="1"/>
                <w:szCs w:val="1"/>
                <w:color w:val="auto"/>
              </w:rPr>
            </w:pPr>
          </w:p>
        </w:tc>
      </w:tr>
      <w:tr>
        <w:trPr>
          <w:trHeight w:val="260"/>
        </w:trPr>
        <w:tc>
          <w:tcPr>
            <w:tcW w:w="6760" w:type="dxa"/>
            <w:vAlign w:val="bottom"/>
            <w:gridSpan w:val="2"/>
          </w:tcPr>
          <w:p>
            <w:pPr>
              <w:ind w:left="36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264"/>
        </w:trPr>
        <w:tc>
          <w:tcPr>
            <w:tcW w:w="1160" w:type="dxa"/>
            <w:vAlign w:val="bottom"/>
          </w:tcPr>
          <w:p>
            <w:pPr>
              <w:ind w:left="600"/>
              <w:spacing w:after="0"/>
              <w:rPr>
                <w:sz w:val="20"/>
                <w:szCs w:val="20"/>
                <w:color w:val="auto"/>
              </w:rPr>
            </w:pPr>
            <w:r>
              <w:rPr>
                <w:rFonts w:ascii="Arial" w:cs="Arial" w:eastAsia="Arial" w:hAnsi="Arial"/>
                <w:sz w:val="16"/>
                <w:szCs w:val="16"/>
                <w:color w:val="auto"/>
              </w:rPr>
              <w:t>RSUs</w:t>
            </w:r>
          </w:p>
        </w:tc>
        <w:tc>
          <w:tcPr>
            <w:tcW w:w="5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7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 diluted</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38,184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37,170</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5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tcPr>
          <w:p>
            <w:pPr>
              <w:ind w:left="360"/>
              <w:spacing w:after="0"/>
              <w:rPr>
                <w:sz w:val="20"/>
                <w:szCs w:val="20"/>
                <w:color w:val="auto"/>
              </w:rPr>
            </w:pPr>
            <w:r>
              <w:rPr>
                <w:rFonts w:ascii="Arial" w:cs="Arial" w:eastAsia="Arial" w:hAnsi="Arial"/>
                <w:sz w:val="16"/>
                <w:szCs w:val="16"/>
                <w:color w:val="auto"/>
              </w:rPr>
              <w:t>Diluted</w:t>
            </w:r>
          </w:p>
        </w:tc>
        <w:tc>
          <w:tcPr>
            <w:tcW w:w="56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333"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52"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9"/>
                <w:szCs w:val="19"/>
                <w:color w:val="auto"/>
              </w:rPr>
            </w:pPr>
          </w:p>
        </w:tc>
        <w:tc>
          <w:tcPr>
            <w:tcW w:w="1780" w:type="dxa"/>
            <w:vAlign w:val="bottom"/>
          </w:tcPr>
          <w:p>
            <w:pPr>
              <w:jc w:val="right"/>
              <w:ind w:right="759"/>
              <w:spacing w:after="0"/>
              <w:rPr>
                <w:sz w:val="20"/>
                <w:szCs w:val="20"/>
                <w:color w:val="auto"/>
              </w:rPr>
            </w:pPr>
            <w:r>
              <w:rPr>
                <w:rFonts w:ascii="Arial" w:cs="Arial" w:eastAsia="Arial" w:hAnsi="Arial"/>
                <w:sz w:val="16"/>
                <w:szCs w:val="16"/>
                <w:b w:val="1"/>
                <w:bCs w:val="1"/>
                <w:color w:val="auto"/>
              </w:rPr>
              <w:t>2015</w:t>
            </w: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47"/>
        </w:trPr>
        <w:tc>
          <w:tcPr>
            <w:tcW w:w="676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Borders>
              <w:top w:val="single" w:sz="8" w:color="auto"/>
            </w:tcBorders>
          </w:tcPr>
          <w:p>
            <w:pPr>
              <w:spacing w:after="0"/>
              <w:rPr>
                <w:sz w:val="21"/>
                <w:szCs w:val="21"/>
                <w:color w:val="auto"/>
              </w:rPr>
            </w:pP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3,241</w:t>
            </w: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1,582</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1,689</w:t>
            </w:r>
          </w:p>
        </w:tc>
      </w:tr>
      <w:tr>
        <w:trPr>
          <w:trHeight w:val="251"/>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RSUs</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3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Quarterly Financial Information (Unaudited)</w:t>
      </w:r>
    </w:p>
    <w:p>
      <w:pPr>
        <w:spacing w:after="0" w:line="261"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The following table sets forth unaudited consolidated statements of operations data for each of the quarters in the two-year period ended December 31, 2016. The unaudited quarterly consolidated statements of operations data set forth below have been prepared on the same basis as the audited consolidated financial statements included elsewhere in this Annual Report on Form 10-K and, in the opinion of management, reflect all necessary adjustments, which consist only of normal recurring adjustments, necessary for a fair presentation of such data. Historical results are not necessarily indicative of the results for the full year or any other period. This data should be read together with the consolidated financial statements and the related notes included elsewhere in this Annual Report on Form 10-K.</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 31,</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 31,</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 30,</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 30, 2015</w:t>
            </w: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 31, 2015</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 30, 2016</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 31, 2016</w:t>
            </w:r>
          </w:p>
        </w:tc>
        <w:tc>
          <w:tcPr>
            <w:tcW w:w="0" w:type="dxa"/>
            <w:vAlign w:val="bottom"/>
          </w:tcPr>
          <w:p>
            <w:pPr>
              <w:spacing w:after="0"/>
              <w:rPr>
                <w:sz w:val="1"/>
                <w:szCs w:val="1"/>
                <w:color w:val="auto"/>
              </w:rPr>
            </w:pPr>
          </w:p>
        </w:tc>
      </w:tr>
      <w:tr>
        <w:trPr>
          <w:trHeight w:val="204"/>
        </w:trPr>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9"/>
          </w:tcPr>
          <w:p>
            <w:pPr>
              <w:jc w:val="center"/>
              <w:ind w:left="528"/>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42,469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46,248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52,224</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8,762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10,092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11,677</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33,707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36,832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39,699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40,547</w:t>
            </w:r>
          </w:p>
        </w:tc>
        <w:tc>
          <w:tcPr>
            <w:tcW w:w="0" w:type="dxa"/>
            <w:vAlign w:val="bottom"/>
          </w:tcPr>
          <w:p>
            <w:pPr>
              <w:spacing w:after="0"/>
              <w:rPr>
                <w:sz w:val="1"/>
                <w:szCs w:val="1"/>
                <w:color w:val="auto"/>
              </w:rPr>
            </w:pP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7,834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8,885</w:t>
            </w:r>
          </w:p>
        </w:tc>
        <w:tc>
          <w:tcPr>
            <w:tcW w:w="0" w:type="dxa"/>
            <w:vAlign w:val="bottom"/>
          </w:tcPr>
          <w:p>
            <w:pPr>
              <w:spacing w:after="0"/>
              <w:rPr>
                <w:sz w:val="1"/>
                <w:szCs w:val="1"/>
                <w:color w:val="auto"/>
              </w:rPr>
            </w:pPr>
          </w:p>
        </w:tc>
      </w:tr>
      <w:tr>
        <w:trPr>
          <w:trHeight w:val="264"/>
        </w:trPr>
        <w:tc>
          <w:tcPr>
            <w:tcW w:w="240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11,443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12,282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13,068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13,933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14,451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14,240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15,346</w:t>
            </w: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7,468</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9,068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7,505</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24,609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26,408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26,829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27,747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29,235</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31,712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31,736</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8,811</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8,695</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5,907</w:t>
            </w:r>
          </w:p>
        </w:tc>
        <w:tc>
          <w:tcPr>
            <w:tcW w:w="0" w:type="dxa"/>
            <w:vAlign w:val="bottom"/>
          </w:tcPr>
          <w:p>
            <w:pPr>
              <w:spacing w:after="0"/>
              <w:rPr>
                <w:sz w:val="1"/>
                <w:szCs w:val="1"/>
                <w:color w:val="auto"/>
              </w:rPr>
            </w:pPr>
          </w:p>
        </w:tc>
      </w:tr>
      <w:tr>
        <w:trPr>
          <w:trHeight w:val="20"/>
        </w:trPr>
        <w:tc>
          <w:tcPr>
            <w:tcW w:w="240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4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0" w:type="dxa"/>
            <w:vAlign w:val="bottom"/>
          </w:tcPr>
          <w:p>
            <w:pPr>
              <w:ind w:left="36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3"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ind w:right="160" w:firstLine="405"/>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2016, our Chief Executive Officer and Chief Financial Officer concluded that, as of such date, our disclosure controls and procedures were effective at the reasonable assurance level.</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or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2016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2016.</w:t>
      </w:r>
    </w:p>
    <w:p>
      <w:pPr>
        <w:spacing w:after="0" w:line="206"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effectiveness of the Company's internal control over financial reporting as of December 31, 2016 has been audited by Grant Thornton LLP, an independent registered public accounting firm, as stated in its report, which is included in Item 8 of this Annual Report on Form 10-K.</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41" w:right="25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2016 that has materially affected, or is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141" w:right="29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31F20"/>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2017 Annual Meeting of Stockholders to be filed with the SEC within 120 days after the end of the fiscal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34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336" w:lineRule="exact"/>
        <w:rPr>
          <w:sz w:val="20"/>
          <w:szCs w:val="20"/>
          <w:color w:val="auto"/>
        </w:rPr>
      </w:pPr>
    </w:p>
    <w:p>
      <w:pPr>
        <w:ind w:left="40" w:right="2400" w:firstLine="1040"/>
        <w:spacing w:after="0" w:line="271"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Item 12.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ind w:firstLine="405"/>
        <w:spacing w:after="0" w:line="250" w:lineRule="auto"/>
        <w:rPr>
          <w:sz w:val="20"/>
          <w:szCs w:val="20"/>
          <w:color w:val="auto"/>
        </w:rPr>
      </w:pPr>
      <w:r>
        <w:rPr>
          <w:rFonts w:ascii="Arial" w:cs="Arial" w:eastAsia="Arial" w:hAnsi="Arial"/>
          <w:sz w:val="18"/>
          <w:szCs w:val="18"/>
          <w:color w:val="auto"/>
        </w:rPr>
        <w:t>The information required by this item with respect to Item 403 of Regulation S-K regarding security ownership of certain beneficial owners and management is incorporated by reference to our Proxy Statement for our 2017 Annual Meeting of Stockholders to be filed with the SEC within 120 days after the end of the fiscal year ended December 31, 2016. For the information required by this item with respect to</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Item 201(d) of Regulation S-K regarding securities authorized for issuance under equity compensation plans, see “Item 5: Market for Registrant’s Common Equity, Related Stockholder Matters and Issuer Purchases of Equity Securities—Securities Authorized for Issuance under Equity Compensation Plans.”</w:t>
      </w:r>
    </w:p>
    <w:p>
      <w:pPr>
        <w:spacing w:after="0" w:line="34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33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240" w:top="141" w:right="31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IV</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SCHEDULE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SUPPLEMENTARY CONSOLIDATED FINANCIAL STATEMENT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Additions</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8"/>
        </w:trPr>
        <w:tc>
          <w:tcPr>
            <w:tcW w:w="3340" w:type="dxa"/>
            <w:vAlign w:val="bottom"/>
          </w:tcPr>
          <w:p>
            <w:pPr>
              <w:spacing w:after="0"/>
              <w:rPr>
                <w:sz w:val="17"/>
                <w:szCs w:val="17"/>
                <w:color w:val="auto"/>
              </w:rPr>
            </w:pPr>
          </w:p>
        </w:tc>
        <w:tc>
          <w:tcPr>
            <w:tcW w:w="2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Balance at Beginning of</w:t>
            </w: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rPr>
              <w:t>Charged to Costs and</w:t>
            </w: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Pr>
          <w:p>
            <w:pPr>
              <w:spacing w:after="0"/>
              <w:rPr>
                <w:sz w:val="20"/>
                <w:szCs w:val="20"/>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rPr>
              <w:t>Expenses</w:t>
            </w:r>
          </w:p>
        </w:tc>
        <w:tc>
          <w:tcPr>
            <w:tcW w:w="2140" w:type="dxa"/>
            <w:vAlign w:val="bottom"/>
            <w:gridSpan w:val="3"/>
          </w:tcPr>
          <w:p>
            <w:pPr>
              <w:ind w:left="140"/>
              <w:spacing w:after="0" w:line="234" w:lineRule="exact"/>
              <w:rPr>
                <w:sz w:val="20"/>
                <w:szCs w:val="20"/>
                <w:color w:val="auto"/>
              </w:rPr>
            </w:pPr>
            <w:r>
              <w:rPr>
                <w:rFonts w:ascii="Arial" w:cs="Arial" w:eastAsia="Arial" w:hAnsi="Arial"/>
                <w:sz w:val="16"/>
                <w:szCs w:val="16"/>
                <w:b w:val="1"/>
                <w:bCs w:val="1"/>
                <w:color w:val="auto"/>
              </w:rPr>
              <w:t xml:space="preserve">Deductions and Other </w:t>
            </w:r>
            <w:r>
              <w:rPr>
                <w:rFonts w:ascii="Arial" w:cs="Arial" w:eastAsia="Arial" w:hAnsi="Arial"/>
                <w:sz w:val="21"/>
                <w:szCs w:val="21"/>
                <w:b w:val="1"/>
                <w:bCs w:val="1"/>
                <w:color w:val="auto"/>
                <w:vertAlign w:val="superscript"/>
              </w:rPr>
              <w:t>(1)</w:t>
            </w:r>
          </w:p>
        </w:tc>
        <w:tc>
          <w:tcPr>
            <w:tcW w:w="19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Balance at End of Year</w:t>
            </w:r>
          </w:p>
        </w:tc>
      </w:tr>
      <w:tr>
        <w:trPr>
          <w:trHeight w:val="264"/>
        </w:trPr>
        <w:tc>
          <w:tcPr>
            <w:tcW w:w="3340" w:type="dxa"/>
            <w:vAlign w:val="bottom"/>
            <w:tcBorders>
              <w:top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Allowance for Doubtful Accounts</w:t>
            </w:r>
          </w:p>
        </w:tc>
        <w:tc>
          <w:tcPr>
            <w:tcW w:w="46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r>
      <w:tr>
        <w:trPr>
          <w:trHeight w:val="260"/>
        </w:trPr>
        <w:tc>
          <w:tcPr>
            <w:tcW w:w="3340" w:type="dxa"/>
            <w:vAlign w:val="bottom"/>
          </w:tcPr>
          <w:p>
            <w:pPr>
              <w:jc w:val="right"/>
              <w:ind w:right="679"/>
              <w:spacing w:after="0"/>
              <w:rPr>
                <w:sz w:val="20"/>
                <w:szCs w:val="20"/>
                <w:color w:val="auto"/>
              </w:rPr>
            </w:pPr>
            <w:r>
              <w:rPr>
                <w:rFonts w:ascii="Arial" w:cs="Arial" w:eastAsia="Arial" w:hAnsi="Arial"/>
                <w:sz w:val="16"/>
                <w:szCs w:val="16"/>
                <w:color w:val="auto"/>
              </w:rPr>
              <w:t>Year Ended December 31, 2016</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920" w:type="dxa"/>
            <w:vAlign w:val="bottom"/>
          </w:tcPr>
          <w:p>
            <w:pPr>
              <w:ind w:lef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2"/>
                <w:szCs w:val="22"/>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702</w:t>
            </w:r>
          </w:p>
        </w:tc>
      </w:tr>
      <w:tr>
        <w:trPr>
          <w:trHeight w:val="280"/>
        </w:trPr>
        <w:tc>
          <w:tcPr>
            <w:tcW w:w="334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Year Ended December 31, 2015</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r>
      <w:tr>
        <w:trPr>
          <w:trHeight w:val="251"/>
        </w:trPr>
        <w:tc>
          <w:tcPr>
            <w:tcW w:w="3340" w:type="dxa"/>
            <w:vAlign w:val="bottom"/>
          </w:tcPr>
          <w:p>
            <w:pPr>
              <w:jc w:val="right"/>
              <w:ind w:right="679"/>
              <w:spacing w:after="0"/>
              <w:rPr>
                <w:sz w:val="20"/>
                <w:szCs w:val="20"/>
                <w:color w:val="auto"/>
              </w:rPr>
            </w:pPr>
            <w:r>
              <w:rPr>
                <w:rFonts w:ascii="Arial" w:cs="Arial" w:eastAsia="Arial" w:hAnsi="Arial"/>
                <w:sz w:val="16"/>
                <w:szCs w:val="16"/>
                <w:color w:val="auto"/>
              </w:rPr>
              <w:t>Year Ended December 31, 2014</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470</w:t>
            </w:r>
          </w:p>
        </w:tc>
        <w:tc>
          <w:tcPr>
            <w:tcW w:w="920" w:type="dxa"/>
            <w:vAlign w:val="bottom"/>
          </w:tcPr>
          <w:p>
            <w:pPr>
              <w:ind w:lef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1"/>
                <w:szCs w:val="21"/>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590</w:t>
            </w:r>
          </w:p>
        </w:tc>
      </w:tr>
    </w:tbl>
    <w:p>
      <w:pPr>
        <w:spacing w:after="0" w:line="204"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Primarily represents write-offs of uncollectible accounts, net of recoveries.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The exhibits listed on the Exhibit Index (following the Signatures section of this report) are included, or incorporated by reference, in this Annual Report on Form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41"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SIGNATURES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r>
        <w:rPr>
          <w:rFonts w:ascii="Arial" w:cs="Arial" w:eastAsia="Arial" w:hAnsi="Arial"/>
          <w:sz w:val="18"/>
          <w:szCs w:val="18"/>
          <w:color w:val="231F20"/>
        </w:rPr>
        <w:t>, in the City of Redwood City, State of California</w:t>
      </w:r>
      <w:r>
        <w:rPr>
          <w:rFonts w:ascii="Arial" w:cs="Arial" w:eastAsia="Arial" w:hAnsi="Arial"/>
          <w:sz w:val="18"/>
          <w:szCs w:val="18"/>
          <w:color w:val="auto"/>
        </w:rPr>
        <w:t xml:space="preserve"> </w:t>
      </w:r>
      <w:r>
        <w:rPr>
          <w:rFonts w:ascii="Arial" w:cs="Arial" w:eastAsia="Arial" w:hAnsi="Arial"/>
          <w:sz w:val="18"/>
          <w:szCs w:val="18"/>
          <w:color w:val="231F20"/>
        </w:rPr>
        <w:t xml:space="preserve">on </w:t>
      </w:r>
      <w:r>
        <w:rPr>
          <w:rFonts w:ascii="Arial" w:cs="Arial" w:eastAsia="Arial" w:hAnsi="Arial"/>
          <w:sz w:val="18"/>
          <w:szCs w:val="18"/>
          <w:color w:val="000000"/>
        </w:rPr>
        <w:t>February 24, 2017.</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5700"/>
        <w:spacing w:after="0"/>
        <w:tabs>
          <w:tab w:leader="none" w:pos="6300" w:val="left"/>
        </w:tabs>
        <w:rPr>
          <w:sz w:val="20"/>
          <w:szCs w:val="20"/>
          <w:color w:val="auto"/>
        </w:rPr>
      </w:pPr>
      <w:r>
        <w:rPr>
          <w:rFonts w:ascii="Arial" w:cs="Arial" w:eastAsia="Arial" w:hAnsi="Arial"/>
          <w:sz w:val="14"/>
          <w:szCs w:val="14"/>
          <w:b w:val="1"/>
          <w:bCs w:val="1"/>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Philippe F. Courtot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right="500" w:firstLine="405"/>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400"/>
          </w:cols>
          <w:pgMar w:left="240" w:top="141" w:right="259" w:bottom="1440" w:gutter="0" w:footer="0" w:header="0"/>
        </w:sectPr>
      </w:pPr>
    </w:p>
    <w:p>
      <w:pPr>
        <w:spacing w:after="0" w:line="372" w:lineRule="exact"/>
        <w:rPr>
          <w:sz w:val="20"/>
          <w:szCs w:val="20"/>
          <w:color w:val="auto"/>
        </w:rPr>
      </w:pPr>
    </w:p>
    <w:p>
      <w:pPr>
        <w:jc w:val="right"/>
        <w:ind w:right="1500"/>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SANDRA E.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Bergeron</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DONALD R.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R. Dixon</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JEFFREY P. 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Hank</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TODD P. HEADLEY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P. Headley</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GENERAL PETER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Peter Pace</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KRISTI 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 M. Rogers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HOWARD A.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Howard A. Schmidt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2140" w:type="dxa"/>
            <w:vAlign w:val="bottom"/>
            <w:gridSpan w:val="3"/>
          </w:tcPr>
          <w:p>
            <w:pPr>
              <w:ind w:left="880"/>
              <w:spacing w:after="0"/>
              <w:rPr>
                <w:sz w:val="20"/>
                <w:szCs w:val="20"/>
                <w:color w:val="auto"/>
              </w:rPr>
            </w:pPr>
            <w:r>
              <w:rPr>
                <w:rFonts w:ascii="Arial" w:cs="Arial" w:eastAsia="Arial" w:hAnsi="Arial"/>
                <w:sz w:val="18"/>
                <w:szCs w:val="18"/>
                <w:color w:val="auto"/>
              </w:rPr>
              <w:t>Date</w:t>
            </w:r>
          </w:p>
        </w:tc>
      </w:tr>
      <w:tr>
        <w:trPr>
          <w:trHeight w:val="20"/>
        </w:trPr>
        <w:tc>
          <w:tcPr>
            <w:tcW w:w="2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87"/>
        </w:trPr>
        <w:tc>
          <w:tcPr>
            <w:tcW w:w="4540" w:type="dxa"/>
            <w:vAlign w:val="bottom"/>
            <w:gridSpan w:val="3"/>
          </w:tcPr>
          <w:p>
            <w:pPr>
              <w:spacing w:after="0"/>
              <w:rPr>
                <w:sz w:val="20"/>
                <w:szCs w:val="20"/>
                <w:color w:val="auto"/>
              </w:rPr>
            </w:pPr>
            <w:r>
              <w:rPr>
                <w:rFonts w:ascii="Arial" w:cs="Arial" w:eastAsia="Arial" w:hAnsi="Arial"/>
                <w:sz w:val="18"/>
                <w:szCs w:val="18"/>
                <w:color w:val="auto"/>
              </w:rPr>
              <w:t>Chairman, President and Chief Executive Officer</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45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r>
        <w:trPr>
          <w:trHeight w:val="836"/>
        </w:trPr>
        <w:tc>
          <w:tcPr>
            <w:tcW w:w="454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and</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454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r>
        <w:trPr>
          <w:trHeight w:val="864"/>
        </w:trPr>
        <w:tc>
          <w:tcPr>
            <w:tcW w:w="45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ind w:left="660"/>
              <w:spacing w:after="0"/>
              <w:rPr>
                <w:sz w:val="20"/>
                <w:szCs w:val="20"/>
                <w:color w:val="auto"/>
              </w:rPr>
            </w:pPr>
            <w:r>
              <w:rPr>
                <w:rFonts w:ascii="Arial" w:cs="Arial" w:eastAsia="Arial" w:hAnsi="Arial"/>
                <w:sz w:val="18"/>
                <w:szCs w:val="18"/>
                <w:color w:val="auto"/>
                <w:w w:val="99"/>
              </w:rPr>
              <w:t>February 24, 2017</w:t>
            </w:r>
          </w:p>
        </w:tc>
      </w:tr>
    </w:tbl>
    <w:p>
      <w:pPr>
        <w:spacing w:after="0" w:line="460" w:lineRule="exact"/>
        <w:rPr>
          <w:sz w:val="20"/>
          <w:szCs w:val="20"/>
          <w:color w:val="auto"/>
        </w:rPr>
      </w:pPr>
    </w:p>
    <w:p>
      <w:pPr>
        <w:sectPr>
          <w:pgSz w:w="11900" w:h="16838" w:orient="portrait"/>
          <w:cols w:equalWidth="0" w:num="2">
            <w:col w:w="4000" w:space="720"/>
            <w:col w:w="6680"/>
          </w:cols>
          <w:pgMar w:left="240" w:top="141" w:right="259" w:bottom="1440" w:gutter="0" w:footer="0" w:header="0"/>
          <w:type w:val="continuous"/>
        </w:sect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00"/>
          </w:cols>
          <w:pgMar w:left="240" w:top="141" w:right="259" w:bottom="1440" w:gutter="0" w:footer="0" w:header="0"/>
          <w:type w:val="continuous"/>
        </w:sectPr>
      </w:pPr>
    </w:p>
    <w:bookmarkStart w:id="91" w:name="page92"/>
    <w:bookmarkEnd w:id="9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300"/>
          </w:cols>
          <w:pgMar w:left="24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Exhibit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Number</w:t>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3.1</w:t>
      </w:r>
    </w:p>
    <w:p>
      <w:pPr>
        <w:spacing w:after="0" w:line="39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3.2</w:t>
      </w:r>
    </w:p>
    <w:p>
      <w:pPr>
        <w:spacing w:after="0" w:line="39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4.1</w:t>
      </w:r>
    </w:p>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4.2</w:t>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10.1*</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10.2*</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10.3*</w:t>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10.4*</w:t>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10.5*</w:t>
      </w: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10.6*</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10.7*</w:t>
      </w:r>
    </w:p>
    <w:p>
      <w:pPr>
        <w:spacing w:after="0" w:line="35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10.8*</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10.9</w:t>
      </w: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3"/>
          <w:szCs w:val="13"/>
          <w:color w:val="auto"/>
        </w:rPr>
        <w:t>10.10</w:t>
      </w:r>
    </w:p>
    <w:p>
      <w:pPr>
        <w:spacing w:after="0" w:line="200" w:lineRule="exact"/>
        <w:rPr>
          <w:sz w:val="20"/>
          <w:szCs w:val="20"/>
          <w:color w:val="auto"/>
        </w:rPr>
      </w:pPr>
    </w:p>
    <w:p>
      <w:pPr>
        <w:spacing w:after="0" w:line="21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10.11*</w:t>
      </w:r>
    </w:p>
    <w:p>
      <w:pPr>
        <w:spacing w:after="0" w:line="39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10.12*</w:t>
      </w:r>
    </w:p>
    <w:p>
      <w:pPr>
        <w:spacing w:after="0" w:line="39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10.13*</w:t>
      </w:r>
    </w:p>
    <w:p>
      <w:pPr>
        <w:spacing w:after="0" w:line="39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10.14*†</w:t>
      </w: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3"/>
          <w:szCs w:val="13"/>
          <w:color w:val="auto"/>
        </w:rPr>
        <w:t>10.15</w:t>
      </w: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10.16†</w:t>
      </w: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10.17†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700" w:type="dxa"/>
            <w:vAlign w:val="bottom"/>
            <w:gridSpan w:val="2"/>
          </w:tcPr>
          <w:p>
            <w:pPr>
              <w:ind w:left="1200"/>
              <w:spacing w:after="0"/>
              <w:rPr>
                <w:sz w:val="20"/>
                <w:szCs w:val="20"/>
                <w:color w:val="auto"/>
              </w:rPr>
            </w:pPr>
            <w:r>
              <w:rPr>
                <w:rFonts w:ascii="Arial" w:cs="Arial" w:eastAsia="Arial" w:hAnsi="Arial"/>
                <w:sz w:val="13"/>
                <w:szCs w:val="13"/>
                <w:color w:val="auto"/>
                <w:w w:val="96"/>
              </w:rPr>
              <w:t>Incorporated by Reference</w:t>
            </w: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0"/>
        </w:trPr>
        <w:tc>
          <w:tcPr>
            <w:tcW w:w="4420" w:type="dxa"/>
            <w:vAlign w:val="bottom"/>
          </w:tcPr>
          <w:p>
            <w:pPr>
              <w:spacing w:after="0"/>
              <w:rPr>
                <w:sz w:val="20"/>
                <w:szCs w:val="20"/>
                <w:color w:val="auto"/>
              </w:rPr>
            </w:pPr>
            <w:r>
              <w:rPr>
                <w:rFonts w:ascii="Arial" w:cs="Arial" w:eastAsia="Arial" w:hAnsi="Arial"/>
                <w:sz w:val="13"/>
                <w:szCs w:val="13"/>
                <w:color w:val="auto"/>
              </w:rPr>
              <w:t>Description</w:t>
            </w:r>
          </w:p>
        </w:tc>
        <w:tc>
          <w:tcPr>
            <w:tcW w:w="920" w:type="dxa"/>
            <w:vAlign w:val="bottom"/>
          </w:tcPr>
          <w:p>
            <w:pPr>
              <w:ind w:left="60"/>
              <w:spacing w:after="0"/>
              <w:rPr>
                <w:sz w:val="20"/>
                <w:szCs w:val="20"/>
                <w:color w:val="auto"/>
              </w:rPr>
            </w:pPr>
            <w:r>
              <w:rPr>
                <w:rFonts w:ascii="Arial" w:cs="Arial" w:eastAsia="Arial" w:hAnsi="Arial"/>
                <w:sz w:val="13"/>
                <w:szCs w:val="13"/>
                <w:color w:val="auto"/>
              </w:rPr>
              <w:t>Filed Herewith</w:t>
            </w:r>
          </w:p>
        </w:tc>
        <w:tc>
          <w:tcPr>
            <w:tcW w:w="1660" w:type="dxa"/>
            <w:vAlign w:val="bottom"/>
          </w:tcPr>
          <w:p>
            <w:pPr>
              <w:jc w:val="center"/>
              <w:ind w:right="17"/>
              <w:spacing w:after="0"/>
              <w:rPr>
                <w:sz w:val="20"/>
                <w:szCs w:val="20"/>
                <w:color w:val="auto"/>
              </w:rPr>
            </w:pPr>
            <w:r>
              <w:rPr>
                <w:rFonts w:ascii="Arial" w:cs="Arial" w:eastAsia="Arial" w:hAnsi="Arial"/>
                <w:sz w:val="13"/>
                <w:szCs w:val="13"/>
                <w:color w:val="auto"/>
                <w:w w:val="98"/>
              </w:rPr>
              <w:t>Form</w:t>
            </w:r>
          </w:p>
        </w:tc>
        <w:tc>
          <w:tcPr>
            <w:tcW w:w="1040" w:type="dxa"/>
            <w:vAlign w:val="bottom"/>
          </w:tcPr>
          <w:p>
            <w:pPr>
              <w:ind w:left="220"/>
              <w:spacing w:after="0"/>
              <w:rPr>
                <w:sz w:val="20"/>
                <w:szCs w:val="20"/>
                <w:color w:val="auto"/>
              </w:rPr>
            </w:pPr>
            <w:r>
              <w:rPr>
                <w:rFonts w:ascii="Arial" w:cs="Arial" w:eastAsia="Arial" w:hAnsi="Arial"/>
                <w:sz w:val="13"/>
                <w:szCs w:val="13"/>
                <w:color w:val="auto"/>
              </w:rPr>
              <w:t>File No.</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95"/>
              </w:rPr>
              <w:t>Exhibit No.</w:t>
            </w:r>
          </w:p>
        </w:tc>
        <w:tc>
          <w:tcPr>
            <w:tcW w:w="1240" w:type="dxa"/>
            <w:vAlign w:val="bottom"/>
          </w:tcPr>
          <w:p>
            <w:pPr>
              <w:jc w:val="center"/>
              <w:ind w:left="57"/>
              <w:spacing w:after="0"/>
              <w:rPr>
                <w:sz w:val="20"/>
                <w:szCs w:val="20"/>
                <w:color w:val="auto"/>
              </w:rPr>
            </w:pPr>
            <w:r>
              <w:rPr>
                <w:rFonts w:ascii="Arial" w:cs="Arial" w:eastAsia="Arial" w:hAnsi="Arial"/>
                <w:sz w:val="13"/>
                <w:szCs w:val="13"/>
                <w:color w:val="auto"/>
                <w:w w:val="96"/>
              </w:rPr>
              <w:t>Filing Date</w:t>
            </w:r>
          </w:p>
        </w:tc>
        <w:tc>
          <w:tcPr>
            <w:tcW w:w="0" w:type="dxa"/>
            <w:vAlign w:val="bottom"/>
          </w:tcPr>
          <w:p>
            <w:pPr>
              <w:spacing w:after="0"/>
              <w:rPr>
                <w:sz w:val="1"/>
                <w:szCs w:val="1"/>
                <w:color w:val="auto"/>
              </w:rPr>
            </w:pPr>
          </w:p>
        </w:tc>
      </w:tr>
      <w:tr>
        <w:trPr>
          <w:trHeight w:val="351"/>
        </w:trPr>
        <w:tc>
          <w:tcPr>
            <w:tcW w:w="4420" w:type="dxa"/>
            <w:vAlign w:val="bottom"/>
          </w:tcPr>
          <w:p>
            <w:pPr>
              <w:spacing w:after="0"/>
              <w:rPr>
                <w:sz w:val="20"/>
                <w:szCs w:val="20"/>
                <w:color w:val="auto"/>
              </w:rPr>
            </w:pPr>
            <w:r>
              <w:rPr>
                <w:rFonts w:ascii="Arial" w:cs="Arial" w:eastAsia="Arial" w:hAnsi="Arial"/>
                <w:sz w:val="13"/>
                <w:szCs w:val="13"/>
                <w:color w:val="auto"/>
              </w:rPr>
              <w:t>Amended and Restated Certificate of Incorporation of Qualys, Inc.</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88"/>
              </w:rPr>
              <w:t>3.3</w:t>
            </w:r>
          </w:p>
        </w:tc>
        <w:tc>
          <w:tcPr>
            <w:tcW w:w="1240" w:type="dxa"/>
            <w:vAlign w:val="bottom"/>
          </w:tcPr>
          <w:p>
            <w:pPr>
              <w:jc w:val="center"/>
              <w:ind w:left="37"/>
              <w:spacing w:after="0"/>
              <w:rPr>
                <w:sz w:val="20"/>
                <w:szCs w:val="20"/>
                <w:color w:val="auto"/>
              </w:rPr>
            </w:pPr>
            <w:r>
              <w:rPr>
                <w:rFonts w:ascii="Arial" w:cs="Arial" w:eastAsia="Arial" w:hAnsi="Arial"/>
                <w:sz w:val="13"/>
                <w:szCs w:val="13"/>
                <w:color w:val="auto"/>
                <w:w w:val="96"/>
              </w:rPr>
              <w:t>September 12, 2012</w:t>
            </w:r>
          </w:p>
        </w:tc>
        <w:tc>
          <w:tcPr>
            <w:tcW w:w="0" w:type="dxa"/>
            <w:vAlign w:val="bottom"/>
          </w:tcPr>
          <w:p>
            <w:pPr>
              <w:spacing w:after="0"/>
              <w:rPr>
                <w:sz w:val="1"/>
                <w:szCs w:val="1"/>
                <w:color w:val="auto"/>
              </w:rPr>
            </w:pPr>
          </w:p>
        </w:tc>
      </w:tr>
      <w:tr>
        <w:trPr>
          <w:trHeight w:val="540"/>
        </w:trPr>
        <w:tc>
          <w:tcPr>
            <w:tcW w:w="4420" w:type="dxa"/>
            <w:vAlign w:val="bottom"/>
          </w:tcPr>
          <w:p>
            <w:pPr>
              <w:spacing w:after="0"/>
              <w:rPr>
                <w:sz w:val="20"/>
                <w:szCs w:val="20"/>
                <w:color w:val="auto"/>
              </w:rPr>
            </w:pPr>
            <w:r>
              <w:rPr>
                <w:rFonts w:ascii="Arial" w:cs="Arial" w:eastAsia="Arial" w:hAnsi="Arial"/>
                <w:sz w:val="13"/>
                <w:szCs w:val="13"/>
                <w:color w:val="auto"/>
              </w:rPr>
              <w:t>Amended and Restated Bylaws of Qualys, Inc.</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88"/>
              </w:rPr>
              <w:t>3.5</w:t>
            </w:r>
          </w:p>
        </w:tc>
        <w:tc>
          <w:tcPr>
            <w:tcW w:w="1240" w:type="dxa"/>
            <w:vAlign w:val="bottom"/>
          </w:tcPr>
          <w:p>
            <w:pPr>
              <w:jc w:val="center"/>
              <w:ind w:left="37"/>
              <w:spacing w:after="0"/>
              <w:rPr>
                <w:sz w:val="20"/>
                <w:szCs w:val="20"/>
                <w:color w:val="auto"/>
              </w:rPr>
            </w:pPr>
            <w:r>
              <w:rPr>
                <w:rFonts w:ascii="Arial" w:cs="Arial" w:eastAsia="Arial" w:hAnsi="Arial"/>
                <w:sz w:val="13"/>
                <w:szCs w:val="13"/>
                <w:color w:val="auto"/>
                <w:w w:val="96"/>
              </w:rPr>
              <w:t>September 12, 2012</w:t>
            </w:r>
          </w:p>
        </w:tc>
        <w:tc>
          <w:tcPr>
            <w:tcW w:w="0" w:type="dxa"/>
            <w:vAlign w:val="bottom"/>
          </w:tcPr>
          <w:p>
            <w:pPr>
              <w:spacing w:after="0"/>
              <w:rPr>
                <w:sz w:val="1"/>
                <w:szCs w:val="1"/>
                <w:color w:val="auto"/>
              </w:rPr>
            </w:pPr>
          </w:p>
        </w:tc>
      </w:tr>
      <w:tr>
        <w:trPr>
          <w:trHeight w:val="540"/>
        </w:trPr>
        <w:tc>
          <w:tcPr>
            <w:tcW w:w="4420" w:type="dxa"/>
            <w:vAlign w:val="bottom"/>
          </w:tcPr>
          <w:p>
            <w:pPr>
              <w:spacing w:after="0"/>
              <w:rPr>
                <w:sz w:val="20"/>
                <w:szCs w:val="20"/>
                <w:color w:val="auto"/>
              </w:rPr>
            </w:pPr>
            <w:r>
              <w:rPr>
                <w:rFonts w:ascii="Arial" w:cs="Arial" w:eastAsia="Arial" w:hAnsi="Arial"/>
                <w:sz w:val="13"/>
                <w:szCs w:val="13"/>
                <w:color w:val="auto"/>
              </w:rPr>
              <w:t>Form of common stock certificate.</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88"/>
              </w:rPr>
              <w:t>4.1</w:t>
            </w:r>
          </w:p>
        </w:tc>
        <w:tc>
          <w:tcPr>
            <w:tcW w:w="1240" w:type="dxa"/>
            <w:vAlign w:val="bottom"/>
          </w:tcPr>
          <w:p>
            <w:pPr>
              <w:jc w:val="center"/>
              <w:ind w:left="37"/>
              <w:spacing w:after="0"/>
              <w:rPr>
                <w:sz w:val="20"/>
                <w:szCs w:val="20"/>
                <w:color w:val="auto"/>
              </w:rPr>
            </w:pPr>
            <w:r>
              <w:rPr>
                <w:rFonts w:ascii="Arial" w:cs="Arial" w:eastAsia="Arial" w:hAnsi="Arial"/>
                <w:sz w:val="13"/>
                <w:szCs w:val="13"/>
                <w:color w:val="auto"/>
                <w:w w:val="96"/>
              </w:rPr>
              <w:t>September 12, 2012</w:t>
            </w:r>
          </w:p>
        </w:tc>
        <w:tc>
          <w:tcPr>
            <w:tcW w:w="0" w:type="dxa"/>
            <w:vAlign w:val="bottom"/>
          </w:tcPr>
          <w:p>
            <w:pPr>
              <w:spacing w:after="0"/>
              <w:rPr>
                <w:sz w:val="1"/>
                <w:szCs w:val="1"/>
                <w:color w:val="auto"/>
              </w:rPr>
            </w:pPr>
          </w:p>
        </w:tc>
      </w:tr>
      <w:tr>
        <w:trPr>
          <w:trHeight w:val="483"/>
        </w:trPr>
        <w:tc>
          <w:tcPr>
            <w:tcW w:w="4420" w:type="dxa"/>
            <w:vAlign w:val="bottom"/>
          </w:tcPr>
          <w:p>
            <w:pPr>
              <w:spacing w:after="0"/>
              <w:rPr>
                <w:sz w:val="20"/>
                <w:szCs w:val="20"/>
                <w:color w:val="auto"/>
              </w:rPr>
            </w:pPr>
            <w:r>
              <w:rPr>
                <w:rFonts w:ascii="Arial" w:cs="Arial" w:eastAsia="Arial" w:hAnsi="Arial"/>
                <w:sz w:val="13"/>
                <w:szCs w:val="13"/>
                <w:color w:val="auto"/>
              </w:rPr>
              <w:t>Amended and Restated Investor Rights Agreement, by and among Qualys,</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S-1</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88"/>
              </w:rPr>
              <w:t>4.2</w:t>
            </w:r>
          </w:p>
        </w:tc>
        <w:tc>
          <w:tcPr>
            <w:tcW w:w="1240" w:type="dxa"/>
            <w:vAlign w:val="bottom"/>
            <w:vMerge w:val="restart"/>
          </w:tcPr>
          <w:p>
            <w:pPr>
              <w:jc w:val="center"/>
              <w:ind w:left="57"/>
              <w:spacing w:after="0"/>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Inc. and the investors party thereto, dated July 12, 2005.</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2"/>
        </w:trPr>
        <w:tc>
          <w:tcPr>
            <w:tcW w:w="4420" w:type="dxa"/>
            <w:vAlign w:val="bottom"/>
          </w:tcPr>
          <w:p>
            <w:pPr>
              <w:spacing w:after="0"/>
              <w:rPr>
                <w:sz w:val="20"/>
                <w:szCs w:val="20"/>
                <w:color w:val="auto"/>
              </w:rPr>
            </w:pPr>
            <w:r>
              <w:rPr>
                <w:rFonts w:ascii="Arial" w:cs="Arial" w:eastAsia="Arial" w:hAnsi="Arial"/>
                <w:sz w:val="13"/>
                <w:szCs w:val="13"/>
                <w:color w:val="auto"/>
              </w:rPr>
              <w:t>2000 Equity Incentive Plan, as amended, and the form of stock option</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S-1</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4"/>
              </w:rPr>
              <w:t>10.1</w:t>
            </w:r>
          </w:p>
        </w:tc>
        <w:tc>
          <w:tcPr>
            <w:tcW w:w="1240" w:type="dxa"/>
            <w:vAlign w:val="bottom"/>
            <w:vMerge w:val="restart"/>
          </w:tcPr>
          <w:p>
            <w:pPr>
              <w:jc w:val="center"/>
              <w:ind w:left="57"/>
              <w:spacing w:after="0"/>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agreement thereunder.</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420" w:type="dxa"/>
            <w:vAlign w:val="bottom"/>
          </w:tcPr>
          <w:p>
            <w:pPr>
              <w:spacing w:after="0"/>
              <w:rPr>
                <w:sz w:val="20"/>
                <w:szCs w:val="20"/>
                <w:color w:val="auto"/>
              </w:rPr>
            </w:pPr>
            <w:r>
              <w:rPr>
                <w:rFonts w:ascii="Arial" w:cs="Arial" w:eastAsia="Arial" w:hAnsi="Arial"/>
                <w:sz w:val="13"/>
                <w:szCs w:val="13"/>
                <w:color w:val="auto"/>
              </w:rPr>
              <w:t>2012 Equity Incentive Plan and forms of agreements thereunder.</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94"/>
              </w:rPr>
              <w:t>10.2</w:t>
            </w:r>
          </w:p>
        </w:tc>
        <w:tc>
          <w:tcPr>
            <w:tcW w:w="1240" w:type="dxa"/>
            <w:vAlign w:val="bottom"/>
          </w:tcPr>
          <w:p>
            <w:pPr>
              <w:jc w:val="center"/>
              <w:ind w:left="37"/>
              <w:spacing w:after="0"/>
              <w:rPr>
                <w:sz w:val="20"/>
                <w:szCs w:val="20"/>
                <w:color w:val="auto"/>
              </w:rPr>
            </w:pPr>
            <w:r>
              <w:rPr>
                <w:rFonts w:ascii="Arial" w:cs="Arial" w:eastAsia="Arial" w:hAnsi="Arial"/>
                <w:sz w:val="13"/>
                <w:szCs w:val="13"/>
                <w:color w:val="auto"/>
                <w:w w:val="96"/>
              </w:rPr>
              <w:t>September 12, 2012</w:t>
            </w:r>
          </w:p>
        </w:tc>
        <w:tc>
          <w:tcPr>
            <w:tcW w:w="0" w:type="dxa"/>
            <w:vAlign w:val="bottom"/>
          </w:tcPr>
          <w:p>
            <w:pPr>
              <w:spacing w:after="0"/>
              <w:rPr>
                <w:sz w:val="1"/>
                <w:szCs w:val="1"/>
                <w:color w:val="auto"/>
              </w:rPr>
            </w:pPr>
          </w:p>
        </w:tc>
      </w:tr>
      <w:tr>
        <w:trPr>
          <w:trHeight w:val="483"/>
        </w:trPr>
        <w:tc>
          <w:tcPr>
            <w:tcW w:w="4420" w:type="dxa"/>
            <w:vAlign w:val="bottom"/>
          </w:tcPr>
          <w:p>
            <w:pPr>
              <w:spacing w:after="0"/>
              <w:rPr>
                <w:sz w:val="20"/>
                <w:szCs w:val="20"/>
                <w:color w:val="auto"/>
              </w:rPr>
            </w:pPr>
            <w:r>
              <w:rPr>
                <w:rFonts w:ascii="Arial" w:cs="Arial" w:eastAsia="Arial" w:hAnsi="Arial"/>
                <w:sz w:val="13"/>
                <w:szCs w:val="13"/>
                <w:color w:val="auto"/>
                <w:w w:val="98"/>
              </w:rPr>
              <w:t>Offer Letter, between Qualys, Inc. and Philippe F. Courtot, dated December 7,</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S-1</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4"/>
              </w:rPr>
              <w:t>10.3</w:t>
            </w:r>
          </w:p>
        </w:tc>
        <w:tc>
          <w:tcPr>
            <w:tcW w:w="1240" w:type="dxa"/>
            <w:vAlign w:val="bottom"/>
            <w:vMerge w:val="restart"/>
          </w:tcPr>
          <w:p>
            <w:pPr>
              <w:jc w:val="center"/>
              <w:ind w:left="57"/>
              <w:spacing w:after="0"/>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2000.</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2"/>
        </w:trPr>
        <w:tc>
          <w:tcPr>
            <w:tcW w:w="4420" w:type="dxa"/>
            <w:vAlign w:val="bottom"/>
          </w:tcPr>
          <w:p>
            <w:pPr>
              <w:spacing w:after="0"/>
              <w:rPr>
                <w:sz w:val="20"/>
                <w:szCs w:val="20"/>
                <w:color w:val="auto"/>
              </w:rPr>
            </w:pPr>
            <w:r>
              <w:rPr>
                <w:rFonts w:ascii="Arial" w:cs="Arial" w:eastAsia="Arial" w:hAnsi="Arial"/>
                <w:sz w:val="13"/>
                <w:szCs w:val="13"/>
                <w:color w:val="auto"/>
              </w:rPr>
              <w:t>Offer Letter, between Qualys, Inc. and Amer S. Deeba, dated September 4,</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S-1</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4"/>
              </w:rPr>
              <w:t>10.4</w:t>
            </w:r>
          </w:p>
        </w:tc>
        <w:tc>
          <w:tcPr>
            <w:tcW w:w="1240" w:type="dxa"/>
            <w:vAlign w:val="bottom"/>
            <w:vMerge w:val="restart"/>
          </w:tcPr>
          <w:p>
            <w:pPr>
              <w:jc w:val="center"/>
              <w:ind w:left="57"/>
              <w:spacing w:after="0"/>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2001.</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2"/>
        </w:trPr>
        <w:tc>
          <w:tcPr>
            <w:tcW w:w="4420" w:type="dxa"/>
            <w:vAlign w:val="bottom"/>
          </w:tcPr>
          <w:p>
            <w:pPr>
              <w:spacing w:after="0"/>
              <w:rPr>
                <w:sz w:val="20"/>
                <w:szCs w:val="20"/>
                <w:color w:val="auto"/>
              </w:rPr>
            </w:pPr>
            <w:r>
              <w:rPr>
                <w:rFonts w:ascii="Arial" w:cs="Arial" w:eastAsia="Arial" w:hAnsi="Arial"/>
                <w:sz w:val="13"/>
                <w:szCs w:val="13"/>
                <w:color w:val="auto"/>
                <w:w w:val="99"/>
              </w:rPr>
              <w:t>Offer Letter, between Qualys, Inc. and Sumedh S. Thakar, dated January 20,</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S-1</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4"/>
              </w:rPr>
              <w:t>10.5</w:t>
            </w:r>
          </w:p>
        </w:tc>
        <w:tc>
          <w:tcPr>
            <w:tcW w:w="1240" w:type="dxa"/>
            <w:vAlign w:val="bottom"/>
            <w:vMerge w:val="restart"/>
          </w:tcPr>
          <w:p>
            <w:pPr>
              <w:jc w:val="center"/>
              <w:ind w:left="57"/>
              <w:spacing w:after="0"/>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2003.</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2"/>
        </w:trPr>
        <w:tc>
          <w:tcPr>
            <w:tcW w:w="4420" w:type="dxa"/>
            <w:vAlign w:val="bottom"/>
          </w:tcPr>
          <w:p>
            <w:pPr>
              <w:spacing w:after="0"/>
              <w:rPr>
                <w:sz w:val="20"/>
                <w:szCs w:val="20"/>
                <w:color w:val="auto"/>
              </w:rPr>
            </w:pPr>
            <w:r>
              <w:rPr>
                <w:rFonts w:ascii="Arial" w:cs="Arial" w:eastAsia="Arial" w:hAnsi="Arial"/>
                <w:sz w:val="13"/>
                <w:szCs w:val="13"/>
                <w:color w:val="auto"/>
                <w:w w:val="97"/>
              </w:rPr>
              <w:t>Offer Letter, between Qualys, Inc. and Melissa B. Fisher, dated April 15, 2016,</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6"/>
              </w:rPr>
              <w:t>001-35662</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4"/>
              </w:rPr>
              <w:t>10.1</w:t>
            </w:r>
          </w:p>
        </w:tc>
        <w:tc>
          <w:tcPr>
            <w:tcW w:w="1240" w:type="dxa"/>
            <w:vAlign w:val="bottom"/>
            <w:vMerge w:val="restart"/>
          </w:tcPr>
          <w:p>
            <w:pPr>
              <w:jc w:val="center"/>
              <w:ind w:left="57"/>
              <w:spacing w:after="0"/>
              <w:rPr>
                <w:sz w:val="20"/>
                <w:szCs w:val="20"/>
                <w:color w:val="auto"/>
              </w:rPr>
            </w:pPr>
            <w:r>
              <w:rPr>
                <w:rFonts w:ascii="Arial" w:cs="Arial" w:eastAsia="Arial" w:hAnsi="Arial"/>
                <w:sz w:val="13"/>
                <w:szCs w:val="13"/>
                <w:color w:val="auto"/>
                <w:w w:val="94"/>
              </w:rPr>
              <w:t>May 2, 2016</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as amended.</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420" w:type="dxa"/>
            <w:vAlign w:val="bottom"/>
          </w:tcPr>
          <w:p>
            <w:pPr>
              <w:spacing w:after="0"/>
              <w:rPr>
                <w:sz w:val="20"/>
                <w:szCs w:val="20"/>
                <w:color w:val="auto"/>
              </w:rPr>
            </w:pPr>
            <w:r>
              <w:rPr>
                <w:rFonts w:ascii="Arial" w:cs="Arial" w:eastAsia="Arial" w:hAnsi="Arial"/>
                <w:sz w:val="13"/>
                <w:szCs w:val="13"/>
                <w:color w:val="auto"/>
              </w:rPr>
              <w:t>Offer Letter, between Qualys, Inc. and Bruce K. Posey, dated May 8, 2012.</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S-1</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94"/>
              </w:rPr>
              <w:t>10.9</w:t>
            </w:r>
          </w:p>
        </w:tc>
        <w:tc>
          <w:tcPr>
            <w:tcW w:w="1240" w:type="dxa"/>
            <w:vAlign w:val="bottom"/>
          </w:tcPr>
          <w:p>
            <w:pPr>
              <w:jc w:val="center"/>
              <w:ind w:left="57"/>
              <w:spacing w:after="0"/>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500"/>
        </w:trPr>
        <w:tc>
          <w:tcPr>
            <w:tcW w:w="4420" w:type="dxa"/>
            <w:vAlign w:val="bottom"/>
            <w:vMerge w:val="restart"/>
          </w:tcPr>
          <w:p>
            <w:pPr>
              <w:spacing w:after="0"/>
              <w:rPr>
                <w:sz w:val="20"/>
                <w:szCs w:val="20"/>
                <w:color w:val="auto"/>
              </w:rPr>
            </w:pPr>
            <w:r>
              <w:rPr>
                <w:rFonts w:ascii="Arial" w:cs="Arial" w:eastAsia="Arial" w:hAnsi="Arial"/>
                <w:sz w:val="13"/>
                <w:szCs w:val="13"/>
                <w:color w:val="auto"/>
              </w:rPr>
              <w:t>Form of director and executive officer indemnification agreement.</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4"/>
              </w:rPr>
              <w:t>10.1</w:t>
            </w:r>
          </w:p>
        </w:tc>
        <w:tc>
          <w:tcPr>
            <w:tcW w:w="1240" w:type="dxa"/>
            <w:vAlign w:val="bottom"/>
          </w:tcPr>
          <w:p>
            <w:pPr>
              <w:jc w:val="center"/>
              <w:ind w:left="57"/>
              <w:spacing w:after="0"/>
              <w:rPr>
                <w:sz w:val="20"/>
                <w:szCs w:val="20"/>
                <w:color w:val="auto"/>
              </w:rPr>
            </w:pPr>
            <w:r>
              <w:rPr>
                <w:rFonts w:ascii="Arial" w:cs="Arial" w:eastAsia="Arial" w:hAnsi="Arial"/>
                <w:sz w:val="13"/>
                <w:szCs w:val="13"/>
                <w:color w:val="auto"/>
                <w:w w:val="97"/>
              </w:rPr>
              <w:t>August 10, 2012</w:t>
            </w: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0"/>
        </w:trPr>
        <w:tc>
          <w:tcPr>
            <w:tcW w:w="4420" w:type="dxa"/>
            <w:vAlign w:val="bottom"/>
          </w:tcPr>
          <w:p>
            <w:pPr>
              <w:spacing w:after="0"/>
              <w:rPr>
                <w:sz w:val="20"/>
                <w:szCs w:val="20"/>
                <w:color w:val="auto"/>
              </w:rPr>
            </w:pPr>
            <w:r>
              <w:rPr>
                <w:rFonts w:ascii="Arial" w:cs="Arial" w:eastAsia="Arial" w:hAnsi="Arial"/>
                <w:sz w:val="13"/>
                <w:szCs w:val="13"/>
                <w:color w:val="auto"/>
                <w:w w:val="97"/>
              </w:rPr>
              <w:t>Lease Agreement, between Qualys, Inc. and Westport Office Park, LLC, dated</w:t>
            </w:r>
          </w:p>
        </w:tc>
        <w:tc>
          <w:tcPr>
            <w:tcW w:w="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line="135" w:lineRule="exact"/>
              <w:rPr>
                <w:sz w:val="20"/>
                <w:szCs w:val="20"/>
                <w:color w:val="auto"/>
              </w:rPr>
            </w:pPr>
            <w:r>
              <w:rPr>
                <w:rFonts w:ascii="Arial" w:cs="Arial" w:eastAsia="Arial" w:hAnsi="Arial"/>
                <w:sz w:val="13"/>
                <w:szCs w:val="13"/>
                <w:color w:val="auto"/>
                <w:w w:val="99"/>
              </w:rPr>
              <w:t>July 11, 2006, as amended August 10, 2007, May 20, 2010 and December 5,</w:t>
            </w:r>
          </w:p>
        </w:tc>
        <w:tc>
          <w:tcPr>
            <w:tcW w:w="9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3"/>
                <w:szCs w:val="13"/>
                <w:color w:val="auto"/>
                <w:w w:val="98"/>
              </w:rPr>
              <w:t>S-1</w:t>
            </w:r>
          </w:p>
        </w:tc>
        <w:tc>
          <w:tcPr>
            <w:tcW w:w="104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97"/>
              </w:rPr>
              <w:t>333-182027</w:t>
            </w: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8"/>
              </w:rPr>
              <w:t>10.11</w:t>
            </w:r>
          </w:p>
        </w:tc>
        <w:tc>
          <w:tcPr>
            <w:tcW w:w="124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152"/>
        </w:trPr>
        <w:tc>
          <w:tcPr>
            <w:tcW w:w="4420" w:type="dxa"/>
            <w:vAlign w:val="bottom"/>
          </w:tcPr>
          <w:p>
            <w:pPr>
              <w:spacing w:after="0"/>
              <w:rPr>
                <w:sz w:val="20"/>
                <w:szCs w:val="20"/>
                <w:color w:val="auto"/>
              </w:rPr>
            </w:pPr>
            <w:r>
              <w:rPr>
                <w:rFonts w:ascii="Arial" w:cs="Arial" w:eastAsia="Arial" w:hAnsi="Arial"/>
                <w:sz w:val="13"/>
                <w:szCs w:val="13"/>
                <w:color w:val="auto"/>
              </w:rPr>
              <w:t>2011.</w:t>
            </w:r>
          </w:p>
        </w:tc>
        <w:tc>
          <w:tcPr>
            <w:tcW w:w="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4420" w:type="dxa"/>
            <w:vAlign w:val="bottom"/>
          </w:tcPr>
          <w:p>
            <w:pPr>
              <w:spacing w:after="0"/>
              <w:rPr>
                <w:sz w:val="20"/>
                <w:szCs w:val="20"/>
                <w:color w:val="auto"/>
              </w:rPr>
            </w:pPr>
            <w:r>
              <w:rPr>
                <w:rFonts w:ascii="Arial" w:cs="Arial" w:eastAsia="Arial" w:hAnsi="Arial"/>
                <w:sz w:val="13"/>
                <w:szCs w:val="13"/>
                <w:color w:val="auto"/>
              </w:rPr>
              <w:t>Lease Agreement, between Qualys, Inc. and Hudson Metro Center, LLC,</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6"/>
              </w:rPr>
              <w:t>001-35662</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4"/>
              </w:rPr>
              <w:t>10.1</w:t>
            </w:r>
          </w:p>
        </w:tc>
        <w:tc>
          <w:tcPr>
            <w:tcW w:w="1240" w:type="dxa"/>
            <w:vAlign w:val="bottom"/>
            <w:vMerge w:val="restart"/>
          </w:tcPr>
          <w:p>
            <w:pPr>
              <w:jc w:val="center"/>
              <w:ind w:left="57"/>
              <w:spacing w:after="0"/>
              <w:rPr>
                <w:sz w:val="20"/>
                <w:szCs w:val="20"/>
                <w:color w:val="auto"/>
              </w:rPr>
            </w:pPr>
            <w:r>
              <w:rPr>
                <w:rFonts w:ascii="Arial" w:cs="Arial" w:eastAsia="Arial" w:hAnsi="Arial"/>
                <w:sz w:val="13"/>
                <w:szCs w:val="13"/>
                <w:color w:val="auto"/>
                <w:w w:val="95"/>
              </w:rPr>
              <w:t>October 19, 2016</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dated October 14, 2016.</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420" w:type="dxa"/>
            <w:vAlign w:val="bottom"/>
          </w:tcPr>
          <w:p>
            <w:pPr>
              <w:spacing w:after="0"/>
              <w:rPr>
                <w:sz w:val="20"/>
                <w:szCs w:val="20"/>
                <w:color w:val="auto"/>
              </w:rPr>
            </w:pPr>
            <w:r>
              <w:rPr>
                <w:rFonts w:ascii="Arial" w:cs="Arial" w:eastAsia="Arial" w:hAnsi="Arial"/>
                <w:sz w:val="13"/>
                <w:szCs w:val="13"/>
                <w:color w:val="auto"/>
              </w:rPr>
              <w:t>2011 Corporate Bonus Plan.</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S-1</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98"/>
              </w:rPr>
              <w:t>10.12</w:t>
            </w:r>
          </w:p>
        </w:tc>
        <w:tc>
          <w:tcPr>
            <w:tcW w:w="1240" w:type="dxa"/>
            <w:vAlign w:val="bottom"/>
          </w:tcPr>
          <w:p>
            <w:pPr>
              <w:jc w:val="center"/>
              <w:ind w:left="57"/>
              <w:spacing w:after="0"/>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540"/>
        </w:trPr>
        <w:tc>
          <w:tcPr>
            <w:tcW w:w="4420" w:type="dxa"/>
            <w:vAlign w:val="bottom"/>
          </w:tcPr>
          <w:p>
            <w:pPr>
              <w:spacing w:after="0"/>
              <w:rPr>
                <w:sz w:val="20"/>
                <w:szCs w:val="20"/>
                <w:color w:val="auto"/>
              </w:rPr>
            </w:pPr>
            <w:r>
              <w:rPr>
                <w:rFonts w:ascii="Arial" w:cs="Arial" w:eastAsia="Arial" w:hAnsi="Arial"/>
                <w:sz w:val="13"/>
                <w:szCs w:val="13"/>
                <w:color w:val="auto"/>
              </w:rPr>
              <w:t>2012 Corporate Bonus Plan.</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8"/>
              </w:rPr>
              <w:t>S-1</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98"/>
              </w:rPr>
              <w:t>10.13</w:t>
            </w:r>
          </w:p>
        </w:tc>
        <w:tc>
          <w:tcPr>
            <w:tcW w:w="1240" w:type="dxa"/>
            <w:vAlign w:val="bottom"/>
          </w:tcPr>
          <w:p>
            <w:pPr>
              <w:jc w:val="center"/>
              <w:ind w:left="57"/>
              <w:spacing w:after="0"/>
              <w:rPr>
                <w:sz w:val="20"/>
                <w:szCs w:val="20"/>
                <w:color w:val="auto"/>
              </w:rPr>
            </w:pPr>
            <w:r>
              <w:rPr>
                <w:rFonts w:ascii="Arial" w:cs="Arial" w:eastAsia="Arial" w:hAnsi="Arial"/>
                <w:sz w:val="13"/>
                <w:szCs w:val="13"/>
                <w:color w:val="auto"/>
                <w:w w:val="95"/>
              </w:rPr>
              <w:t>June 8, 2012</w:t>
            </w:r>
          </w:p>
        </w:tc>
        <w:tc>
          <w:tcPr>
            <w:tcW w:w="0" w:type="dxa"/>
            <w:vAlign w:val="bottom"/>
          </w:tcPr>
          <w:p>
            <w:pPr>
              <w:spacing w:after="0"/>
              <w:rPr>
                <w:sz w:val="1"/>
                <w:szCs w:val="1"/>
                <w:color w:val="auto"/>
              </w:rPr>
            </w:pPr>
          </w:p>
        </w:tc>
      </w:tr>
      <w:tr>
        <w:trPr>
          <w:trHeight w:val="540"/>
        </w:trPr>
        <w:tc>
          <w:tcPr>
            <w:tcW w:w="4420" w:type="dxa"/>
            <w:vAlign w:val="bottom"/>
          </w:tcPr>
          <w:p>
            <w:pPr>
              <w:spacing w:after="0"/>
              <w:rPr>
                <w:sz w:val="20"/>
                <w:szCs w:val="20"/>
                <w:color w:val="auto"/>
              </w:rPr>
            </w:pPr>
            <w:r>
              <w:rPr>
                <w:rFonts w:ascii="Arial" w:cs="Arial" w:eastAsia="Arial" w:hAnsi="Arial"/>
                <w:sz w:val="13"/>
                <w:szCs w:val="13"/>
                <w:color w:val="auto"/>
              </w:rPr>
              <w:t>Qualys, Inc. Executive Performance Bonus Plan.</w:t>
            </w:r>
          </w:p>
        </w:tc>
        <w:tc>
          <w:tcPr>
            <w:tcW w:w="920" w:type="dxa"/>
            <w:vAlign w:val="bottom"/>
          </w:tcPr>
          <w:p>
            <w:pPr>
              <w:spacing w:after="0"/>
              <w:rPr>
                <w:sz w:val="24"/>
                <w:szCs w:val="24"/>
                <w:color w:val="auto"/>
              </w:rPr>
            </w:pPr>
          </w:p>
        </w:tc>
        <w:tc>
          <w:tcPr>
            <w:tcW w:w="1660" w:type="dxa"/>
            <w:vAlign w:val="bottom"/>
          </w:tcPr>
          <w:p>
            <w:pPr>
              <w:jc w:val="center"/>
              <w:ind w:right="17"/>
              <w:spacing w:after="0"/>
              <w:rPr>
                <w:sz w:val="20"/>
                <w:szCs w:val="20"/>
                <w:color w:val="auto"/>
              </w:rPr>
            </w:pPr>
            <w:r>
              <w:rPr>
                <w:rFonts w:ascii="Arial" w:cs="Arial" w:eastAsia="Arial" w:hAnsi="Arial"/>
                <w:sz w:val="13"/>
                <w:szCs w:val="13"/>
                <w:color w:val="auto"/>
                <w:w w:val="96"/>
              </w:rPr>
              <w:t>Schedule 14A, Appendix A</w:t>
            </w:r>
          </w:p>
        </w:tc>
        <w:tc>
          <w:tcPr>
            <w:tcW w:w="1040" w:type="dxa"/>
            <w:vAlign w:val="bottom"/>
          </w:tcPr>
          <w:p>
            <w:pPr>
              <w:jc w:val="center"/>
              <w:ind w:right="97"/>
              <w:spacing w:after="0"/>
              <w:rPr>
                <w:sz w:val="20"/>
                <w:szCs w:val="20"/>
                <w:color w:val="auto"/>
              </w:rPr>
            </w:pPr>
            <w:r>
              <w:rPr>
                <w:rFonts w:ascii="Arial" w:cs="Arial" w:eastAsia="Arial" w:hAnsi="Arial"/>
                <w:sz w:val="13"/>
                <w:szCs w:val="13"/>
                <w:color w:val="auto"/>
                <w:w w:val="96"/>
              </w:rPr>
              <w:t>001-35662</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92"/>
              </w:rPr>
              <w:t>N/A</w:t>
            </w:r>
          </w:p>
        </w:tc>
        <w:tc>
          <w:tcPr>
            <w:tcW w:w="1240" w:type="dxa"/>
            <w:vAlign w:val="bottom"/>
          </w:tcPr>
          <w:p>
            <w:pPr>
              <w:jc w:val="center"/>
              <w:ind w:left="37"/>
              <w:spacing w:after="0"/>
              <w:rPr>
                <w:sz w:val="20"/>
                <w:szCs w:val="20"/>
                <w:color w:val="auto"/>
              </w:rPr>
            </w:pPr>
            <w:r>
              <w:rPr>
                <w:rFonts w:ascii="Arial" w:cs="Arial" w:eastAsia="Arial" w:hAnsi="Arial"/>
                <w:sz w:val="13"/>
                <w:szCs w:val="13"/>
                <w:color w:val="auto"/>
                <w:w w:val="97"/>
              </w:rPr>
              <w:t>April 25, 2016</w:t>
            </w:r>
          </w:p>
        </w:tc>
        <w:tc>
          <w:tcPr>
            <w:tcW w:w="0" w:type="dxa"/>
            <w:vAlign w:val="bottom"/>
          </w:tcPr>
          <w:p>
            <w:pPr>
              <w:spacing w:after="0"/>
              <w:rPr>
                <w:sz w:val="1"/>
                <w:szCs w:val="1"/>
                <w:color w:val="auto"/>
              </w:rPr>
            </w:pPr>
          </w:p>
        </w:tc>
      </w:tr>
      <w:tr>
        <w:trPr>
          <w:trHeight w:val="540"/>
        </w:trPr>
        <w:tc>
          <w:tcPr>
            <w:tcW w:w="4420" w:type="dxa"/>
            <w:vAlign w:val="bottom"/>
          </w:tcPr>
          <w:p>
            <w:pPr>
              <w:spacing w:after="0"/>
              <w:rPr>
                <w:sz w:val="20"/>
                <w:szCs w:val="20"/>
                <w:color w:val="auto"/>
              </w:rPr>
            </w:pPr>
            <w:r>
              <w:rPr>
                <w:rFonts w:ascii="Arial" w:cs="Arial" w:eastAsia="Arial" w:hAnsi="Arial"/>
                <w:sz w:val="13"/>
                <w:szCs w:val="13"/>
                <w:color w:val="auto"/>
              </w:rPr>
              <w:t>Qualys, Inc. 2016 Corporate Bonus Plan, as amended.</w:t>
            </w:r>
          </w:p>
        </w:tc>
        <w:tc>
          <w:tcPr>
            <w:tcW w:w="9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6"/>
              </w:rPr>
              <w:t>10-Q</w:t>
            </w:r>
          </w:p>
        </w:tc>
        <w:tc>
          <w:tcPr>
            <w:tcW w:w="1040" w:type="dxa"/>
            <w:vAlign w:val="bottom"/>
          </w:tcPr>
          <w:p>
            <w:pPr>
              <w:jc w:val="center"/>
              <w:ind w:right="77"/>
              <w:spacing w:after="0"/>
              <w:rPr>
                <w:sz w:val="20"/>
                <w:szCs w:val="20"/>
                <w:color w:val="auto"/>
              </w:rPr>
            </w:pPr>
            <w:r>
              <w:rPr>
                <w:rFonts w:ascii="Arial" w:cs="Arial" w:eastAsia="Arial" w:hAnsi="Arial"/>
                <w:sz w:val="13"/>
                <w:szCs w:val="13"/>
                <w:color w:val="auto"/>
                <w:w w:val="96"/>
              </w:rPr>
              <w:t>135,662,000</w:t>
            </w:r>
          </w:p>
        </w:tc>
        <w:tc>
          <w:tcPr>
            <w:tcW w:w="720" w:type="dxa"/>
            <w:vAlign w:val="bottom"/>
          </w:tcPr>
          <w:p>
            <w:pPr>
              <w:jc w:val="center"/>
              <w:ind w:right="17"/>
              <w:spacing w:after="0"/>
              <w:rPr>
                <w:sz w:val="20"/>
                <w:szCs w:val="20"/>
                <w:color w:val="auto"/>
              </w:rPr>
            </w:pPr>
            <w:r>
              <w:rPr>
                <w:rFonts w:ascii="Arial" w:cs="Arial" w:eastAsia="Arial" w:hAnsi="Arial"/>
                <w:sz w:val="13"/>
                <w:szCs w:val="13"/>
                <w:color w:val="auto"/>
                <w:w w:val="94"/>
              </w:rPr>
              <w:t>10.3</w:t>
            </w:r>
          </w:p>
        </w:tc>
        <w:tc>
          <w:tcPr>
            <w:tcW w:w="1240" w:type="dxa"/>
            <w:vAlign w:val="bottom"/>
          </w:tcPr>
          <w:p>
            <w:pPr>
              <w:jc w:val="center"/>
              <w:ind w:left="57"/>
              <w:spacing w:after="0"/>
              <w:rPr>
                <w:sz w:val="20"/>
                <w:szCs w:val="20"/>
                <w:color w:val="auto"/>
              </w:rPr>
            </w:pPr>
            <w:r>
              <w:rPr>
                <w:rFonts w:ascii="Arial" w:cs="Arial" w:eastAsia="Arial" w:hAnsi="Arial"/>
                <w:sz w:val="13"/>
                <w:szCs w:val="13"/>
                <w:color w:val="auto"/>
                <w:w w:val="96"/>
              </w:rPr>
              <w:t>August 4, 2016</w:t>
            </w:r>
          </w:p>
        </w:tc>
        <w:tc>
          <w:tcPr>
            <w:tcW w:w="0" w:type="dxa"/>
            <w:vAlign w:val="bottom"/>
          </w:tcPr>
          <w:p>
            <w:pPr>
              <w:spacing w:after="0"/>
              <w:rPr>
                <w:sz w:val="1"/>
                <w:szCs w:val="1"/>
                <w:color w:val="auto"/>
              </w:rPr>
            </w:pPr>
          </w:p>
        </w:tc>
      </w:tr>
      <w:tr>
        <w:trPr>
          <w:trHeight w:val="483"/>
        </w:trPr>
        <w:tc>
          <w:tcPr>
            <w:tcW w:w="4420" w:type="dxa"/>
            <w:vAlign w:val="bottom"/>
          </w:tcPr>
          <w:p>
            <w:pPr>
              <w:spacing w:after="0"/>
              <w:rPr>
                <w:sz w:val="20"/>
                <w:szCs w:val="20"/>
                <w:color w:val="auto"/>
              </w:rPr>
            </w:pPr>
            <w:r>
              <w:rPr>
                <w:rFonts w:ascii="Arial" w:cs="Arial" w:eastAsia="Arial" w:hAnsi="Arial"/>
                <w:sz w:val="13"/>
                <w:szCs w:val="13"/>
                <w:color w:val="auto"/>
              </w:rPr>
              <w:t>Master Services Agreement, between Qualys, Inc. and Savvis</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S-1/A</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8"/>
              </w:rPr>
              <w:t>10.14</w:t>
            </w:r>
          </w:p>
        </w:tc>
        <w:tc>
          <w:tcPr>
            <w:tcW w:w="1240" w:type="dxa"/>
            <w:vAlign w:val="bottom"/>
            <w:vMerge w:val="restart"/>
          </w:tcPr>
          <w:p>
            <w:pPr>
              <w:jc w:val="center"/>
              <w:ind w:left="37"/>
              <w:spacing w:after="0"/>
              <w:rPr>
                <w:sz w:val="20"/>
                <w:szCs w:val="20"/>
                <w:color w:val="auto"/>
              </w:rPr>
            </w:pPr>
            <w:r>
              <w:rPr>
                <w:rFonts w:ascii="Arial" w:cs="Arial" w:eastAsia="Arial" w:hAnsi="Arial"/>
                <w:sz w:val="13"/>
                <w:szCs w:val="13"/>
                <w:color w:val="auto"/>
                <w:w w:val="96"/>
              </w:rPr>
              <w:t>September 12, 2012</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Communications Corporation, dated June 22, 2010.</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2"/>
        </w:trPr>
        <w:tc>
          <w:tcPr>
            <w:tcW w:w="4420" w:type="dxa"/>
            <w:vAlign w:val="bottom"/>
          </w:tcPr>
          <w:p>
            <w:pPr>
              <w:spacing w:after="0"/>
              <w:rPr>
                <w:sz w:val="20"/>
                <w:szCs w:val="20"/>
                <w:color w:val="auto"/>
              </w:rPr>
            </w:pPr>
            <w:r>
              <w:rPr>
                <w:rFonts w:ascii="Arial" w:cs="Arial" w:eastAsia="Arial" w:hAnsi="Arial"/>
                <w:sz w:val="13"/>
                <w:szCs w:val="13"/>
                <w:color w:val="auto"/>
              </w:rPr>
              <w:t>Master Agreement, between Qualys, Inc. and Interoute Communications</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S-1/A</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8"/>
              </w:rPr>
              <w:t>10.15</w:t>
            </w:r>
          </w:p>
        </w:tc>
        <w:tc>
          <w:tcPr>
            <w:tcW w:w="1240" w:type="dxa"/>
            <w:vAlign w:val="bottom"/>
            <w:vMerge w:val="restart"/>
          </w:tcPr>
          <w:p>
            <w:pPr>
              <w:jc w:val="center"/>
              <w:ind w:left="37"/>
              <w:spacing w:after="0"/>
              <w:rPr>
                <w:sz w:val="20"/>
                <w:szCs w:val="20"/>
                <w:color w:val="auto"/>
              </w:rPr>
            </w:pPr>
            <w:r>
              <w:rPr>
                <w:rFonts w:ascii="Arial" w:cs="Arial" w:eastAsia="Arial" w:hAnsi="Arial"/>
                <w:sz w:val="13"/>
                <w:szCs w:val="13"/>
                <w:color w:val="auto"/>
                <w:w w:val="96"/>
              </w:rPr>
              <w:t>September 12, 2012</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Limited, dated March 31, 2008.</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2"/>
        </w:trPr>
        <w:tc>
          <w:tcPr>
            <w:tcW w:w="4420" w:type="dxa"/>
            <w:vAlign w:val="bottom"/>
          </w:tcPr>
          <w:p>
            <w:pPr>
              <w:spacing w:after="0"/>
              <w:rPr>
                <w:sz w:val="20"/>
                <w:szCs w:val="20"/>
                <w:color w:val="auto"/>
              </w:rPr>
            </w:pPr>
            <w:r>
              <w:rPr>
                <w:rFonts w:ascii="Arial" w:cs="Arial" w:eastAsia="Arial" w:hAnsi="Arial"/>
                <w:sz w:val="13"/>
                <w:szCs w:val="13"/>
                <w:color w:val="auto"/>
              </w:rPr>
              <w:t>Manufacturing Services Agreement, between Qualys, Inc. and Synnex</w:t>
            </w:r>
          </w:p>
        </w:tc>
        <w:tc>
          <w:tcPr>
            <w:tcW w:w="920" w:type="dxa"/>
            <w:vAlign w:val="bottom"/>
          </w:tcPr>
          <w:p>
            <w:pPr>
              <w:spacing w:after="0"/>
              <w:rPr>
                <w:sz w:val="24"/>
                <w:szCs w:val="24"/>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color w:val="auto"/>
                <w:w w:val="98"/>
              </w:rPr>
              <w:t>S-1/A</w:t>
            </w:r>
          </w:p>
        </w:tc>
        <w:tc>
          <w:tcPr>
            <w:tcW w:w="1040" w:type="dxa"/>
            <w:vAlign w:val="bottom"/>
            <w:vMerge w:val="restart"/>
          </w:tcPr>
          <w:p>
            <w:pPr>
              <w:jc w:val="center"/>
              <w:ind w:right="97"/>
              <w:spacing w:after="0"/>
              <w:rPr>
                <w:sz w:val="20"/>
                <w:szCs w:val="20"/>
                <w:color w:val="auto"/>
              </w:rPr>
            </w:pPr>
            <w:r>
              <w:rPr>
                <w:rFonts w:ascii="Arial" w:cs="Arial" w:eastAsia="Arial" w:hAnsi="Arial"/>
                <w:sz w:val="13"/>
                <w:szCs w:val="13"/>
                <w:color w:val="auto"/>
                <w:w w:val="97"/>
              </w:rPr>
              <w:t>333-182027</w:t>
            </w:r>
          </w:p>
        </w:tc>
        <w:tc>
          <w:tcPr>
            <w:tcW w:w="720" w:type="dxa"/>
            <w:vAlign w:val="bottom"/>
            <w:vMerge w:val="restart"/>
          </w:tcPr>
          <w:p>
            <w:pPr>
              <w:jc w:val="center"/>
              <w:ind w:right="17"/>
              <w:spacing w:after="0"/>
              <w:rPr>
                <w:sz w:val="20"/>
                <w:szCs w:val="20"/>
                <w:color w:val="auto"/>
              </w:rPr>
            </w:pPr>
            <w:r>
              <w:rPr>
                <w:rFonts w:ascii="Arial" w:cs="Arial" w:eastAsia="Arial" w:hAnsi="Arial"/>
                <w:sz w:val="13"/>
                <w:szCs w:val="13"/>
                <w:color w:val="auto"/>
                <w:w w:val="98"/>
              </w:rPr>
              <w:t>10.16</w:t>
            </w:r>
          </w:p>
        </w:tc>
        <w:tc>
          <w:tcPr>
            <w:tcW w:w="1240" w:type="dxa"/>
            <w:vAlign w:val="bottom"/>
            <w:vMerge w:val="restart"/>
          </w:tcPr>
          <w:p>
            <w:pPr>
              <w:jc w:val="center"/>
              <w:ind w:left="37"/>
              <w:spacing w:after="0"/>
              <w:rPr>
                <w:sz w:val="20"/>
                <w:szCs w:val="20"/>
                <w:color w:val="auto"/>
              </w:rPr>
            </w:pPr>
            <w:r>
              <w:rPr>
                <w:rFonts w:ascii="Arial" w:cs="Arial" w:eastAsia="Arial" w:hAnsi="Arial"/>
                <w:sz w:val="13"/>
                <w:szCs w:val="13"/>
                <w:color w:val="auto"/>
                <w:w w:val="96"/>
              </w:rPr>
              <w:t>September 12, 2012</w:t>
            </w:r>
          </w:p>
        </w:tc>
        <w:tc>
          <w:tcPr>
            <w:tcW w:w="0" w:type="dxa"/>
            <w:vAlign w:val="bottom"/>
          </w:tcPr>
          <w:p>
            <w:pPr>
              <w:spacing w:after="0"/>
              <w:rPr>
                <w:sz w:val="1"/>
                <w:szCs w:val="1"/>
                <w:color w:val="auto"/>
              </w:rPr>
            </w:pPr>
          </w:p>
        </w:tc>
      </w:tr>
      <w:tr>
        <w:trPr>
          <w:trHeight w:val="85"/>
        </w:trPr>
        <w:tc>
          <w:tcPr>
            <w:tcW w:w="4420" w:type="dxa"/>
            <w:vAlign w:val="bottom"/>
            <w:vMerge w:val="restart"/>
          </w:tcPr>
          <w:p>
            <w:pPr>
              <w:spacing w:after="0"/>
              <w:rPr>
                <w:sz w:val="20"/>
                <w:szCs w:val="20"/>
                <w:color w:val="auto"/>
              </w:rPr>
            </w:pPr>
            <w:r>
              <w:rPr>
                <w:rFonts w:ascii="Arial" w:cs="Arial" w:eastAsia="Arial" w:hAnsi="Arial"/>
                <w:sz w:val="13"/>
                <w:szCs w:val="13"/>
                <w:color w:val="auto"/>
              </w:rPr>
              <w:t>Corporation, dated March 1, 2011.</w:t>
            </w:r>
          </w:p>
        </w:tc>
        <w:tc>
          <w:tcPr>
            <w:tcW w:w="9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00" w:space="600"/>
            <w:col w:w="10000"/>
          </w:cols>
          <w:pgMar w:left="240" w:top="141" w:right="359" w:bottom="1440" w:gutter="0" w:footer="0" w:header="0"/>
          <w:type w:val="continuous"/>
        </w:sectPr>
      </w:pP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300"/>
          </w:cols>
          <w:pgMar w:left="240" w:top="141" w:right="359" w:bottom="1440" w:gutter="0" w:footer="0" w:header="0"/>
          <w:type w:val="continuous"/>
        </w:sectPr>
      </w:pPr>
    </w:p>
    <w:bookmarkStart w:id="92" w:name="page93"/>
    <w:bookmarkEnd w:id="9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152"/>
        </w:trPr>
        <w:tc>
          <w:tcPr>
            <w:tcW w:w="800" w:type="dxa"/>
            <w:vAlign w:val="bottom"/>
          </w:tcPr>
          <w:p>
            <w:pPr>
              <w:jc w:val="center"/>
              <w:ind w:right="257"/>
              <w:spacing w:after="0"/>
              <w:rPr>
                <w:sz w:val="20"/>
                <w:szCs w:val="20"/>
                <w:color w:val="auto"/>
              </w:rPr>
            </w:pPr>
            <w:r>
              <w:rPr>
                <w:rFonts w:ascii="Arial" w:cs="Arial" w:eastAsia="Arial" w:hAnsi="Arial"/>
                <w:sz w:val="13"/>
                <w:szCs w:val="13"/>
                <w:color w:val="auto"/>
                <w:w w:val="94"/>
              </w:rPr>
              <w:t>21.1</w:t>
            </w:r>
          </w:p>
        </w:tc>
        <w:tc>
          <w:tcPr>
            <w:tcW w:w="4900" w:type="dxa"/>
            <w:vAlign w:val="bottom"/>
          </w:tcPr>
          <w:p>
            <w:pPr>
              <w:ind w:left="280"/>
              <w:spacing w:after="0"/>
              <w:rPr>
                <w:sz w:val="20"/>
                <w:szCs w:val="20"/>
                <w:color w:val="auto"/>
              </w:rPr>
            </w:pPr>
            <w:r>
              <w:rPr>
                <w:rFonts w:ascii="Arial" w:cs="Arial" w:eastAsia="Arial" w:hAnsi="Arial"/>
                <w:sz w:val="13"/>
                <w:szCs w:val="13"/>
                <w:color w:val="auto"/>
              </w:rPr>
              <w:t>List of subsidiaries of Qualys, Inc.</w:t>
            </w:r>
          </w:p>
        </w:tc>
        <w:tc>
          <w:tcPr>
            <w:tcW w:w="300" w:type="dxa"/>
            <w:vAlign w:val="bottom"/>
          </w:tcPr>
          <w:p>
            <w:pPr>
              <w:ind w:left="220"/>
              <w:spacing w:after="0"/>
              <w:rPr>
                <w:sz w:val="20"/>
                <w:szCs w:val="20"/>
                <w:color w:val="auto"/>
              </w:rPr>
            </w:pPr>
            <w:r>
              <w:rPr>
                <w:rFonts w:ascii="Arial" w:cs="Arial" w:eastAsia="Arial" w:hAnsi="Arial"/>
                <w:sz w:val="12"/>
                <w:szCs w:val="12"/>
                <w:color w:val="auto"/>
                <w:w w:val="74"/>
              </w:rPr>
              <w:t>X</w:t>
            </w:r>
          </w:p>
        </w:tc>
      </w:tr>
      <w:tr>
        <w:trPr>
          <w:trHeight w:val="594"/>
        </w:trPr>
        <w:tc>
          <w:tcPr>
            <w:tcW w:w="800" w:type="dxa"/>
            <w:vAlign w:val="bottom"/>
          </w:tcPr>
          <w:p>
            <w:pPr>
              <w:jc w:val="center"/>
              <w:ind w:right="257"/>
              <w:spacing w:after="0"/>
              <w:rPr>
                <w:sz w:val="20"/>
                <w:szCs w:val="20"/>
                <w:color w:val="auto"/>
              </w:rPr>
            </w:pPr>
            <w:r>
              <w:rPr>
                <w:rFonts w:ascii="Arial" w:cs="Arial" w:eastAsia="Arial" w:hAnsi="Arial"/>
                <w:sz w:val="13"/>
                <w:szCs w:val="13"/>
                <w:color w:val="auto"/>
                <w:w w:val="94"/>
              </w:rPr>
              <w:t>23.1</w:t>
            </w:r>
          </w:p>
        </w:tc>
        <w:tc>
          <w:tcPr>
            <w:tcW w:w="4900" w:type="dxa"/>
            <w:vAlign w:val="bottom"/>
          </w:tcPr>
          <w:p>
            <w:pPr>
              <w:ind w:left="280"/>
              <w:spacing w:after="0"/>
              <w:rPr>
                <w:sz w:val="20"/>
                <w:szCs w:val="20"/>
                <w:color w:val="auto"/>
              </w:rPr>
            </w:pPr>
            <w:r>
              <w:rPr>
                <w:rFonts w:ascii="Arial" w:cs="Arial" w:eastAsia="Arial" w:hAnsi="Arial"/>
                <w:sz w:val="13"/>
                <w:szCs w:val="13"/>
                <w:color w:val="auto"/>
              </w:rPr>
              <w:t>Consent of Grant Thornton LLP, independent registered public accounting firm.</w:t>
            </w:r>
          </w:p>
        </w:tc>
        <w:tc>
          <w:tcPr>
            <w:tcW w:w="300" w:type="dxa"/>
            <w:vAlign w:val="bottom"/>
          </w:tcPr>
          <w:p>
            <w:pPr>
              <w:ind w:left="220"/>
              <w:spacing w:after="0"/>
              <w:rPr>
                <w:sz w:val="20"/>
                <w:szCs w:val="20"/>
                <w:color w:val="auto"/>
              </w:rPr>
            </w:pPr>
            <w:r>
              <w:rPr>
                <w:rFonts w:ascii="Arial" w:cs="Arial" w:eastAsia="Arial" w:hAnsi="Arial"/>
                <w:sz w:val="12"/>
                <w:szCs w:val="12"/>
                <w:color w:val="auto"/>
                <w:w w:val="74"/>
              </w:rPr>
              <w:t>X</w:t>
            </w:r>
          </w:p>
        </w:tc>
      </w:tr>
      <w:tr>
        <w:trPr>
          <w:trHeight w:val="537"/>
        </w:trPr>
        <w:tc>
          <w:tcPr>
            <w:tcW w:w="800" w:type="dxa"/>
            <w:vAlign w:val="bottom"/>
          </w:tcPr>
          <w:p>
            <w:pPr>
              <w:spacing w:after="0"/>
              <w:rPr>
                <w:sz w:val="24"/>
                <w:szCs w:val="24"/>
                <w:color w:val="auto"/>
              </w:rPr>
            </w:pPr>
          </w:p>
        </w:tc>
        <w:tc>
          <w:tcPr>
            <w:tcW w:w="4900" w:type="dxa"/>
            <w:vAlign w:val="bottom"/>
          </w:tcPr>
          <w:p>
            <w:pPr>
              <w:ind w:left="280"/>
              <w:spacing w:after="0"/>
              <w:rPr>
                <w:sz w:val="20"/>
                <w:szCs w:val="20"/>
                <w:color w:val="auto"/>
              </w:rPr>
            </w:pPr>
            <w:r>
              <w:rPr>
                <w:rFonts w:ascii="Arial" w:cs="Arial" w:eastAsia="Arial" w:hAnsi="Arial"/>
                <w:sz w:val="13"/>
                <w:szCs w:val="13"/>
                <w:color w:val="auto"/>
              </w:rPr>
              <w:t>Certification of Chief Executive Officer pursuant to Rule 13a-14(a) or Rule 15d-</w:t>
            </w:r>
          </w:p>
        </w:tc>
        <w:tc>
          <w:tcPr>
            <w:tcW w:w="300" w:type="dxa"/>
            <w:vAlign w:val="bottom"/>
          </w:tcPr>
          <w:p>
            <w:pPr>
              <w:spacing w:after="0"/>
              <w:rPr>
                <w:sz w:val="24"/>
                <w:szCs w:val="24"/>
                <w:color w:val="auto"/>
              </w:rPr>
            </w:pPr>
          </w:p>
        </w:tc>
      </w:tr>
      <w:tr>
        <w:trPr>
          <w:trHeight w:val="135"/>
        </w:trPr>
        <w:tc>
          <w:tcPr>
            <w:tcW w:w="800" w:type="dxa"/>
            <w:vAlign w:val="bottom"/>
          </w:tcPr>
          <w:p>
            <w:pPr>
              <w:jc w:val="center"/>
              <w:ind w:right="257"/>
              <w:spacing w:after="0" w:line="135" w:lineRule="exact"/>
              <w:rPr>
                <w:sz w:val="20"/>
                <w:szCs w:val="20"/>
                <w:color w:val="auto"/>
              </w:rPr>
            </w:pPr>
            <w:r>
              <w:rPr>
                <w:rFonts w:ascii="Arial" w:cs="Arial" w:eastAsia="Arial" w:hAnsi="Arial"/>
                <w:sz w:val="13"/>
                <w:szCs w:val="13"/>
                <w:color w:val="auto"/>
                <w:w w:val="94"/>
              </w:rPr>
              <w:t>31.1</w:t>
            </w:r>
          </w:p>
        </w:tc>
        <w:tc>
          <w:tcPr>
            <w:tcW w:w="4900" w:type="dxa"/>
            <w:vAlign w:val="bottom"/>
          </w:tcPr>
          <w:p>
            <w:pPr>
              <w:ind w:left="280"/>
              <w:spacing w:after="0" w:line="135" w:lineRule="exact"/>
              <w:rPr>
                <w:sz w:val="20"/>
                <w:szCs w:val="20"/>
                <w:color w:val="auto"/>
              </w:rPr>
            </w:pPr>
            <w:r>
              <w:rPr>
                <w:rFonts w:ascii="Arial" w:cs="Arial" w:eastAsia="Arial" w:hAnsi="Arial"/>
                <w:sz w:val="13"/>
                <w:szCs w:val="13"/>
                <w:color w:val="auto"/>
              </w:rPr>
              <w:t>14(a) of the Securities Exchange Act of 1934, as adopted pursuant to Section</w:t>
            </w:r>
          </w:p>
        </w:tc>
        <w:tc>
          <w:tcPr>
            <w:tcW w:w="300" w:type="dxa"/>
            <w:vAlign w:val="bottom"/>
          </w:tcPr>
          <w:p>
            <w:pPr>
              <w:ind w:left="220"/>
              <w:spacing w:after="0" w:line="135" w:lineRule="exact"/>
              <w:rPr>
                <w:sz w:val="20"/>
                <w:szCs w:val="20"/>
                <w:color w:val="auto"/>
              </w:rPr>
            </w:pPr>
            <w:r>
              <w:rPr>
                <w:rFonts w:ascii="Arial" w:cs="Arial" w:eastAsia="Arial" w:hAnsi="Arial"/>
                <w:sz w:val="12"/>
                <w:szCs w:val="12"/>
                <w:color w:val="auto"/>
                <w:w w:val="74"/>
              </w:rPr>
              <w:t>X</w:t>
            </w:r>
          </w:p>
        </w:tc>
      </w:tr>
      <w:tr>
        <w:trPr>
          <w:trHeight w:val="152"/>
        </w:trPr>
        <w:tc>
          <w:tcPr>
            <w:tcW w:w="800" w:type="dxa"/>
            <w:vAlign w:val="bottom"/>
          </w:tcPr>
          <w:p>
            <w:pPr>
              <w:spacing w:after="0"/>
              <w:rPr>
                <w:sz w:val="13"/>
                <w:szCs w:val="13"/>
                <w:color w:val="auto"/>
              </w:rPr>
            </w:pPr>
          </w:p>
        </w:tc>
        <w:tc>
          <w:tcPr>
            <w:tcW w:w="4900" w:type="dxa"/>
            <w:vAlign w:val="bottom"/>
          </w:tcPr>
          <w:p>
            <w:pPr>
              <w:ind w:left="280"/>
              <w:spacing w:after="0"/>
              <w:rPr>
                <w:sz w:val="20"/>
                <w:szCs w:val="20"/>
                <w:color w:val="auto"/>
              </w:rPr>
            </w:pPr>
            <w:r>
              <w:rPr>
                <w:rFonts w:ascii="Arial" w:cs="Arial" w:eastAsia="Arial" w:hAnsi="Arial"/>
                <w:sz w:val="13"/>
                <w:szCs w:val="13"/>
                <w:color w:val="auto"/>
              </w:rPr>
              <w:t>302 of The Sarbanes-Oxley Act of 2002.</w:t>
            </w:r>
          </w:p>
        </w:tc>
        <w:tc>
          <w:tcPr>
            <w:tcW w:w="300" w:type="dxa"/>
            <w:vAlign w:val="bottom"/>
          </w:tcPr>
          <w:p>
            <w:pPr>
              <w:spacing w:after="0"/>
              <w:rPr>
                <w:sz w:val="13"/>
                <w:szCs w:val="13"/>
                <w:color w:val="auto"/>
              </w:rPr>
            </w:pPr>
          </w:p>
        </w:tc>
      </w:tr>
      <w:tr>
        <w:trPr>
          <w:trHeight w:val="496"/>
        </w:trPr>
        <w:tc>
          <w:tcPr>
            <w:tcW w:w="800" w:type="dxa"/>
            <w:vAlign w:val="bottom"/>
          </w:tcPr>
          <w:p>
            <w:pPr>
              <w:spacing w:after="0"/>
              <w:rPr>
                <w:sz w:val="24"/>
                <w:szCs w:val="24"/>
                <w:color w:val="auto"/>
              </w:rPr>
            </w:pPr>
          </w:p>
        </w:tc>
        <w:tc>
          <w:tcPr>
            <w:tcW w:w="4900" w:type="dxa"/>
            <w:vAlign w:val="bottom"/>
          </w:tcPr>
          <w:p>
            <w:pPr>
              <w:ind w:left="280"/>
              <w:spacing w:after="0"/>
              <w:rPr>
                <w:sz w:val="20"/>
                <w:szCs w:val="20"/>
                <w:color w:val="auto"/>
              </w:rPr>
            </w:pPr>
            <w:r>
              <w:rPr>
                <w:rFonts w:ascii="Arial" w:cs="Arial" w:eastAsia="Arial" w:hAnsi="Arial"/>
                <w:sz w:val="13"/>
                <w:szCs w:val="13"/>
                <w:color w:val="auto"/>
              </w:rPr>
              <w:t>Certification of Chief Financial Officer pursuant to Rule 13a-14(a) or Rule 15d-</w:t>
            </w:r>
          </w:p>
        </w:tc>
        <w:tc>
          <w:tcPr>
            <w:tcW w:w="300" w:type="dxa"/>
            <w:vAlign w:val="bottom"/>
          </w:tcPr>
          <w:p>
            <w:pPr>
              <w:spacing w:after="0"/>
              <w:rPr>
                <w:sz w:val="24"/>
                <w:szCs w:val="24"/>
                <w:color w:val="auto"/>
              </w:rPr>
            </w:pPr>
          </w:p>
        </w:tc>
      </w:tr>
      <w:tr>
        <w:trPr>
          <w:trHeight w:val="135"/>
        </w:trPr>
        <w:tc>
          <w:tcPr>
            <w:tcW w:w="800" w:type="dxa"/>
            <w:vAlign w:val="bottom"/>
          </w:tcPr>
          <w:p>
            <w:pPr>
              <w:jc w:val="center"/>
              <w:ind w:right="257"/>
              <w:spacing w:after="0" w:line="135" w:lineRule="exact"/>
              <w:rPr>
                <w:sz w:val="20"/>
                <w:szCs w:val="20"/>
                <w:color w:val="auto"/>
              </w:rPr>
            </w:pPr>
            <w:r>
              <w:rPr>
                <w:rFonts w:ascii="Arial" w:cs="Arial" w:eastAsia="Arial" w:hAnsi="Arial"/>
                <w:sz w:val="13"/>
                <w:szCs w:val="13"/>
                <w:color w:val="auto"/>
                <w:w w:val="94"/>
              </w:rPr>
              <w:t>31.2</w:t>
            </w:r>
          </w:p>
        </w:tc>
        <w:tc>
          <w:tcPr>
            <w:tcW w:w="4900" w:type="dxa"/>
            <w:vAlign w:val="bottom"/>
          </w:tcPr>
          <w:p>
            <w:pPr>
              <w:ind w:left="280"/>
              <w:spacing w:after="0" w:line="135" w:lineRule="exact"/>
              <w:rPr>
                <w:sz w:val="20"/>
                <w:szCs w:val="20"/>
                <w:color w:val="auto"/>
              </w:rPr>
            </w:pPr>
            <w:r>
              <w:rPr>
                <w:rFonts w:ascii="Arial" w:cs="Arial" w:eastAsia="Arial" w:hAnsi="Arial"/>
                <w:sz w:val="13"/>
                <w:szCs w:val="13"/>
                <w:color w:val="auto"/>
              </w:rPr>
              <w:t>14(a) of the Securities Exchange Act of 1934, as adopted pursuant to Section</w:t>
            </w:r>
          </w:p>
        </w:tc>
        <w:tc>
          <w:tcPr>
            <w:tcW w:w="300" w:type="dxa"/>
            <w:vAlign w:val="bottom"/>
          </w:tcPr>
          <w:p>
            <w:pPr>
              <w:ind w:left="220"/>
              <w:spacing w:after="0" w:line="135" w:lineRule="exact"/>
              <w:rPr>
                <w:sz w:val="20"/>
                <w:szCs w:val="20"/>
                <w:color w:val="auto"/>
              </w:rPr>
            </w:pPr>
            <w:r>
              <w:rPr>
                <w:rFonts w:ascii="Arial" w:cs="Arial" w:eastAsia="Arial" w:hAnsi="Arial"/>
                <w:sz w:val="12"/>
                <w:szCs w:val="12"/>
                <w:color w:val="auto"/>
                <w:w w:val="74"/>
              </w:rPr>
              <w:t>X</w:t>
            </w:r>
          </w:p>
        </w:tc>
      </w:tr>
      <w:tr>
        <w:trPr>
          <w:trHeight w:val="152"/>
        </w:trPr>
        <w:tc>
          <w:tcPr>
            <w:tcW w:w="800" w:type="dxa"/>
            <w:vAlign w:val="bottom"/>
          </w:tcPr>
          <w:p>
            <w:pPr>
              <w:spacing w:after="0"/>
              <w:rPr>
                <w:sz w:val="13"/>
                <w:szCs w:val="13"/>
                <w:color w:val="auto"/>
              </w:rPr>
            </w:pPr>
          </w:p>
        </w:tc>
        <w:tc>
          <w:tcPr>
            <w:tcW w:w="4900" w:type="dxa"/>
            <w:vAlign w:val="bottom"/>
          </w:tcPr>
          <w:p>
            <w:pPr>
              <w:ind w:left="280"/>
              <w:spacing w:after="0"/>
              <w:rPr>
                <w:sz w:val="20"/>
                <w:szCs w:val="20"/>
                <w:color w:val="auto"/>
              </w:rPr>
            </w:pPr>
            <w:r>
              <w:rPr>
                <w:rFonts w:ascii="Arial" w:cs="Arial" w:eastAsia="Arial" w:hAnsi="Arial"/>
                <w:sz w:val="13"/>
                <w:szCs w:val="13"/>
                <w:color w:val="auto"/>
              </w:rPr>
              <w:t>302 of The Sarbanes-Oxley Act of 2002.</w:t>
            </w:r>
          </w:p>
        </w:tc>
        <w:tc>
          <w:tcPr>
            <w:tcW w:w="300" w:type="dxa"/>
            <w:vAlign w:val="bottom"/>
          </w:tcPr>
          <w:p>
            <w:pPr>
              <w:spacing w:after="0"/>
              <w:rPr>
                <w:sz w:val="13"/>
                <w:szCs w:val="13"/>
                <w:color w:val="auto"/>
              </w:rPr>
            </w:pPr>
          </w:p>
        </w:tc>
      </w:tr>
      <w:tr>
        <w:trPr>
          <w:trHeight w:val="496"/>
        </w:trPr>
        <w:tc>
          <w:tcPr>
            <w:tcW w:w="800" w:type="dxa"/>
            <w:vAlign w:val="bottom"/>
          </w:tcPr>
          <w:p>
            <w:pPr>
              <w:spacing w:after="0"/>
              <w:rPr>
                <w:sz w:val="24"/>
                <w:szCs w:val="24"/>
                <w:color w:val="auto"/>
              </w:rPr>
            </w:pPr>
          </w:p>
        </w:tc>
        <w:tc>
          <w:tcPr>
            <w:tcW w:w="4900" w:type="dxa"/>
            <w:vAlign w:val="bottom"/>
          </w:tcPr>
          <w:p>
            <w:pPr>
              <w:ind w:left="280"/>
              <w:spacing w:after="0"/>
              <w:rPr>
                <w:sz w:val="20"/>
                <w:szCs w:val="20"/>
                <w:color w:val="auto"/>
              </w:rPr>
            </w:pPr>
            <w:r>
              <w:rPr>
                <w:rFonts w:ascii="Arial" w:cs="Arial" w:eastAsia="Arial" w:hAnsi="Arial"/>
                <w:sz w:val="13"/>
                <w:szCs w:val="13"/>
                <w:color w:val="auto"/>
              </w:rPr>
              <w:t>Certification of Chief Executive Officer pursuant to Rule 13a-14(b) or Rule 15d-</w:t>
            </w:r>
          </w:p>
        </w:tc>
        <w:tc>
          <w:tcPr>
            <w:tcW w:w="300" w:type="dxa"/>
            <w:vAlign w:val="bottom"/>
          </w:tcPr>
          <w:p>
            <w:pPr>
              <w:spacing w:after="0"/>
              <w:rPr>
                <w:sz w:val="24"/>
                <w:szCs w:val="24"/>
                <w:color w:val="auto"/>
              </w:rPr>
            </w:pPr>
          </w:p>
        </w:tc>
      </w:tr>
      <w:tr>
        <w:trPr>
          <w:trHeight w:val="135"/>
        </w:trPr>
        <w:tc>
          <w:tcPr>
            <w:tcW w:w="800" w:type="dxa"/>
            <w:vAlign w:val="bottom"/>
          </w:tcPr>
          <w:p>
            <w:pPr>
              <w:jc w:val="center"/>
              <w:ind w:right="257"/>
              <w:spacing w:after="0" w:line="135" w:lineRule="exact"/>
              <w:rPr>
                <w:sz w:val="20"/>
                <w:szCs w:val="20"/>
                <w:color w:val="auto"/>
              </w:rPr>
            </w:pPr>
            <w:r>
              <w:rPr>
                <w:rFonts w:ascii="Arial" w:cs="Arial" w:eastAsia="Arial" w:hAnsi="Arial"/>
                <w:sz w:val="13"/>
                <w:szCs w:val="13"/>
                <w:color w:val="auto"/>
                <w:w w:val="94"/>
              </w:rPr>
              <w:t>32.1</w:t>
            </w:r>
          </w:p>
        </w:tc>
        <w:tc>
          <w:tcPr>
            <w:tcW w:w="4900" w:type="dxa"/>
            <w:vAlign w:val="bottom"/>
          </w:tcPr>
          <w:p>
            <w:pPr>
              <w:ind w:left="280"/>
              <w:spacing w:after="0" w:line="135" w:lineRule="exact"/>
              <w:rPr>
                <w:sz w:val="20"/>
                <w:szCs w:val="20"/>
                <w:color w:val="auto"/>
              </w:rPr>
            </w:pPr>
            <w:r>
              <w:rPr>
                <w:rFonts w:ascii="Arial" w:cs="Arial" w:eastAsia="Arial" w:hAnsi="Arial"/>
                <w:sz w:val="13"/>
                <w:szCs w:val="13"/>
                <w:color w:val="auto"/>
              </w:rPr>
              <w:t>14(b) of the Securities Exchange Act of 1934 and 18 U.S.C. Section 1350 as</w:t>
            </w:r>
          </w:p>
        </w:tc>
        <w:tc>
          <w:tcPr>
            <w:tcW w:w="300" w:type="dxa"/>
            <w:vAlign w:val="bottom"/>
          </w:tcPr>
          <w:p>
            <w:pPr>
              <w:ind w:left="220"/>
              <w:spacing w:after="0" w:line="135" w:lineRule="exact"/>
              <w:rPr>
                <w:sz w:val="20"/>
                <w:szCs w:val="20"/>
                <w:color w:val="auto"/>
              </w:rPr>
            </w:pPr>
            <w:r>
              <w:rPr>
                <w:rFonts w:ascii="Arial" w:cs="Arial" w:eastAsia="Arial" w:hAnsi="Arial"/>
                <w:sz w:val="12"/>
                <w:szCs w:val="12"/>
                <w:color w:val="auto"/>
                <w:w w:val="74"/>
              </w:rPr>
              <w:t>X</w:t>
            </w:r>
          </w:p>
        </w:tc>
      </w:tr>
      <w:tr>
        <w:trPr>
          <w:trHeight w:val="152"/>
        </w:trPr>
        <w:tc>
          <w:tcPr>
            <w:tcW w:w="800" w:type="dxa"/>
            <w:vAlign w:val="bottom"/>
          </w:tcPr>
          <w:p>
            <w:pPr>
              <w:spacing w:after="0"/>
              <w:rPr>
                <w:sz w:val="13"/>
                <w:szCs w:val="13"/>
                <w:color w:val="auto"/>
              </w:rPr>
            </w:pPr>
          </w:p>
        </w:tc>
        <w:tc>
          <w:tcPr>
            <w:tcW w:w="4900" w:type="dxa"/>
            <w:vAlign w:val="bottom"/>
          </w:tcPr>
          <w:p>
            <w:pPr>
              <w:ind w:left="280"/>
              <w:spacing w:after="0"/>
              <w:rPr>
                <w:sz w:val="20"/>
                <w:szCs w:val="20"/>
                <w:color w:val="auto"/>
              </w:rPr>
            </w:pPr>
            <w:r>
              <w:rPr>
                <w:rFonts w:ascii="Arial" w:cs="Arial" w:eastAsia="Arial" w:hAnsi="Arial"/>
                <w:sz w:val="13"/>
                <w:szCs w:val="13"/>
                <w:color w:val="auto"/>
              </w:rPr>
              <w:t>adopted pursuant to Section 906 of The Sarbanes-Oxley Act of 2002.</w:t>
            </w:r>
          </w:p>
        </w:tc>
        <w:tc>
          <w:tcPr>
            <w:tcW w:w="300" w:type="dxa"/>
            <w:vAlign w:val="bottom"/>
          </w:tcPr>
          <w:p>
            <w:pPr>
              <w:spacing w:after="0"/>
              <w:rPr>
                <w:sz w:val="13"/>
                <w:szCs w:val="13"/>
                <w:color w:val="auto"/>
              </w:rPr>
            </w:pPr>
          </w:p>
        </w:tc>
      </w:tr>
      <w:tr>
        <w:trPr>
          <w:trHeight w:val="496"/>
        </w:trPr>
        <w:tc>
          <w:tcPr>
            <w:tcW w:w="800" w:type="dxa"/>
            <w:vAlign w:val="bottom"/>
          </w:tcPr>
          <w:p>
            <w:pPr>
              <w:spacing w:after="0"/>
              <w:rPr>
                <w:sz w:val="24"/>
                <w:szCs w:val="24"/>
                <w:color w:val="auto"/>
              </w:rPr>
            </w:pPr>
          </w:p>
        </w:tc>
        <w:tc>
          <w:tcPr>
            <w:tcW w:w="4900" w:type="dxa"/>
            <w:vAlign w:val="bottom"/>
          </w:tcPr>
          <w:p>
            <w:pPr>
              <w:ind w:left="280"/>
              <w:spacing w:after="0"/>
              <w:rPr>
                <w:sz w:val="20"/>
                <w:szCs w:val="20"/>
                <w:color w:val="auto"/>
              </w:rPr>
            </w:pPr>
            <w:r>
              <w:rPr>
                <w:rFonts w:ascii="Arial" w:cs="Arial" w:eastAsia="Arial" w:hAnsi="Arial"/>
                <w:sz w:val="13"/>
                <w:szCs w:val="13"/>
                <w:color w:val="auto"/>
              </w:rPr>
              <w:t>Certification of Chief Financial Officer pursuant to Rule 13a-14(b) or Rule 15d-</w:t>
            </w:r>
          </w:p>
        </w:tc>
        <w:tc>
          <w:tcPr>
            <w:tcW w:w="300" w:type="dxa"/>
            <w:vAlign w:val="bottom"/>
          </w:tcPr>
          <w:p>
            <w:pPr>
              <w:spacing w:after="0"/>
              <w:rPr>
                <w:sz w:val="24"/>
                <w:szCs w:val="24"/>
                <w:color w:val="auto"/>
              </w:rPr>
            </w:pPr>
          </w:p>
        </w:tc>
      </w:tr>
      <w:tr>
        <w:trPr>
          <w:trHeight w:val="135"/>
        </w:trPr>
        <w:tc>
          <w:tcPr>
            <w:tcW w:w="800" w:type="dxa"/>
            <w:vAlign w:val="bottom"/>
          </w:tcPr>
          <w:p>
            <w:pPr>
              <w:jc w:val="center"/>
              <w:ind w:right="257"/>
              <w:spacing w:after="0" w:line="135" w:lineRule="exact"/>
              <w:rPr>
                <w:sz w:val="20"/>
                <w:szCs w:val="20"/>
                <w:color w:val="auto"/>
              </w:rPr>
            </w:pPr>
            <w:r>
              <w:rPr>
                <w:rFonts w:ascii="Arial" w:cs="Arial" w:eastAsia="Arial" w:hAnsi="Arial"/>
                <w:sz w:val="13"/>
                <w:szCs w:val="13"/>
                <w:color w:val="auto"/>
                <w:w w:val="94"/>
              </w:rPr>
              <w:t>32.2</w:t>
            </w:r>
          </w:p>
        </w:tc>
        <w:tc>
          <w:tcPr>
            <w:tcW w:w="4900" w:type="dxa"/>
            <w:vAlign w:val="bottom"/>
          </w:tcPr>
          <w:p>
            <w:pPr>
              <w:ind w:left="280"/>
              <w:spacing w:after="0" w:line="135" w:lineRule="exact"/>
              <w:rPr>
                <w:sz w:val="20"/>
                <w:szCs w:val="20"/>
                <w:color w:val="auto"/>
              </w:rPr>
            </w:pPr>
            <w:r>
              <w:rPr>
                <w:rFonts w:ascii="Arial" w:cs="Arial" w:eastAsia="Arial" w:hAnsi="Arial"/>
                <w:sz w:val="13"/>
                <w:szCs w:val="13"/>
                <w:color w:val="auto"/>
              </w:rPr>
              <w:t>14(b) of the Securities Exchange Act of 1934 and 18 U.S.C. Section 1350 as</w:t>
            </w:r>
          </w:p>
        </w:tc>
        <w:tc>
          <w:tcPr>
            <w:tcW w:w="300" w:type="dxa"/>
            <w:vAlign w:val="bottom"/>
          </w:tcPr>
          <w:p>
            <w:pPr>
              <w:ind w:left="220"/>
              <w:spacing w:after="0" w:line="135" w:lineRule="exact"/>
              <w:rPr>
                <w:sz w:val="20"/>
                <w:szCs w:val="20"/>
                <w:color w:val="auto"/>
              </w:rPr>
            </w:pPr>
            <w:r>
              <w:rPr>
                <w:rFonts w:ascii="Arial" w:cs="Arial" w:eastAsia="Arial" w:hAnsi="Arial"/>
                <w:sz w:val="12"/>
                <w:szCs w:val="12"/>
                <w:color w:val="auto"/>
                <w:w w:val="74"/>
              </w:rPr>
              <w:t>X</w:t>
            </w:r>
          </w:p>
        </w:tc>
      </w:tr>
      <w:tr>
        <w:trPr>
          <w:trHeight w:val="152"/>
        </w:trPr>
        <w:tc>
          <w:tcPr>
            <w:tcW w:w="800" w:type="dxa"/>
            <w:vAlign w:val="bottom"/>
          </w:tcPr>
          <w:p>
            <w:pPr>
              <w:spacing w:after="0"/>
              <w:rPr>
                <w:sz w:val="13"/>
                <w:szCs w:val="13"/>
                <w:color w:val="auto"/>
              </w:rPr>
            </w:pPr>
          </w:p>
        </w:tc>
        <w:tc>
          <w:tcPr>
            <w:tcW w:w="4900" w:type="dxa"/>
            <w:vAlign w:val="bottom"/>
          </w:tcPr>
          <w:p>
            <w:pPr>
              <w:ind w:left="280"/>
              <w:spacing w:after="0"/>
              <w:rPr>
                <w:sz w:val="20"/>
                <w:szCs w:val="20"/>
                <w:color w:val="auto"/>
              </w:rPr>
            </w:pPr>
            <w:r>
              <w:rPr>
                <w:rFonts w:ascii="Arial" w:cs="Arial" w:eastAsia="Arial" w:hAnsi="Arial"/>
                <w:sz w:val="13"/>
                <w:szCs w:val="13"/>
                <w:color w:val="auto"/>
              </w:rPr>
              <w:t>adopted pursuant to Section 906 of The Sarbanes-Oxley Act of 2002.</w:t>
            </w:r>
          </w:p>
        </w:tc>
        <w:tc>
          <w:tcPr>
            <w:tcW w:w="300" w:type="dxa"/>
            <w:vAlign w:val="bottom"/>
          </w:tcPr>
          <w:p>
            <w:pPr>
              <w:spacing w:after="0"/>
              <w:rPr>
                <w:sz w:val="13"/>
                <w:szCs w:val="13"/>
                <w:color w:val="auto"/>
              </w:rPr>
            </w:pPr>
          </w:p>
        </w:tc>
      </w:tr>
      <w:tr>
        <w:trPr>
          <w:trHeight w:val="554"/>
        </w:trPr>
        <w:tc>
          <w:tcPr>
            <w:tcW w:w="800" w:type="dxa"/>
            <w:vAlign w:val="bottom"/>
          </w:tcPr>
          <w:p>
            <w:pPr>
              <w:jc w:val="center"/>
              <w:ind w:right="237"/>
              <w:spacing w:after="0"/>
              <w:rPr>
                <w:sz w:val="20"/>
                <w:szCs w:val="20"/>
                <w:color w:val="auto"/>
              </w:rPr>
            </w:pPr>
            <w:r>
              <w:rPr>
                <w:rFonts w:ascii="Arial" w:cs="Arial" w:eastAsia="Arial" w:hAnsi="Arial"/>
                <w:sz w:val="13"/>
                <w:szCs w:val="13"/>
                <w:color w:val="auto"/>
                <w:w w:val="97"/>
              </w:rPr>
              <w:t>101.INS</w:t>
            </w:r>
          </w:p>
        </w:tc>
        <w:tc>
          <w:tcPr>
            <w:tcW w:w="4900" w:type="dxa"/>
            <w:vAlign w:val="bottom"/>
          </w:tcPr>
          <w:p>
            <w:pPr>
              <w:ind w:left="280"/>
              <w:spacing w:after="0"/>
              <w:rPr>
                <w:sz w:val="20"/>
                <w:szCs w:val="20"/>
                <w:color w:val="auto"/>
              </w:rPr>
            </w:pPr>
            <w:r>
              <w:rPr>
                <w:rFonts w:ascii="Arial" w:cs="Arial" w:eastAsia="Arial" w:hAnsi="Arial"/>
                <w:sz w:val="13"/>
                <w:szCs w:val="13"/>
                <w:color w:val="auto"/>
              </w:rPr>
              <w:t>XBRL Instance Document</w:t>
            </w:r>
          </w:p>
        </w:tc>
        <w:tc>
          <w:tcPr>
            <w:tcW w:w="300" w:type="dxa"/>
            <w:vAlign w:val="bottom"/>
          </w:tcPr>
          <w:p>
            <w:pPr>
              <w:ind w:left="220"/>
              <w:spacing w:after="0"/>
              <w:rPr>
                <w:sz w:val="20"/>
                <w:szCs w:val="20"/>
                <w:color w:val="auto"/>
              </w:rPr>
            </w:pPr>
            <w:r>
              <w:rPr>
                <w:rFonts w:ascii="Arial" w:cs="Arial" w:eastAsia="Arial" w:hAnsi="Arial"/>
                <w:sz w:val="12"/>
                <w:szCs w:val="12"/>
                <w:color w:val="auto"/>
                <w:w w:val="74"/>
              </w:rPr>
              <w:t>X</w:t>
            </w:r>
          </w:p>
        </w:tc>
      </w:tr>
      <w:tr>
        <w:trPr>
          <w:trHeight w:val="594"/>
        </w:trPr>
        <w:tc>
          <w:tcPr>
            <w:tcW w:w="800" w:type="dxa"/>
            <w:vAlign w:val="bottom"/>
          </w:tcPr>
          <w:p>
            <w:pPr>
              <w:jc w:val="center"/>
              <w:ind w:right="237"/>
              <w:spacing w:after="0"/>
              <w:rPr>
                <w:sz w:val="20"/>
                <w:szCs w:val="20"/>
                <w:color w:val="auto"/>
              </w:rPr>
            </w:pPr>
            <w:r>
              <w:rPr>
                <w:rFonts w:ascii="Arial" w:cs="Arial" w:eastAsia="Arial" w:hAnsi="Arial"/>
                <w:sz w:val="13"/>
                <w:szCs w:val="13"/>
                <w:color w:val="auto"/>
                <w:w w:val="94"/>
              </w:rPr>
              <w:t>101.SCH</w:t>
            </w:r>
          </w:p>
        </w:tc>
        <w:tc>
          <w:tcPr>
            <w:tcW w:w="4900" w:type="dxa"/>
            <w:vAlign w:val="bottom"/>
          </w:tcPr>
          <w:p>
            <w:pPr>
              <w:ind w:left="280"/>
              <w:spacing w:after="0"/>
              <w:rPr>
                <w:sz w:val="20"/>
                <w:szCs w:val="20"/>
                <w:color w:val="auto"/>
              </w:rPr>
            </w:pPr>
            <w:r>
              <w:rPr>
                <w:rFonts w:ascii="Arial" w:cs="Arial" w:eastAsia="Arial" w:hAnsi="Arial"/>
                <w:sz w:val="13"/>
                <w:szCs w:val="13"/>
                <w:color w:val="auto"/>
              </w:rPr>
              <w:t>XBRL Taxonomy Extension Schema Document</w:t>
            </w:r>
          </w:p>
        </w:tc>
        <w:tc>
          <w:tcPr>
            <w:tcW w:w="300" w:type="dxa"/>
            <w:vAlign w:val="bottom"/>
          </w:tcPr>
          <w:p>
            <w:pPr>
              <w:ind w:left="220"/>
              <w:spacing w:after="0"/>
              <w:rPr>
                <w:sz w:val="20"/>
                <w:szCs w:val="20"/>
                <w:color w:val="auto"/>
              </w:rPr>
            </w:pPr>
            <w:r>
              <w:rPr>
                <w:rFonts w:ascii="Arial" w:cs="Arial" w:eastAsia="Arial" w:hAnsi="Arial"/>
                <w:sz w:val="12"/>
                <w:szCs w:val="12"/>
                <w:color w:val="auto"/>
                <w:w w:val="74"/>
              </w:rPr>
              <w:t>X</w:t>
            </w:r>
          </w:p>
        </w:tc>
      </w:tr>
      <w:tr>
        <w:trPr>
          <w:trHeight w:val="594"/>
        </w:trPr>
        <w:tc>
          <w:tcPr>
            <w:tcW w:w="800" w:type="dxa"/>
            <w:vAlign w:val="bottom"/>
          </w:tcPr>
          <w:p>
            <w:pPr>
              <w:jc w:val="center"/>
              <w:ind w:right="237"/>
              <w:spacing w:after="0"/>
              <w:rPr>
                <w:sz w:val="20"/>
                <w:szCs w:val="20"/>
                <w:color w:val="auto"/>
              </w:rPr>
            </w:pPr>
            <w:r>
              <w:rPr>
                <w:rFonts w:ascii="Arial" w:cs="Arial" w:eastAsia="Arial" w:hAnsi="Arial"/>
                <w:sz w:val="13"/>
                <w:szCs w:val="13"/>
                <w:color w:val="auto"/>
                <w:w w:val="98"/>
              </w:rPr>
              <w:t>101.CAL</w:t>
            </w:r>
          </w:p>
        </w:tc>
        <w:tc>
          <w:tcPr>
            <w:tcW w:w="4900" w:type="dxa"/>
            <w:vAlign w:val="bottom"/>
          </w:tcPr>
          <w:p>
            <w:pPr>
              <w:ind w:left="280"/>
              <w:spacing w:after="0"/>
              <w:rPr>
                <w:sz w:val="20"/>
                <w:szCs w:val="20"/>
                <w:color w:val="auto"/>
              </w:rPr>
            </w:pPr>
            <w:r>
              <w:rPr>
                <w:rFonts w:ascii="Arial" w:cs="Arial" w:eastAsia="Arial" w:hAnsi="Arial"/>
                <w:sz w:val="13"/>
                <w:szCs w:val="13"/>
                <w:color w:val="auto"/>
              </w:rPr>
              <w:t>XBRL Taxonomy Extension Calculation Linkbase Document</w:t>
            </w:r>
          </w:p>
        </w:tc>
        <w:tc>
          <w:tcPr>
            <w:tcW w:w="300" w:type="dxa"/>
            <w:vAlign w:val="bottom"/>
          </w:tcPr>
          <w:p>
            <w:pPr>
              <w:ind w:left="220"/>
              <w:spacing w:after="0"/>
              <w:rPr>
                <w:sz w:val="20"/>
                <w:szCs w:val="20"/>
                <w:color w:val="auto"/>
              </w:rPr>
            </w:pPr>
            <w:r>
              <w:rPr>
                <w:rFonts w:ascii="Arial" w:cs="Arial" w:eastAsia="Arial" w:hAnsi="Arial"/>
                <w:sz w:val="12"/>
                <w:szCs w:val="12"/>
                <w:color w:val="auto"/>
                <w:w w:val="74"/>
              </w:rPr>
              <w:t>X</w:t>
            </w:r>
          </w:p>
        </w:tc>
      </w:tr>
      <w:tr>
        <w:trPr>
          <w:trHeight w:val="594"/>
        </w:trPr>
        <w:tc>
          <w:tcPr>
            <w:tcW w:w="800" w:type="dxa"/>
            <w:vAlign w:val="bottom"/>
          </w:tcPr>
          <w:p>
            <w:pPr>
              <w:jc w:val="center"/>
              <w:ind w:right="237"/>
              <w:spacing w:after="0"/>
              <w:rPr>
                <w:sz w:val="20"/>
                <w:szCs w:val="20"/>
                <w:color w:val="auto"/>
              </w:rPr>
            </w:pPr>
            <w:r>
              <w:rPr>
                <w:rFonts w:ascii="Arial" w:cs="Arial" w:eastAsia="Arial" w:hAnsi="Arial"/>
                <w:sz w:val="13"/>
                <w:szCs w:val="13"/>
                <w:color w:val="auto"/>
                <w:w w:val="97"/>
              </w:rPr>
              <w:t>101.DEF</w:t>
            </w:r>
          </w:p>
        </w:tc>
        <w:tc>
          <w:tcPr>
            <w:tcW w:w="4900" w:type="dxa"/>
            <w:vAlign w:val="bottom"/>
          </w:tcPr>
          <w:p>
            <w:pPr>
              <w:ind w:left="280"/>
              <w:spacing w:after="0"/>
              <w:rPr>
                <w:sz w:val="20"/>
                <w:szCs w:val="20"/>
                <w:color w:val="auto"/>
              </w:rPr>
            </w:pPr>
            <w:r>
              <w:rPr>
                <w:rFonts w:ascii="Arial" w:cs="Arial" w:eastAsia="Arial" w:hAnsi="Arial"/>
                <w:sz w:val="13"/>
                <w:szCs w:val="13"/>
                <w:color w:val="auto"/>
              </w:rPr>
              <w:t>XBRL Taxonomy Extension Definition Linkbase</w:t>
            </w:r>
          </w:p>
        </w:tc>
        <w:tc>
          <w:tcPr>
            <w:tcW w:w="300" w:type="dxa"/>
            <w:vAlign w:val="bottom"/>
          </w:tcPr>
          <w:p>
            <w:pPr>
              <w:ind w:left="220"/>
              <w:spacing w:after="0"/>
              <w:rPr>
                <w:sz w:val="20"/>
                <w:szCs w:val="20"/>
                <w:color w:val="auto"/>
              </w:rPr>
            </w:pPr>
            <w:r>
              <w:rPr>
                <w:rFonts w:ascii="Arial" w:cs="Arial" w:eastAsia="Arial" w:hAnsi="Arial"/>
                <w:sz w:val="12"/>
                <w:szCs w:val="12"/>
                <w:color w:val="auto"/>
                <w:w w:val="74"/>
              </w:rPr>
              <w:t>X</w:t>
            </w:r>
          </w:p>
        </w:tc>
      </w:tr>
      <w:tr>
        <w:trPr>
          <w:trHeight w:val="594"/>
        </w:trPr>
        <w:tc>
          <w:tcPr>
            <w:tcW w:w="800" w:type="dxa"/>
            <w:vAlign w:val="bottom"/>
          </w:tcPr>
          <w:p>
            <w:pPr>
              <w:jc w:val="center"/>
              <w:ind w:right="257"/>
              <w:spacing w:after="0"/>
              <w:rPr>
                <w:sz w:val="20"/>
                <w:szCs w:val="20"/>
                <w:color w:val="auto"/>
              </w:rPr>
            </w:pPr>
            <w:r>
              <w:rPr>
                <w:rFonts w:ascii="Arial" w:cs="Arial" w:eastAsia="Arial" w:hAnsi="Arial"/>
                <w:sz w:val="13"/>
                <w:szCs w:val="13"/>
                <w:color w:val="auto"/>
                <w:w w:val="96"/>
              </w:rPr>
              <w:t>101.LAB</w:t>
            </w:r>
          </w:p>
        </w:tc>
        <w:tc>
          <w:tcPr>
            <w:tcW w:w="4900" w:type="dxa"/>
            <w:vAlign w:val="bottom"/>
          </w:tcPr>
          <w:p>
            <w:pPr>
              <w:ind w:left="280"/>
              <w:spacing w:after="0"/>
              <w:rPr>
                <w:sz w:val="20"/>
                <w:szCs w:val="20"/>
                <w:color w:val="auto"/>
              </w:rPr>
            </w:pPr>
            <w:r>
              <w:rPr>
                <w:rFonts w:ascii="Arial" w:cs="Arial" w:eastAsia="Arial" w:hAnsi="Arial"/>
                <w:sz w:val="13"/>
                <w:szCs w:val="13"/>
                <w:color w:val="auto"/>
              </w:rPr>
              <w:t>XBRL Taxonomy Extension Labels Linkbase Document</w:t>
            </w:r>
          </w:p>
        </w:tc>
        <w:tc>
          <w:tcPr>
            <w:tcW w:w="300" w:type="dxa"/>
            <w:vAlign w:val="bottom"/>
          </w:tcPr>
          <w:p>
            <w:pPr>
              <w:ind w:left="220"/>
              <w:spacing w:after="0"/>
              <w:rPr>
                <w:sz w:val="20"/>
                <w:szCs w:val="20"/>
                <w:color w:val="auto"/>
              </w:rPr>
            </w:pPr>
            <w:r>
              <w:rPr>
                <w:rFonts w:ascii="Arial" w:cs="Arial" w:eastAsia="Arial" w:hAnsi="Arial"/>
                <w:sz w:val="12"/>
                <w:szCs w:val="12"/>
                <w:color w:val="auto"/>
                <w:w w:val="74"/>
              </w:rPr>
              <w:t>X</w:t>
            </w:r>
          </w:p>
        </w:tc>
      </w:tr>
      <w:tr>
        <w:trPr>
          <w:trHeight w:val="594"/>
        </w:trPr>
        <w:tc>
          <w:tcPr>
            <w:tcW w:w="800" w:type="dxa"/>
            <w:vAlign w:val="bottom"/>
          </w:tcPr>
          <w:p>
            <w:pPr>
              <w:jc w:val="center"/>
              <w:ind w:right="237"/>
              <w:spacing w:after="0"/>
              <w:rPr>
                <w:sz w:val="20"/>
                <w:szCs w:val="20"/>
                <w:color w:val="auto"/>
              </w:rPr>
            </w:pPr>
            <w:r>
              <w:rPr>
                <w:rFonts w:ascii="Arial" w:cs="Arial" w:eastAsia="Arial" w:hAnsi="Arial"/>
                <w:sz w:val="13"/>
                <w:szCs w:val="13"/>
                <w:color w:val="auto"/>
                <w:w w:val="96"/>
              </w:rPr>
              <w:t>101.PRE</w:t>
            </w:r>
          </w:p>
        </w:tc>
        <w:tc>
          <w:tcPr>
            <w:tcW w:w="4900" w:type="dxa"/>
            <w:vAlign w:val="bottom"/>
          </w:tcPr>
          <w:p>
            <w:pPr>
              <w:ind w:left="280"/>
              <w:spacing w:after="0"/>
              <w:rPr>
                <w:sz w:val="20"/>
                <w:szCs w:val="20"/>
                <w:color w:val="auto"/>
              </w:rPr>
            </w:pPr>
            <w:r>
              <w:rPr>
                <w:rFonts w:ascii="Arial" w:cs="Arial" w:eastAsia="Arial" w:hAnsi="Arial"/>
                <w:sz w:val="13"/>
                <w:szCs w:val="13"/>
                <w:color w:val="auto"/>
              </w:rPr>
              <w:t>XBRL Taxonomy Extension Presentation Linkbase Document</w:t>
            </w:r>
          </w:p>
        </w:tc>
        <w:tc>
          <w:tcPr>
            <w:tcW w:w="300" w:type="dxa"/>
            <w:vAlign w:val="bottom"/>
          </w:tcPr>
          <w:p>
            <w:pPr>
              <w:ind w:left="220"/>
              <w:spacing w:after="0"/>
              <w:rPr>
                <w:sz w:val="20"/>
                <w:szCs w:val="20"/>
                <w:color w:val="auto"/>
              </w:rPr>
            </w:pPr>
            <w:r>
              <w:rPr>
                <w:rFonts w:ascii="Arial" w:cs="Arial" w:eastAsia="Arial" w:hAnsi="Arial"/>
                <w:sz w:val="12"/>
                <w:szCs w:val="12"/>
                <w:color w:val="auto"/>
                <w:w w:val="74"/>
              </w:rPr>
              <w:t>X</w:t>
            </w:r>
          </w:p>
        </w:tc>
      </w:tr>
    </w:tbl>
    <w:p>
      <w:pPr>
        <w:spacing w:after="0" w:line="307" w:lineRule="exact"/>
        <w:rPr>
          <w:sz w:val="20"/>
          <w:szCs w:val="20"/>
          <w:color w:val="auto"/>
        </w:rPr>
      </w:pPr>
    </w:p>
    <w:p>
      <w:pPr>
        <w:ind w:left="1300" w:hanging="347"/>
        <w:spacing w:after="0"/>
        <w:tabs>
          <w:tab w:leader="none" w:pos="1300" w:val="left"/>
        </w:tabs>
        <w:numPr>
          <w:ilvl w:val="0"/>
          <w:numId w:val="27"/>
        </w:numPr>
        <w:rPr>
          <w:rFonts w:ascii="Arial" w:cs="Arial" w:eastAsia="Arial" w:hAnsi="Arial"/>
          <w:sz w:val="25"/>
          <w:szCs w:val="25"/>
          <w:color w:val="auto"/>
          <w:vertAlign w:val="superscript"/>
        </w:rPr>
      </w:pPr>
      <w:r>
        <w:rPr>
          <w:rFonts w:ascii="Arial" w:cs="Arial" w:eastAsia="Arial" w:hAnsi="Arial"/>
          <w:sz w:val="13"/>
          <w:szCs w:val="13"/>
          <w:color w:val="auto"/>
        </w:rPr>
        <w:t>Indicates a management contract or compensatory plan or arrangement.</w:t>
      </w:r>
    </w:p>
    <w:p>
      <w:pPr>
        <w:spacing w:after="0" w:line="78" w:lineRule="exact"/>
        <w:rPr>
          <w:sz w:val="20"/>
          <w:szCs w:val="20"/>
          <w:color w:val="auto"/>
        </w:rPr>
      </w:pPr>
    </w:p>
    <w:p>
      <w:pPr>
        <w:ind w:left="1300" w:right="4679" w:hanging="347"/>
        <w:spacing w:after="0" w:line="225" w:lineRule="auto"/>
        <w:tabs>
          <w:tab w:leader="none" w:pos="1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Portions of this exhibit have been omitted due to a determination by the Securities and Exchange Commission that these portions should be granted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19"/>
          </w:cols>
          <w:pgMar w:left="240" w:top="141"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24, 2017</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24, 2017</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2016,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24, 2017</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2016,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2017</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bullet"/>
      <w:start w:val="1"/>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decimal"/>
      <w:start w:val="2"/>
    </w:lvl>
  </w:abstractNum>
  <w:abstractNum w:abstractNumId="31">
    <w:nsid w:val="6CEAF08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2019-12-29T08:27:54Z</dcterms:created>
  <dcterms:modified xsi:type="dcterms:W3CDTF">2019-12-29T08:27:54Z</dcterms:modified>
</cp:coreProperties>
</file>