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403860</wp:posOffset>
            </wp:positionH>
            <wp:positionV relativeFrom="page">
              <wp:posOffset>163195</wp:posOffset>
            </wp:positionV>
            <wp:extent cx="674052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403860</wp:posOffset>
            </wp:positionH>
            <wp:positionV relativeFrom="page">
              <wp:posOffset>204470</wp:posOffset>
            </wp:positionV>
            <wp:extent cx="67405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2660015</wp:posOffset>
            </wp:positionH>
            <wp:positionV relativeFrom="paragraph">
              <wp:posOffset>212090</wp:posOffset>
            </wp:positionV>
            <wp:extent cx="14211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2660015</wp:posOffset>
            </wp:positionH>
            <wp:positionV relativeFrom="paragraph">
              <wp:posOffset>231140</wp:posOffset>
            </wp:positionV>
            <wp:extent cx="142113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4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1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§240.14a-2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8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2"/>
          <w:szCs w:val="42"/>
          <w:b w:val="1"/>
          <w:bCs w:val="1"/>
          <w:color w:val="auto"/>
        </w:rPr>
        <w:t>QUALYS,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5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32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Registrant)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1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24" w:hanging="524"/>
        <w:spacing w:after="0"/>
        <w:tabs>
          <w:tab w:leader="none" w:pos="5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160020</wp:posOffset>
            </wp:positionV>
            <wp:extent cx="6740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201295</wp:posOffset>
            </wp:positionV>
            <wp:extent cx="6740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23"/>
          </w:cols>
          <w:pgMar w:left="636" w:top="44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211060" cy="4138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060" cy="413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004878"/>
        </w:rPr>
        <w:t>You invested in QUALYS, INC. and it’s time to vote!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880"/>
        <w:spacing w:after="0" w:line="2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This is an important notice regarding the</w:t>
      </w:r>
      <w:r>
        <w:rPr>
          <w:rFonts w:ascii="Arial" w:cs="Arial" w:eastAsia="Arial" w:hAnsi="Arial"/>
          <w:sz w:val="17"/>
          <w:szCs w:val="17"/>
          <w:color w:val="004878"/>
        </w:rPr>
        <w:t xml:space="preserve">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availability of proxy material for the stockholder meeting to be held on June 12, 2024.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004878"/>
        </w:rPr>
        <w:t>Get informed before you vote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View the Combined Document online OR you can receive a free paper or email copy of the material(s) by requesting prior to May 29, 2024.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-128905</wp:posOffset>
            </wp:positionH>
            <wp:positionV relativeFrom="paragraph">
              <wp:posOffset>243205</wp:posOffset>
            </wp:positionV>
            <wp:extent cx="7000240" cy="24784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380"/>
          </w:cols>
          <w:pgMar w:left="840" w:top="1440" w:right="67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4878"/>
        </w:rPr>
        <w:t>* 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380"/>
          </w:cols>
          <w:pgMar w:left="840" w:top="1440" w:right="679" w:bottom="1440" w:gutter="0" w:footer="0" w:header="0"/>
          <w:type w:val="continuous"/>
        </w:sectPr>
      </w:pPr>
    </w:p>
    <w:bookmarkStart w:id="2" w:name="page3"/>
    <w:bookmarkEnd w:id="2"/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179310" cy="37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310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158115</wp:posOffset>
            </wp:positionV>
            <wp:extent cx="6740525" cy="660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6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004878"/>
        </w:rPr>
        <w:t>THIS IS NOT A VOTABLE BALLOT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00" w:right="36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This is an overview of the proposals being presented at the upcoming stockholder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Voting Items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7620</wp:posOffset>
            </wp:positionV>
            <wp:extent cx="6740525" cy="52952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529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4878"/>
        </w:rPr>
        <w:t>Board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004878"/>
        </w:rPr>
        <w:t>Recommends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80" w:space="720"/>
            <w:col w:w="1120"/>
          </w:cols>
          <w:pgMar w:left="640" w:top="255" w:right="639" w:bottom="1440" w:gutter="0" w:footer="0" w:header="0"/>
        </w:sectPr>
      </w:pPr>
    </w:p>
    <w:p>
      <w:pPr>
        <w:ind w:left="560" w:hanging="421"/>
        <w:spacing w:after="0"/>
        <w:tabs>
          <w:tab w:leader="none" w:pos="560" w:val="left"/>
        </w:tabs>
        <w:numPr>
          <w:ilvl w:val="0"/>
          <w:numId w:val="6"/>
        </w:numPr>
        <w:rPr>
          <w:rFonts w:ascii="Arial" w:cs="Arial" w:eastAsia="Arial" w:hAnsi="Arial"/>
          <w:sz w:val="17"/>
          <w:szCs w:val="17"/>
          <w:color w:val="004878"/>
        </w:rPr>
      </w:pPr>
      <w:r>
        <w:rPr>
          <w:rFonts w:ascii="Arial" w:cs="Arial" w:eastAsia="Arial" w:hAnsi="Arial"/>
          <w:sz w:val="17"/>
          <w:szCs w:val="17"/>
          <w:color w:val="004878"/>
        </w:rPr>
        <w:t>Election of Directors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40" w:type="dxa"/>
            <w:vAlign w:val="bottom"/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1120" w:type="dxa"/>
            <w:vAlign w:val="bottom"/>
            <w:vMerge w:val="restart"/>
            <w:shd w:val="clear" w:color="auto" w:fill="F0EFF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4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  <w:tcBorders>
              <w:bottom w:val="single" w:sz="8" w:color="00487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4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01)    Jeffrey P. Hank                   02)   Sumedh S. Thakar</w:t>
            </w:r>
          </w:p>
        </w:tc>
        <w:tc>
          <w:tcPr>
            <w:tcW w:w="11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2.</w:t>
            </w:r>
          </w:p>
        </w:tc>
        <w:tc>
          <w:tcPr>
            <w:tcW w:w="904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ratify the appointment of Grant Thornton LLP as Qualys, Inc.’s independent registered public accounting firm</w:t>
            </w:r>
          </w:p>
        </w:tc>
        <w:tc>
          <w:tcPr>
            <w:tcW w:w="1120" w:type="dxa"/>
            <w:vAlign w:val="bottom"/>
            <w:vMerge w:val="restart"/>
            <w:shd w:val="clear" w:color="auto" w:fill="F0EFF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40" w:type="dxa"/>
            <w:vAlign w:val="bottom"/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for its fiscal year ending December 31, 2024.</w:t>
            </w:r>
          </w:p>
        </w:tc>
        <w:tc>
          <w:tcPr>
            <w:tcW w:w="112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004878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4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3.</w:t>
            </w:r>
          </w:p>
        </w:tc>
        <w:tc>
          <w:tcPr>
            <w:tcW w:w="904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approve, on an advisory and non-binding basis, the compensation of Qualys, Inc.’s named executive officers</w:t>
            </w:r>
          </w:p>
        </w:tc>
        <w:tc>
          <w:tcPr>
            <w:tcW w:w="1120" w:type="dxa"/>
            <w:vAlign w:val="bottom"/>
            <w:vMerge w:val="restart"/>
            <w:shd w:val="clear" w:color="auto" w:fill="F0EFF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40" w:type="dxa"/>
            <w:vAlign w:val="bottom"/>
            <w:vMerge w:val="restart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as described in the Proxy Statement.</w:t>
            </w:r>
          </w:p>
        </w:tc>
        <w:tc>
          <w:tcPr>
            <w:tcW w:w="1120" w:type="dxa"/>
            <w:vAlign w:val="bottom"/>
            <w:vMerge w:val="continue"/>
            <w:shd w:val="clear" w:color="auto" w:fill="F0EFF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004878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40" w:type="dxa"/>
            <w:vAlign w:val="bottom"/>
            <w:tcBorders>
              <w:bottom w:val="single" w:sz="8" w:color="004878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F0EFF7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4.</w:t>
            </w:r>
          </w:p>
        </w:tc>
        <w:tc>
          <w:tcPr>
            <w:tcW w:w="904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approve Qualys, Inc.’s 2012 Equity Incentive Plan, as amended and restated.</w:t>
            </w:r>
          </w:p>
        </w:tc>
        <w:tc>
          <w:tcPr>
            <w:tcW w:w="1120" w:type="dxa"/>
            <w:vAlign w:val="bottom"/>
            <w:shd w:val="clear" w:color="auto" w:fill="F0EFF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 xml:space="preserve">NOTE: </w:t>
      </w:r>
      <w:r>
        <w:rPr>
          <w:rFonts w:ascii="Arial" w:cs="Arial" w:eastAsia="Arial" w:hAnsi="Arial"/>
          <w:sz w:val="17"/>
          <w:szCs w:val="17"/>
          <w:color w:val="004878"/>
        </w:rPr>
        <w:t>Such other business as may properly come before the meeting or any adjournments or postponements thereof.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3"/>
          <w:szCs w:val="83"/>
          <w:color w:val="auto"/>
        </w:rPr>
        <w:t>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53975</wp:posOffset>
            </wp:positionV>
            <wp:extent cx="6740525" cy="1733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525" cy="173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0620"/>
      </w:cols>
      <w:pgMar w:left="640" w:top="255" w:right="6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2024-04-24T15:24:44Z</dcterms:created>
  <dcterms:modified xsi:type="dcterms:W3CDTF">2024-04-24T15:24:44Z</dcterms:modified>
</cp:coreProperties>
</file>