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4"/>
          <w:szCs w:val="24"/>
          <w:color w:val="auto"/>
        </w:rPr>
      </w:pPr>
    </w:p>
    <w:p>
      <w:pPr>
        <w:spacing w:after="0" w:line="384"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FORM 10-K</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271" w:lineRule="exact"/>
        <w:rPr>
          <w:sz w:val="24"/>
          <w:szCs w:val="24"/>
          <w:color w:val="auto"/>
        </w:rPr>
      </w:pPr>
    </w:p>
    <w:p>
      <w:pPr>
        <w:ind w:left="660" w:hanging="625"/>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35" w:lineRule="exact"/>
        <w:rPr>
          <w:rFonts w:ascii="Arial" w:cs="Arial" w:eastAsia="Arial" w:hAnsi="Arial"/>
          <w:sz w:val="18"/>
          <w:szCs w:val="18"/>
          <w:color w:val="auto"/>
        </w:rPr>
      </w:pPr>
    </w:p>
    <w:p>
      <w:pPr>
        <w:ind w:left="3840"/>
        <w:spacing w:after="0"/>
        <w:rPr>
          <w:rFonts w:ascii="Arial" w:cs="Arial" w:eastAsia="Arial" w:hAnsi="Arial"/>
          <w:sz w:val="18"/>
          <w:szCs w:val="18"/>
          <w:color w:val="auto"/>
        </w:rPr>
      </w:pPr>
      <w:r>
        <w:rPr>
          <w:rFonts w:ascii="Arial" w:cs="Arial" w:eastAsia="Arial" w:hAnsi="Arial"/>
          <w:sz w:val="16"/>
          <w:szCs w:val="16"/>
          <w:b w:val="1"/>
          <w:bCs w:val="1"/>
          <w:color w:val="auto"/>
        </w:rPr>
        <w:t>For the Annual Period Ended December 31, 2017</w:t>
      </w:r>
    </w:p>
    <w:p>
      <w:pPr>
        <w:spacing w:after="0" w:line="1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40"/>
          </w:cols>
          <w:pgMar w:left="240" w:top="249" w:right="319" w:bottom="133" w:gutter="0" w:footer="0" w:header="0"/>
        </w:sectPr>
      </w:pPr>
    </w:p>
    <w:p>
      <w:pPr>
        <w:spacing w:after="0" w:line="81"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13" w:lineRule="exact"/>
        <w:rPr>
          <w:sz w:val="24"/>
          <w:szCs w:val="24"/>
          <w:color w:val="auto"/>
        </w:rPr>
      </w:pPr>
    </w:p>
    <w:p>
      <w:pPr>
        <w:sectPr>
          <w:pgSz w:w="11900" w:h="16838" w:orient="portrait"/>
          <w:cols w:equalWidth="0" w:num="2">
            <w:col w:w="6560" w:space="440"/>
            <w:col w:w="4340"/>
          </w:cols>
          <w:pgMar w:left="240" w:top="249" w:right="319" w:bottom="133"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54"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49" w:right="319" w:bottom="133" w:gutter="0" w:footer="0" w:header="0"/>
          <w:type w:val="continuous"/>
        </w:sectPr>
      </w:pPr>
    </w:p>
    <w:p>
      <w:pPr>
        <w:spacing w:after="0" w:line="31" w:lineRule="exact"/>
        <w:rPr>
          <w:sz w:val="24"/>
          <w:szCs w:val="24"/>
          <w:color w:val="auto"/>
        </w:rPr>
      </w:pPr>
    </w:p>
    <w:tbl>
      <w:tblPr>
        <w:tblLayout w:type="fixed"/>
        <w:tblInd w:w="1240" w:type="dxa"/>
        <w:tblCellMar>
          <w:top w:w="0" w:type="dxa"/>
          <w:left w:w="0" w:type="dxa"/>
          <w:bottom w:w="0" w:type="dxa"/>
          <w:right w:w="0" w:type="dxa"/>
        </w:tblCellMar>
      </w:tblPr>
      <w:tr>
        <w:trPr>
          <w:trHeight w:val="460"/>
        </w:trPr>
        <w:tc>
          <w:tcPr>
            <w:tcW w:w="2140" w:type="dxa"/>
            <w:vAlign w:val="bottom"/>
          </w:tcPr>
          <w:p>
            <w:pPr>
              <w:spacing w:after="0"/>
              <w:rPr>
                <w:sz w:val="24"/>
                <w:szCs w:val="24"/>
                <w:color w:val="auto"/>
              </w:rPr>
            </w:pPr>
          </w:p>
        </w:tc>
        <w:tc>
          <w:tcPr>
            <w:tcW w:w="5820" w:type="dxa"/>
            <w:vAlign w:val="bottom"/>
          </w:tcPr>
          <w:p>
            <w:pPr>
              <w:jc w:val="center"/>
              <w:ind w:right="1073"/>
              <w:spacing w:after="0"/>
              <w:rPr>
                <w:sz w:val="20"/>
                <w:szCs w:val="20"/>
                <w:color w:val="auto"/>
              </w:rPr>
            </w:pPr>
            <w:r>
              <w:rPr>
                <w:rFonts w:ascii="Arial" w:cs="Arial" w:eastAsia="Arial" w:hAnsi="Arial"/>
                <w:sz w:val="40"/>
                <w:szCs w:val="40"/>
                <w:b w:val="1"/>
                <w:bCs w:val="1"/>
                <w:color w:val="231F20"/>
                <w:w w:val="97"/>
              </w:rPr>
              <w:t>QUALYS, INC.</w:t>
            </w:r>
          </w:p>
        </w:tc>
      </w:tr>
      <w:tr>
        <w:trPr>
          <w:trHeight w:val="152"/>
        </w:trPr>
        <w:tc>
          <w:tcPr>
            <w:tcW w:w="2140" w:type="dxa"/>
            <w:vAlign w:val="bottom"/>
          </w:tcPr>
          <w:p>
            <w:pPr>
              <w:spacing w:after="0"/>
              <w:rPr>
                <w:sz w:val="13"/>
                <w:szCs w:val="13"/>
                <w:color w:val="auto"/>
              </w:rPr>
            </w:pPr>
          </w:p>
        </w:tc>
        <w:tc>
          <w:tcPr>
            <w:tcW w:w="5820" w:type="dxa"/>
            <w:vAlign w:val="bottom"/>
          </w:tcPr>
          <w:p>
            <w:pPr>
              <w:jc w:val="center"/>
              <w:ind w:right="1073"/>
              <w:spacing w:after="0" w:line="153" w:lineRule="exact"/>
              <w:rPr>
                <w:sz w:val="20"/>
                <w:szCs w:val="20"/>
                <w:color w:val="auto"/>
              </w:rPr>
            </w:pPr>
            <w:r>
              <w:rPr>
                <w:rFonts w:ascii="Arial" w:cs="Arial" w:eastAsia="Arial" w:hAnsi="Arial"/>
                <w:sz w:val="14"/>
                <w:szCs w:val="14"/>
                <w:b w:val="1"/>
                <w:bCs w:val="1"/>
                <w:color w:val="231F20"/>
              </w:rPr>
              <w:t>(Exact name of registrant as specified in its charter)</w:t>
            </w:r>
          </w:p>
        </w:tc>
      </w:tr>
      <w:tr>
        <w:trPr>
          <w:trHeight w:val="239"/>
        </w:trPr>
        <w:tc>
          <w:tcPr>
            <w:tcW w:w="2140" w:type="dxa"/>
            <w:vAlign w:val="bottom"/>
          </w:tcPr>
          <w:p>
            <w:pPr>
              <w:spacing w:after="0"/>
              <w:rPr>
                <w:sz w:val="20"/>
                <w:szCs w:val="20"/>
                <w:color w:val="auto"/>
              </w:rPr>
            </w:pPr>
          </w:p>
        </w:tc>
        <w:tc>
          <w:tcPr>
            <w:tcW w:w="5820" w:type="dxa"/>
            <w:vAlign w:val="bottom"/>
          </w:tcPr>
          <w:p>
            <w:pPr>
              <w:jc w:val="center"/>
              <w:ind w:right="1053"/>
              <w:spacing w:after="0"/>
              <w:rPr>
                <w:sz w:val="20"/>
                <w:szCs w:val="20"/>
                <w:color w:val="auto"/>
              </w:rPr>
            </w:pPr>
            <w:r>
              <w:rPr>
                <w:rFonts w:ascii="Arial" w:cs="Arial" w:eastAsia="Arial" w:hAnsi="Arial"/>
                <w:sz w:val="18"/>
                <w:szCs w:val="18"/>
                <w:b w:val="1"/>
                <w:bCs w:val="1"/>
                <w:color w:val="231F20"/>
                <w:w w:val="99"/>
              </w:rPr>
              <w:t>__________________</w:t>
            </w:r>
          </w:p>
        </w:tc>
      </w:tr>
      <w:tr>
        <w:trPr>
          <w:trHeight w:val="393"/>
        </w:trPr>
        <w:tc>
          <w:tcPr>
            <w:tcW w:w="2140" w:type="dxa"/>
            <w:vAlign w:val="bottom"/>
          </w:tcPr>
          <w:p>
            <w:pPr>
              <w:jc w:val="center"/>
              <w:ind w:right="28"/>
              <w:spacing w:after="0"/>
              <w:rPr>
                <w:sz w:val="20"/>
                <w:szCs w:val="20"/>
                <w:color w:val="auto"/>
              </w:rPr>
            </w:pPr>
            <w:r>
              <w:rPr>
                <w:rFonts w:ascii="Arial" w:cs="Arial" w:eastAsia="Arial" w:hAnsi="Arial"/>
                <w:sz w:val="14"/>
                <w:szCs w:val="14"/>
                <w:b w:val="1"/>
                <w:bCs w:val="1"/>
                <w:color w:val="auto"/>
              </w:rPr>
              <w:t>Delaware</w:t>
            </w:r>
          </w:p>
        </w:tc>
        <w:tc>
          <w:tcPr>
            <w:tcW w:w="5820" w:type="dxa"/>
            <w:vAlign w:val="bottom"/>
          </w:tcPr>
          <w:p>
            <w:pPr>
              <w:jc w:val="center"/>
              <w:ind w:left="4193"/>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2140" w:type="dxa"/>
            <w:vAlign w:val="bottom"/>
          </w:tcPr>
          <w:p>
            <w:pPr>
              <w:jc w:val="center"/>
              <w:ind w:right="8"/>
              <w:spacing w:after="0"/>
              <w:rPr>
                <w:sz w:val="20"/>
                <w:szCs w:val="20"/>
                <w:color w:val="auto"/>
              </w:rPr>
            </w:pPr>
            <w:r>
              <w:rPr>
                <w:rFonts w:ascii="Arial" w:cs="Arial" w:eastAsia="Arial" w:hAnsi="Arial"/>
                <w:sz w:val="14"/>
                <w:szCs w:val="14"/>
                <w:b w:val="1"/>
                <w:bCs w:val="1"/>
                <w:color w:val="auto"/>
              </w:rPr>
              <w:t>(State or other jurisdiction of</w:t>
            </w:r>
          </w:p>
        </w:tc>
        <w:tc>
          <w:tcPr>
            <w:tcW w:w="5820" w:type="dxa"/>
            <w:vAlign w:val="bottom"/>
          </w:tcPr>
          <w:p>
            <w:pPr>
              <w:jc w:val="center"/>
              <w:ind w:left="4193"/>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2140" w:type="dxa"/>
            <w:vAlign w:val="bottom"/>
          </w:tcPr>
          <w:p>
            <w:pPr>
              <w:jc w:val="center"/>
              <w:ind w:right="8"/>
              <w:spacing w:after="0"/>
              <w:rPr>
                <w:sz w:val="20"/>
                <w:szCs w:val="20"/>
                <w:color w:val="auto"/>
              </w:rPr>
            </w:pPr>
            <w:r>
              <w:rPr>
                <w:rFonts w:ascii="Arial" w:cs="Arial" w:eastAsia="Arial" w:hAnsi="Arial"/>
                <w:sz w:val="14"/>
                <w:szCs w:val="14"/>
                <w:b w:val="1"/>
                <w:bCs w:val="1"/>
                <w:color w:val="auto"/>
              </w:rPr>
              <w:t>incorporation or organization)</w:t>
            </w:r>
          </w:p>
        </w:tc>
        <w:tc>
          <w:tcPr>
            <w:tcW w:w="5820" w:type="dxa"/>
            <w:vAlign w:val="bottom"/>
          </w:tcPr>
          <w:p>
            <w:pPr>
              <w:jc w:val="center"/>
              <w:ind w:left="4193"/>
              <w:spacing w:after="0"/>
              <w:rPr>
                <w:sz w:val="20"/>
                <w:szCs w:val="20"/>
                <w:color w:val="auto"/>
              </w:rPr>
            </w:pPr>
            <w:r>
              <w:rPr>
                <w:rFonts w:ascii="Arial" w:cs="Arial" w:eastAsia="Arial" w:hAnsi="Arial"/>
                <w:sz w:val="14"/>
                <w:szCs w:val="14"/>
                <w:b w:val="1"/>
                <w:bCs w:val="1"/>
                <w:color w:val="auto"/>
              </w:rPr>
              <w:t>Identification Number)</w:t>
            </w:r>
          </w:p>
        </w:tc>
      </w:tr>
      <w:tr>
        <w:trPr>
          <w:trHeight w:val="215"/>
        </w:trPr>
        <w:tc>
          <w:tcPr>
            <w:tcW w:w="2140" w:type="dxa"/>
            <w:vAlign w:val="bottom"/>
          </w:tcPr>
          <w:p>
            <w:pPr>
              <w:spacing w:after="0"/>
              <w:rPr>
                <w:sz w:val="18"/>
                <w:szCs w:val="18"/>
                <w:color w:val="auto"/>
              </w:rPr>
            </w:pPr>
          </w:p>
        </w:tc>
        <w:tc>
          <w:tcPr>
            <w:tcW w:w="5820" w:type="dxa"/>
            <w:vAlign w:val="bottom"/>
          </w:tcPr>
          <w:p>
            <w:pPr>
              <w:jc w:val="center"/>
              <w:ind w:right="1053"/>
              <w:spacing w:after="0"/>
              <w:rPr>
                <w:sz w:val="20"/>
                <w:szCs w:val="20"/>
                <w:color w:val="auto"/>
              </w:rPr>
            </w:pPr>
            <w:r>
              <w:rPr>
                <w:rFonts w:ascii="Arial" w:cs="Arial" w:eastAsia="Arial" w:hAnsi="Arial"/>
                <w:sz w:val="14"/>
                <w:szCs w:val="14"/>
                <w:b w:val="1"/>
                <w:bCs w:val="1"/>
                <w:color w:val="auto"/>
              </w:rPr>
              <w:t>919 E. Hillsdale Boulevard, 4th Floor, Foster City, California 94404</w:t>
            </w:r>
          </w:p>
        </w:tc>
      </w:tr>
      <w:tr>
        <w:trPr>
          <w:trHeight w:val="190"/>
        </w:trPr>
        <w:tc>
          <w:tcPr>
            <w:tcW w:w="2140" w:type="dxa"/>
            <w:vAlign w:val="bottom"/>
          </w:tcPr>
          <w:p>
            <w:pPr>
              <w:spacing w:after="0"/>
              <w:rPr>
                <w:sz w:val="16"/>
                <w:szCs w:val="16"/>
                <w:color w:val="auto"/>
              </w:rPr>
            </w:pPr>
          </w:p>
        </w:tc>
        <w:tc>
          <w:tcPr>
            <w:tcW w:w="5820" w:type="dxa"/>
            <w:vAlign w:val="bottom"/>
          </w:tcPr>
          <w:p>
            <w:pPr>
              <w:jc w:val="center"/>
              <w:ind w:right="1073"/>
              <w:spacing w:after="0"/>
              <w:rPr>
                <w:sz w:val="20"/>
                <w:szCs w:val="20"/>
                <w:color w:val="auto"/>
              </w:rPr>
            </w:pPr>
            <w:r>
              <w:rPr>
                <w:rFonts w:ascii="Arial" w:cs="Arial" w:eastAsia="Arial" w:hAnsi="Arial"/>
                <w:sz w:val="14"/>
                <w:szCs w:val="14"/>
                <w:b w:val="1"/>
                <w:bCs w:val="1"/>
                <w:color w:val="auto"/>
              </w:rPr>
              <w:t>(Address of principal executive offices, including zip code)</w:t>
            </w:r>
          </w:p>
        </w:tc>
      </w:tr>
      <w:tr>
        <w:trPr>
          <w:trHeight w:val="188"/>
        </w:trPr>
        <w:tc>
          <w:tcPr>
            <w:tcW w:w="2140" w:type="dxa"/>
            <w:vAlign w:val="bottom"/>
          </w:tcPr>
          <w:p>
            <w:pPr>
              <w:spacing w:after="0"/>
              <w:rPr>
                <w:sz w:val="16"/>
                <w:szCs w:val="16"/>
                <w:color w:val="auto"/>
              </w:rPr>
            </w:pPr>
          </w:p>
        </w:tc>
        <w:tc>
          <w:tcPr>
            <w:tcW w:w="5820" w:type="dxa"/>
            <w:vAlign w:val="bottom"/>
          </w:tcPr>
          <w:p>
            <w:pPr>
              <w:jc w:val="center"/>
              <w:ind w:right="1073"/>
              <w:spacing w:after="0"/>
              <w:rPr>
                <w:sz w:val="20"/>
                <w:szCs w:val="20"/>
                <w:color w:val="auto"/>
              </w:rPr>
            </w:pPr>
            <w:r>
              <w:rPr>
                <w:rFonts w:ascii="Arial" w:cs="Arial" w:eastAsia="Arial" w:hAnsi="Arial"/>
                <w:sz w:val="14"/>
                <w:szCs w:val="14"/>
                <w:b w:val="1"/>
                <w:bCs w:val="1"/>
                <w:color w:val="auto"/>
              </w:rPr>
              <w:t>(650) 801-6100</w:t>
            </w:r>
          </w:p>
        </w:tc>
      </w:tr>
      <w:tr>
        <w:trPr>
          <w:trHeight w:val="152"/>
        </w:trPr>
        <w:tc>
          <w:tcPr>
            <w:tcW w:w="2140" w:type="dxa"/>
            <w:vAlign w:val="bottom"/>
          </w:tcPr>
          <w:p>
            <w:pPr>
              <w:spacing w:after="0"/>
              <w:rPr>
                <w:sz w:val="13"/>
                <w:szCs w:val="13"/>
                <w:color w:val="auto"/>
              </w:rPr>
            </w:pPr>
          </w:p>
        </w:tc>
        <w:tc>
          <w:tcPr>
            <w:tcW w:w="5820" w:type="dxa"/>
            <w:vAlign w:val="bottom"/>
          </w:tcPr>
          <w:p>
            <w:pPr>
              <w:jc w:val="center"/>
              <w:ind w:right="1053"/>
              <w:spacing w:after="0" w:line="153" w:lineRule="exact"/>
              <w:rPr>
                <w:sz w:val="20"/>
                <w:szCs w:val="20"/>
                <w:color w:val="auto"/>
              </w:rPr>
            </w:pPr>
            <w:r>
              <w:rPr>
                <w:rFonts w:ascii="Arial" w:cs="Arial" w:eastAsia="Arial" w:hAnsi="Arial"/>
                <w:sz w:val="14"/>
                <w:szCs w:val="14"/>
                <w:b w:val="1"/>
                <w:bCs w:val="1"/>
                <w:color w:val="auto"/>
              </w:rPr>
              <w:t>(Registrant’s telephone number, including area code)</w:t>
            </w:r>
          </w:p>
        </w:tc>
      </w:tr>
      <w:tr>
        <w:trPr>
          <w:trHeight w:val="239"/>
        </w:trPr>
        <w:tc>
          <w:tcPr>
            <w:tcW w:w="2140" w:type="dxa"/>
            <w:vAlign w:val="bottom"/>
          </w:tcPr>
          <w:p>
            <w:pPr>
              <w:spacing w:after="0"/>
              <w:rPr>
                <w:sz w:val="20"/>
                <w:szCs w:val="20"/>
                <w:color w:val="auto"/>
              </w:rPr>
            </w:pPr>
          </w:p>
        </w:tc>
        <w:tc>
          <w:tcPr>
            <w:tcW w:w="5820" w:type="dxa"/>
            <w:vAlign w:val="bottom"/>
          </w:tcPr>
          <w:p>
            <w:pPr>
              <w:jc w:val="center"/>
              <w:ind w:right="1053"/>
              <w:spacing w:after="0"/>
              <w:rPr>
                <w:sz w:val="20"/>
                <w:szCs w:val="20"/>
                <w:color w:val="auto"/>
              </w:rPr>
            </w:pPr>
            <w:r>
              <w:rPr>
                <w:rFonts w:ascii="Arial" w:cs="Arial" w:eastAsia="Arial" w:hAnsi="Arial"/>
                <w:sz w:val="18"/>
                <w:szCs w:val="18"/>
                <w:b w:val="1"/>
                <w:bCs w:val="1"/>
                <w:color w:val="231F20"/>
                <w:w w:val="99"/>
              </w:rPr>
              <w:t>__________________</w:t>
            </w:r>
          </w:p>
        </w:tc>
      </w:tr>
    </w:tbl>
    <w:p>
      <w:pPr>
        <w:spacing w:after="0" w:line="41" w:lineRule="exact"/>
        <w:rPr>
          <w:sz w:val="24"/>
          <w:szCs w:val="24"/>
          <w:color w:val="auto"/>
        </w:rPr>
      </w:pPr>
    </w:p>
    <w:p>
      <w:pPr>
        <w:spacing w:after="0"/>
        <w:rPr>
          <w:sz w:val="20"/>
          <w:szCs w:val="20"/>
          <w:color w:val="auto"/>
        </w:rPr>
      </w:pPr>
      <w:r>
        <w:rPr>
          <w:rFonts w:ascii="Arial" w:cs="Arial" w:eastAsia="Arial" w:hAnsi="Arial"/>
          <w:sz w:val="14"/>
          <w:szCs w:val="14"/>
          <w:b w:val="1"/>
          <w:bCs w:val="1"/>
          <w:color w:val="231F20"/>
        </w:rPr>
        <w:t>Securities registered pursuant to section 12(b) of the Act:</w:t>
      </w:r>
    </w:p>
    <w:p>
      <w:pPr>
        <w:spacing w:after="0" w:line="217" w:lineRule="exact"/>
        <w:rPr>
          <w:sz w:val="24"/>
          <w:szCs w:val="24"/>
          <w:color w:val="auto"/>
        </w:rPr>
      </w:pPr>
    </w:p>
    <w:tbl>
      <w:tblPr>
        <w:tblLayout w:type="fixed"/>
        <w:tblInd w:w="360" w:type="dxa"/>
        <w:tblCellMar>
          <w:top w:w="0" w:type="dxa"/>
          <w:left w:w="0" w:type="dxa"/>
          <w:bottom w:w="0" w:type="dxa"/>
          <w:right w:w="0" w:type="dxa"/>
        </w:tblCellMar>
      </w:tblPr>
      <w:tr>
        <w:trPr>
          <w:trHeight w:val="196"/>
        </w:trPr>
        <w:tc>
          <w:tcPr>
            <w:tcW w:w="472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Title of each class</w:t>
            </w:r>
          </w:p>
        </w:tc>
        <w:tc>
          <w:tcPr>
            <w:tcW w:w="1280" w:type="dxa"/>
            <w:vAlign w:val="bottom"/>
          </w:tcPr>
          <w:p>
            <w:pPr>
              <w:spacing w:after="0"/>
              <w:rPr>
                <w:sz w:val="17"/>
                <w:szCs w:val="17"/>
                <w:color w:val="auto"/>
              </w:rPr>
            </w:pPr>
          </w:p>
        </w:tc>
        <w:tc>
          <w:tcPr>
            <w:tcW w:w="472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43"/>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Common stock, $0.001 par value per share</w:t>
            </w:r>
          </w:p>
        </w:tc>
        <w:tc>
          <w:tcPr>
            <w:tcW w:w="4720" w:type="dxa"/>
            <w:vAlign w:val="bottom"/>
          </w:tcPr>
          <w:p>
            <w:pPr>
              <w:ind w:left="20"/>
              <w:spacing w:after="0"/>
              <w:rPr>
                <w:sz w:val="20"/>
                <w:szCs w:val="20"/>
                <w:color w:val="auto"/>
              </w:rPr>
            </w:pPr>
            <w:r>
              <w:rPr>
                <w:rFonts w:ascii="Arial" w:cs="Arial" w:eastAsia="Arial" w:hAnsi="Arial"/>
                <w:sz w:val="18"/>
                <w:szCs w:val="18"/>
                <w:color w:val="auto"/>
              </w:rPr>
              <w:t>NASDAQ Stock Market</w:t>
            </w:r>
          </w:p>
        </w:tc>
      </w:tr>
    </w:tbl>
    <w:p>
      <w:pPr>
        <w:spacing w:after="0" w:line="270" w:lineRule="exact"/>
        <w:rPr>
          <w:sz w:val="24"/>
          <w:szCs w:val="24"/>
          <w:color w:val="auto"/>
        </w:rPr>
      </w:pPr>
    </w:p>
    <w:p>
      <w:pPr>
        <w:spacing w:after="0"/>
        <w:rPr>
          <w:sz w:val="20"/>
          <w:szCs w:val="20"/>
          <w:color w:val="auto"/>
        </w:rPr>
      </w:pPr>
      <w:r>
        <w:rPr>
          <w:rFonts w:ascii="Arial" w:cs="Arial" w:eastAsia="Arial" w:hAnsi="Arial"/>
          <w:sz w:val="14"/>
          <w:szCs w:val="14"/>
          <w:b w:val="1"/>
          <w:bCs w:val="1"/>
          <w:color w:val="231F20"/>
        </w:rPr>
        <w:t xml:space="preserve">Securities registered pursuant to section 12(g) of the Act: </w:t>
      </w:r>
      <w:r>
        <w:rPr>
          <w:rFonts w:ascii="Arial" w:cs="Arial" w:eastAsia="Arial" w:hAnsi="Arial"/>
          <w:sz w:val="14"/>
          <w:szCs w:val="14"/>
          <w:color w:val="231F20"/>
        </w:rPr>
        <w:t>None</w:t>
      </w:r>
    </w:p>
    <w:p>
      <w:pPr>
        <w:spacing w:after="0" w:line="58" w:lineRule="exact"/>
        <w:rPr>
          <w:sz w:val="24"/>
          <w:szCs w:val="24"/>
          <w:color w:val="auto"/>
        </w:rPr>
      </w:pPr>
    </w:p>
    <w:p>
      <w:pPr>
        <w:ind w:right="2060"/>
        <w:spacing w:after="0" w:line="465"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spacing w:after="0" w:line="1"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7"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47" w:lineRule="exact"/>
        <w:rPr>
          <w:sz w:val="24"/>
          <w:szCs w:val="24"/>
          <w:color w:val="auto"/>
        </w:rPr>
      </w:pPr>
    </w:p>
    <w:p>
      <w:pPr>
        <w:jc w:val="both"/>
        <w:ind w:right="140"/>
        <w:spacing w:after="0" w:line="253" w:lineRule="auto"/>
        <w:rPr>
          <w:sz w:val="20"/>
          <w:szCs w:val="20"/>
          <w:color w:val="auto"/>
        </w:rPr>
      </w:pPr>
      <w:r>
        <w:rPr>
          <w:rFonts w:ascii="Arial" w:cs="Arial" w:eastAsia="Arial" w:hAnsi="Arial"/>
          <w:sz w:val="16"/>
          <w:szCs w:val="16"/>
          <w:color w:val="auto"/>
        </w:rPr>
        <w:t>Indicate by check mark if disclosure of delinquent filers pursuant to Item 405 of Regulation S-K(§229.405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47" w:lineRule="exact"/>
        <w:rPr>
          <w:sz w:val="24"/>
          <w:szCs w:val="24"/>
          <w:color w:val="auto"/>
        </w:rPr>
      </w:pPr>
    </w:p>
    <w:p>
      <w:pPr>
        <w:ind w:right="1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40"/>
          </w:cols>
          <w:pgMar w:left="240" w:top="249" w:right="319" w:bottom="133" w:gutter="0" w:footer="0" w:header="0"/>
          <w:type w:val="continuous"/>
        </w:sectPr>
      </w:pPr>
    </w:p>
    <w:p>
      <w:pPr>
        <w:spacing w:after="0" w:line="33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7" w:lineRule="exact"/>
        <w:rPr>
          <w:sz w:val="24"/>
          <w:szCs w:val="24"/>
          <w:color w:val="auto"/>
        </w:rPr>
      </w:pPr>
    </w:p>
    <w:p>
      <w:pPr>
        <w:sectPr>
          <w:pgSz w:w="11900" w:h="16838" w:orient="portrait"/>
          <w:cols w:equalWidth="0" w:num="8">
            <w:col w:w="1640" w:space="580"/>
            <w:col w:w="80" w:space="540"/>
            <w:col w:w="1160" w:space="700"/>
            <w:col w:w="80" w:space="520"/>
            <w:col w:w="1500" w:space="580"/>
            <w:col w:w="80" w:space="520"/>
            <w:col w:w="1940" w:space="540"/>
            <w:col w:w="880"/>
          </w:cols>
          <w:pgMar w:left="240" w:top="249" w:right="319" w:bottom="133" w:gutter="0" w:footer="0" w:header="0"/>
          <w:type w:val="continuous"/>
        </w:sectPr>
      </w:pPr>
    </w:p>
    <w:p>
      <w:pPr>
        <w:jc w:val="center"/>
        <w:ind w:left="1500"/>
        <w:spacing w:after="0"/>
        <w:rPr>
          <w:sz w:val="20"/>
          <w:szCs w:val="20"/>
          <w:color w:val="auto"/>
        </w:rPr>
      </w:pPr>
      <w:r>
        <w:rPr>
          <w:rFonts w:ascii="Arial" w:cs="Arial" w:eastAsia="Arial" w:hAnsi="Arial"/>
          <w:sz w:val="16"/>
          <w:szCs w:val="16"/>
          <w:color w:val="auto"/>
        </w:rPr>
        <w:t>(Do not check if a smaller</w:t>
      </w:r>
    </w:p>
    <w:p>
      <w:pPr>
        <w:spacing w:after="0" w:line="5" w:lineRule="exact"/>
        <w:rPr>
          <w:sz w:val="24"/>
          <w:szCs w:val="24"/>
          <w:color w:val="auto"/>
        </w:rPr>
      </w:pPr>
    </w:p>
    <w:p>
      <w:pPr>
        <w:jc w:val="center"/>
        <w:ind w:left="150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340"/>
          </w:cols>
          <w:pgMar w:left="240" w:top="249" w:right="319" w:bottom="133" w:gutter="0" w:footer="0" w:header="0"/>
          <w:type w:val="continuous"/>
        </w:sectPr>
      </w:pPr>
    </w:p>
    <w:p>
      <w:pPr>
        <w:spacing w:after="0" w:line="86" w:lineRule="exact"/>
        <w:rPr>
          <w:sz w:val="24"/>
          <w:szCs w:val="24"/>
          <w:color w:val="auto"/>
        </w:rPr>
      </w:pPr>
    </w:p>
    <w:p>
      <w:pPr>
        <w:ind w:left="79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2" w:lineRule="exact"/>
        <w:rPr>
          <w:sz w:val="24"/>
          <w:szCs w:val="24"/>
          <w:color w:val="auto"/>
        </w:rPr>
      </w:pPr>
    </w:p>
    <w:p>
      <w:pPr>
        <w:sectPr>
          <w:pgSz w:w="11900" w:h="16838" w:orient="portrait"/>
          <w:cols w:equalWidth="0" w:num="2">
            <w:col w:w="9900" w:space="560"/>
            <w:col w:w="880"/>
          </w:cols>
          <w:pgMar w:left="240" w:top="249" w:right="319" w:bottom="133" w:gutter="0" w:footer="0" w:header="0"/>
          <w:type w:val="continuous"/>
        </w:sectPr>
      </w:pPr>
    </w:p>
    <w:p>
      <w:pPr>
        <w:ind w:right="22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0" w:lineRule="exact"/>
        <w:rPr>
          <w:sz w:val="24"/>
          <w:szCs w:val="24"/>
          <w:color w:val="auto"/>
        </w:rPr>
      </w:pPr>
    </w:p>
    <w:p>
      <w:pPr>
        <w:spacing w:after="0"/>
        <w:tabs>
          <w:tab w:leader="none" w:pos="8260" w:val="left"/>
          <w:tab w:leader="none" w:pos="88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Yes o</w:t>
        <w:tab/>
        <w:t>No x</w:t>
      </w:r>
    </w:p>
    <w:p>
      <w:pPr>
        <w:spacing w:after="0" w:line="179" w:lineRule="exact"/>
        <w:rPr>
          <w:sz w:val="24"/>
          <w:szCs w:val="24"/>
          <w:color w:val="auto"/>
        </w:rPr>
      </w:pPr>
    </w:p>
    <w:p>
      <w:pPr>
        <w:ind w:right="20"/>
        <w:spacing w:after="0" w:line="251" w:lineRule="auto"/>
        <w:rPr>
          <w:sz w:val="20"/>
          <w:szCs w:val="20"/>
          <w:color w:val="auto"/>
        </w:rPr>
      </w:pPr>
      <w:r>
        <w:rPr>
          <w:rFonts w:ascii="Arial" w:cs="Arial" w:eastAsia="Arial" w:hAnsi="Arial"/>
          <w:sz w:val="16"/>
          <w:szCs w:val="16"/>
          <w:color w:val="auto"/>
        </w:rPr>
        <w:t>As of June 30, 2017, the aggregate market value of voting shares of common stock held by non-affiliates of the registrant was $1,293 million based on the last reported sale price of the registrant's common stock on June 30, 2017. Shares of common stock held by each executive officer and director and by each person who owns 10% or more of the outstanding common stock have been excluded in that such persons may be deemed to be affiliates. This determination of affiliate status is not necessarily a conclusive determination for other purposes.</w:t>
      </w:r>
    </w:p>
    <w:p>
      <w:pPr>
        <w:spacing w:after="0" w:line="14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January 31, 2018 was 38,628,442 shares.</w:t>
      </w:r>
    </w:p>
    <w:p>
      <w:pPr>
        <w:sectPr>
          <w:pgSz w:w="11900" w:h="16838" w:orient="portrait"/>
          <w:cols w:equalWidth="0" w:num="1">
            <w:col w:w="11340"/>
          </w:cols>
          <w:pgMar w:left="240" w:top="249" w:right="319" w:bottom="133"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Portions of the registrant's Proxy Statement for its 2018 Annual Meeting of Stockholders are incorporated by reference in Part III of this Annual Report on Form 10-K where indicated. Such proxy statement will be filed with the Securities and Exchange Commission within 120 days of the registrant's fiscal year ended December 31, 2017.</w:t>
      </w:r>
    </w:p>
    <w:p>
      <w:pPr>
        <w:sectPr>
          <w:pgSz w:w="11900" w:h="16838" w:orient="portrait"/>
          <w:cols w:equalWidth="0" w:num="1">
            <w:col w:w="11380"/>
          </w:cols>
          <w:pgMar w:left="240" w:top="162" w:right="27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9260" w:type="dxa"/>
            <w:vAlign w:val="bottom"/>
          </w:tcPr>
          <w:p>
            <w:pPr>
              <w:ind w:left="4480"/>
              <w:spacing w:after="0"/>
              <w:rPr>
                <w:sz w:val="20"/>
                <w:szCs w:val="20"/>
                <w:color w:val="auto"/>
              </w:rPr>
            </w:pPr>
            <w:r>
              <w:rPr>
                <w:rFonts w:ascii="Arial" w:cs="Arial" w:eastAsia="Arial" w:hAnsi="Arial"/>
                <w:sz w:val="18"/>
                <w:szCs w:val="18"/>
                <w:b w:val="1"/>
                <w:bCs w:val="1"/>
                <w:color w:val="231F20"/>
              </w:rPr>
              <w:t>Qualys, Inc.</w:t>
            </w:r>
          </w:p>
        </w:tc>
        <w:tc>
          <w:tcPr>
            <w:tcW w:w="760" w:type="dxa"/>
            <w:vAlign w:val="bottom"/>
          </w:tcPr>
          <w:p>
            <w:pPr>
              <w:spacing w:after="0"/>
              <w:rPr>
                <w:sz w:val="18"/>
                <w:szCs w:val="18"/>
                <w:color w:val="auto"/>
              </w:rPr>
            </w:pPr>
          </w:p>
        </w:tc>
      </w:tr>
      <w:tr>
        <w:trPr>
          <w:trHeight w:val="239"/>
        </w:trPr>
        <w:tc>
          <w:tcPr>
            <w:tcW w:w="680" w:type="dxa"/>
            <w:vAlign w:val="bottom"/>
          </w:tcPr>
          <w:p>
            <w:pPr>
              <w:spacing w:after="0"/>
              <w:rPr>
                <w:sz w:val="20"/>
                <w:szCs w:val="20"/>
                <w:color w:val="auto"/>
              </w:rPr>
            </w:pPr>
          </w:p>
        </w:tc>
        <w:tc>
          <w:tcPr>
            <w:tcW w:w="9260" w:type="dxa"/>
            <w:vAlign w:val="bottom"/>
          </w:tcPr>
          <w:p>
            <w:pPr>
              <w:ind w:left="4040"/>
              <w:spacing w:after="0"/>
              <w:rPr>
                <w:sz w:val="20"/>
                <w:szCs w:val="20"/>
                <w:color w:val="auto"/>
              </w:rPr>
            </w:pPr>
            <w:r>
              <w:rPr>
                <w:rFonts w:ascii="Arial" w:cs="Arial" w:eastAsia="Arial" w:hAnsi="Arial"/>
                <w:sz w:val="18"/>
                <w:szCs w:val="18"/>
                <w:b w:val="1"/>
                <w:bCs w:val="1"/>
                <w:color w:val="231F20"/>
              </w:rPr>
              <w:t>TABLE OF CONTENTS</w:t>
            </w:r>
          </w:p>
        </w:tc>
        <w:tc>
          <w:tcPr>
            <w:tcW w:w="760" w:type="dxa"/>
            <w:vAlign w:val="bottom"/>
          </w:tcPr>
          <w:p>
            <w:pPr>
              <w:spacing w:after="0"/>
              <w:rPr>
                <w:sz w:val="20"/>
                <w:szCs w:val="20"/>
                <w:color w:val="auto"/>
              </w:rPr>
            </w:pPr>
          </w:p>
        </w:tc>
      </w:tr>
      <w:tr>
        <w:trPr>
          <w:trHeight w:val="372"/>
        </w:trPr>
        <w:tc>
          <w:tcPr>
            <w:tcW w:w="68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Page</w:t>
            </w:r>
          </w:p>
        </w:tc>
      </w:tr>
      <w:tr>
        <w:trPr>
          <w:trHeight w:val="210"/>
        </w:trPr>
        <w:tc>
          <w:tcPr>
            <w:tcW w:w="680" w:type="dxa"/>
            <w:vAlign w:val="bottom"/>
          </w:tcPr>
          <w:p>
            <w:pPr>
              <w:spacing w:after="0"/>
              <w:rPr>
                <w:sz w:val="18"/>
                <w:szCs w:val="18"/>
                <w:color w:val="auto"/>
              </w:rPr>
            </w:pPr>
          </w:p>
        </w:tc>
        <w:tc>
          <w:tcPr>
            <w:tcW w:w="9260" w:type="dxa"/>
            <w:vAlign w:val="bottom"/>
          </w:tcPr>
          <w:p>
            <w:pPr>
              <w:jc w:val="center"/>
              <w:spacing w:after="0"/>
              <w:rPr>
                <w:sz w:val="20"/>
                <w:szCs w:val="20"/>
                <w:color w:val="auto"/>
              </w:rPr>
            </w:pPr>
            <w:r>
              <w:rPr>
                <w:rFonts w:ascii="Arial" w:cs="Arial" w:eastAsia="Arial" w:hAnsi="Arial"/>
                <w:sz w:val="16"/>
                <w:szCs w:val="16"/>
                <w:b w:val="1"/>
                <w:bCs w:val="1"/>
                <w:color w:val="auto"/>
                <w:w w:val="95"/>
              </w:rPr>
              <w:t>PART I</w:t>
            </w:r>
          </w:p>
        </w:tc>
        <w:tc>
          <w:tcPr>
            <w:tcW w:w="760" w:type="dxa"/>
            <w:vAlign w:val="bottom"/>
          </w:tcPr>
          <w:p>
            <w:pPr>
              <w:spacing w:after="0"/>
              <w:rPr>
                <w:sz w:val="18"/>
                <w:szCs w:val="18"/>
                <w:color w:val="auto"/>
              </w:rPr>
            </w:pPr>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w:t>
            </w:r>
          </w:p>
        </w:tc>
        <w:tc>
          <w:tcPr>
            <w:tcW w:w="9260" w:type="dxa"/>
            <w:vAlign w:val="bottom"/>
          </w:tcPr>
          <w:p>
            <w:pPr>
              <w:ind w:left="80"/>
              <w:spacing w:after="0"/>
              <w:rPr>
                <w:rFonts w:ascii="Arial" w:cs="Arial" w:eastAsia="Arial" w:hAnsi="Arial"/>
                <w:sz w:val="16"/>
                <w:szCs w:val="16"/>
                <w:color w:val="0000EE"/>
              </w:rPr>
            </w:pPr>
            <w:hyperlink w:anchor="page5">
              <w:r>
                <w:rPr>
                  <w:rFonts w:ascii="Arial" w:cs="Arial" w:eastAsia="Arial" w:hAnsi="Arial"/>
                  <w:sz w:val="16"/>
                  <w:szCs w:val="16"/>
                  <w:color w:val="0000EE"/>
                </w:rPr>
                <w:t>Business</w:t>
              </w:r>
            </w:hyperlink>
          </w:p>
        </w:tc>
        <w:tc>
          <w:tcPr>
            <w:tcW w:w="760" w:type="dxa"/>
            <w:vAlign w:val="bottom"/>
          </w:tcPr>
          <w:p>
            <w:pPr>
              <w:jc w:val="center"/>
              <w:spacing w:after="0"/>
              <w:rPr>
                <w:rFonts w:ascii="Arial" w:cs="Arial" w:eastAsia="Arial" w:hAnsi="Arial"/>
                <w:sz w:val="16"/>
                <w:szCs w:val="16"/>
                <w:color w:val="0000EE"/>
                <w:w w:val="89"/>
              </w:rPr>
            </w:pPr>
            <w:hyperlink w:anchor="page5">
              <w:r>
                <w:rPr>
                  <w:rFonts w:ascii="Arial" w:cs="Arial" w:eastAsia="Arial" w:hAnsi="Arial"/>
                  <w:sz w:val="16"/>
                  <w:szCs w:val="16"/>
                  <w:color w:val="0000EE"/>
                  <w:w w:val="89"/>
                </w:rPr>
                <w:t>4</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1A.</w:t>
            </w:r>
          </w:p>
        </w:tc>
        <w:tc>
          <w:tcPr>
            <w:tcW w:w="9260" w:type="dxa"/>
            <w:vAlign w:val="bottom"/>
          </w:tcPr>
          <w:p>
            <w:pPr>
              <w:ind w:left="80"/>
              <w:spacing w:after="0"/>
              <w:rPr>
                <w:rFonts w:ascii="Arial" w:cs="Arial" w:eastAsia="Arial" w:hAnsi="Arial"/>
                <w:sz w:val="16"/>
                <w:szCs w:val="16"/>
                <w:color w:val="0000EE"/>
              </w:rPr>
            </w:pPr>
            <w:hyperlink w:anchor="page16">
              <w:r>
                <w:rPr>
                  <w:rFonts w:ascii="Arial" w:cs="Arial" w:eastAsia="Arial" w:hAnsi="Arial"/>
                  <w:sz w:val="16"/>
                  <w:szCs w:val="16"/>
                  <w:color w:val="0000EE"/>
                </w:rPr>
                <w:t>Risk Factors</w:t>
              </w:r>
            </w:hyperlink>
          </w:p>
        </w:tc>
        <w:tc>
          <w:tcPr>
            <w:tcW w:w="760" w:type="dxa"/>
            <w:vAlign w:val="bottom"/>
          </w:tcPr>
          <w:p>
            <w:pPr>
              <w:jc w:val="center"/>
              <w:spacing w:after="0"/>
              <w:rPr>
                <w:rFonts w:ascii="Arial" w:cs="Arial" w:eastAsia="Arial" w:hAnsi="Arial"/>
                <w:sz w:val="16"/>
                <w:szCs w:val="16"/>
                <w:color w:val="0000EE"/>
              </w:rPr>
            </w:pPr>
            <w:hyperlink w:anchor="page16">
              <w:r>
                <w:rPr>
                  <w:rFonts w:ascii="Arial" w:cs="Arial" w:eastAsia="Arial" w:hAnsi="Arial"/>
                  <w:sz w:val="16"/>
                  <w:szCs w:val="16"/>
                  <w:color w:val="0000EE"/>
                </w:rPr>
                <w:t>15</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1B.</w:t>
            </w:r>
          </w:p>
        </w:tc>
        <w:tc>
          <w:tcPr>
            <w:tcW w:w="9260" w:type="dxa"/>
            <w:vAlign w:val="bottom"/>
          </w:tcPr>
          <w:p>
            <w:pPr>
              <w:ind w:left="80"/>
              <w:spacing w:after="0"/>
              <w:rPr>
                <w:rFonts w:ascii="Arial" w:cs="Arial" w:eastAsia="Arial" w:hAnsi="Arial"/>
                <w:sz w:val="16"/>
                <w:szCs w:val="16"/>
                <w:color w:val="0000EE"/>
              </w:rPr>
            </w:pPr>
            <w:hyperlink w:anchor="page37">
              <w:r>
                <w:rPr>
                  <w:rFonts w:ascii="Arial" w:cs="Arial" w:eastAsia="Arial" w:hAnsi="Arial"/>
                  <w:sz w:val="16"/>
                  <w:szCs w:val="16"/>
                  <w:color w:val="0000EE"/>
                </w:rPr>
                <w:t>Unresolved Staff Comments</w:t>
              </w:r>
            </w:hyperlink>
          </w:p>
        </w:tc>
        <w:tc>
          <w:tcPr>
            <w:tcW w:w="760" w:type="dxa"/>
            <w:vAlign w:val="bottom"/>
          </w:tcPr>
          <w:p>
            <w:pPr>
              <w:jc w:val="center"/>
              <w:spacing w:after="0"/>
              <w:rPr>
                <w:rFonts w:ascii="Arial" w:cs="Arial" w:eastAsia="Arial" w:hAnsi="Arial"/>
                <w:sz w:val="16"/>
                <w:szCs w:val="16"/>
                <w:color w:val="0000EE"/>
              </w:rPr>
            </w:pPr>
            <w:hyperlink w:anchor="page37">
              <w:r>
                <w:rPr>
                  <w:rFonts w:ascii="Arial" w:cs="Arial" w:eastAsia="Arial" w:hAnsi="Arial"/>
                  <w:sz w:val="16"/>
                  <w:szCs w:val="16"/>
                  <w:color w:val="0000EE"/>
                </w:rPr>
                <w:t>36</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2.</w:t>
            </w:r>
          </w:p>
        </w:tc>
        <w:tc>
          <w:tcPr>
            <w:tcW w:w="9260" w:type="dxa"/>
            <w:vAlign w:val="bottom"/>
          </w:tcPr>
          <w:p>
            <w:pPr>
              <w:ind w:left="80"/>
              <w:spacing w:after="0"/>
              <w:rPr>
                <w:rFonts w:ascii="Arial" w:cs="Arial" w:eastAsia="Arial" w:hAnsi="Arial"/>
                <w:sz w:val="16"/>
                <w:szCs w:val="16"/>
                <w:color w:val="0000EE"/>
              </w:rPr>
            </w:pPr>
            <w:hyperlink w:anchor="page38">
              <w:r>
                <w:rPr>
                  <w:rFonts w:ascii="Arial" w:cs="Arial" w:eastAsia="Arial" w:hAnsi="Arial"/>
                  <w:sz w:val="16"/>
                  <w:szCs w:val="16"/>
                  <w:color w:val="0000EE"/>
                </w:rPr>
                <w:t>Properties</w:t>
              </w:r>
            </w:hyperlink>
          </w:p>
        </w:tc>
        <w:tc>
          <w:tcPr>
            <w:tcW w:w="760" w:type="dxa"/>
            <w:vAlign w:val="bottom"/>
          </w:tcPr>
          <w:p>
            <w:pPr>
              <w:jc w:val="center"/>
              <w:spacing w:after="0"/>
              <w:rPr>
                <w:rFonts w:ascii="Arial" w:cs="Arial" w:eastAsia="Arial" w:hAnsi="Arial"/>
                <w:sz w:val="16"/>
                <w:szCs w:val="16"/>
                <w:color w:val="0000EE"/>
              </w:rPr>
            </w:pPr>
            <w:hyperlink w:anchor="page38">
              <w:r>
                <w:rPr>
                  <w:rFonts w:ascii="Arial" w:cs="Arial" w:eastAsia="Arial" w:hAnsi="Arial"/>
                  <w:sz w:val="16"/>
                  <w:szCs w:val="16"/>
                  <w:color w:val="0000EE"/>
                </w:rPr>
                <w:t>37</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3.</w:t>
            </w:r>
          </w:p>
        </w:tc>
        <w:tc>
          <w:tcPr>
            <w:tcW w:w="9260" w:type="dxa"/>
            <w:vAlign w:val="bottom"/>
          </w:tcPr>
          <w:p>
            <w:pPr>
              <w:ind w:left="80"/>
              <w:spacing w:after="0"/>
              <w:rPr>
                <w:rFonts w:ascii="Arial" w:cs="Arial" w:eastAsia="Arial" w:hAnsi="Arial"/>
                <w:sz w:val="16"/>
                <w:szCs w:val="16"/>
                <w:color w:val="0000EE"/>
              </w:rPr>
            </w:pPr>
            <w:hyperlink w:anchor="page38">
              <w:r>
                <w:rPr>
                  <w:rFonts w:ascii="Arial" w:cs="Arial" w:eastAsia="Arial" w:hAnsi="Arial"/>
                  <w:sz w:val="16"/>
                  <w:szCs w:val="16"/>
                  <w:color w:val="0000EE"/>
                </w:rPr>
                <w:t>Legal Proceedings</w:t>
              </w:r>
            </w:hyperlink>
          </w:p>
        </w:tc>
        <w:tc>
          <w:tcPr>
            <w:tcW w:w="760" w:type="dxa"/>
            <w:vAlign w:val="bottom"/>
          </w:tcPr>
          <w:p>
            <w:pPr>
              <w:jc w:val="center"/>
              <w:spacing w:after="0"/>
              <w:rPr>
                <w:rFonts w:ascii="Arial" w:cs="Arial" w:eastAsia="Arial" w:hAnsi="Arial"/>
                <w:sz w:val="16"/>
                <w:szCs w:val="16"/>
                <w:color w:val="0000EE"/>
              </w:rPr>
            </w:pPr>
            <w:hyperlink w:anchor="page38">
              <w:r>
                <w:rPr>
                  <w:rFonts w:ascii="Arial" w:cs="Arial" w:eastAsia="Arial" w:hAnsi="Arial"/>
                  <w:sz w:val="16"/>
                  <w:szCs w:val="16"/>
                  <w:color w:val="0000EE"/>
                </w:rPr>
                <w:t>37</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4.</w:t>
            </w:r>
          </w:p>
        </w:tc>
        <w:tc>
          <w:tcPr>
            <w:tcW w:w="9260" w:type="dxa"/>
            <w:vAlign w:val="bottom"/>
          </w:tcPr>
          <w:p>
            <w:pPr>
              <w:ind w:left="80"/>
              <w:spacing w:after="0"/>
              <w:rPr>
                <w:rFonts w:ascii="Arial" w:cs="Arial" w:eastAsia="Arial" w:hAnsi="Arial"/>
                <w:sz w:val="16"/>
                <w:szCs w:val="16"/>
                <w:color w:val="0000EE"/>
              </w:rPr>
            </w:pPr>
            <w:hyperlink w:anchor="page38">
              <w:r>
                <w:rPr>
                  <w:rFonts w:ascii="Arial" w:cs="Arial" w:eastAsia="Arial" w:hAnsi="Arial"/>
                  <w:sz w:val="16"/>
                  <w:szCs w:val="16"/>
                  <w:color w:val="0000EE"/>
                </w:rPr>
                <w:t>Mine Safety Disclosures</w:t>
              </w:r>
            </w:hyperlink>
          </w:p>
        </w:tc>
        <w:tc>
          <w:tcPr>
            <w:tcW w:w="760" w:type="dxa"/>
            <w:vAlign w:val="bottom"/>
          </w:tcPr>
          <w:p>
            <w:pPr>
              <w:jc w:val="center"/>
              <w:spacing w:after="0"/>
              <w:rPr>
                <w:rFonts w:ascii="Arial" w:cs="Arial" w:eastAsia="Arial" w:hAnsi="Arial"/>
                <w:sz w:val="16"/>
                <w:szCs w:val="16"/>
                <w:color w:val="0000EE"/>
              </w:rPr>
            </w:pPr>
            <w:hyperlink w:anchor="page38">
              <w:r>
                <w:rPr>
                  <w:rFonts w:ascii="Arial" w:cs="Arial" w:eastAsia="Arial" w:hAnsi="Arial"/>
                  <w:sz w:val="16"/>
                  <w:szCs w:val="16"/>
                  <w:color w:val="0000EE"/>
                </w:rPr>
                <w:t>37</w:t>
              </w:r>
            </w:hyperlink>
          </w:p>
        </w:tc>
      </w:tr>
      <w:tr>
        <w:trPr>
          <w:trHeight w:val="243"/>
        </w:trPr>
        <w:tc>
          <w:tcPr>
            <w:tcW w:w="680" w:type="dxa"/>
            <w:vAlign w:val="bottom"/>
          </w:tcPr>
          <w:p>
            <w:pPr>
              <w:spacing w:after="0"/>
              <w:rPr>
                <w:sz w:val="21"/>
                <w:szCs w:val="21"/>
                <w:color w:val="auto"/>
              </w:rPr>
            </w:pPr>
          </w:p>
        </w:tc>
        <w:tc>
          <w:tcPr>
            <w:tcW w:w="9260" w:type="dxa"/>
            <w:vAlign w:val="bottom"/>
          </w:tcPr>
          <w:p>
            <w:pPr>
              <w:jc w:val="center"/>
              <w:spacing w:after="0"/>
              <w:rPr>
                <w:sz w:val="20"/>
                <w:szCs w:val="20"/>
                <w:color w:val="auto"/>
              </w:rPr>
            </w:pPr>
            <w:r>
              <w:rPr>
                <w:rFonts w:ascii="Arial" w:cs="Arial" w:eastAsia="Arial" w:hAnsi="Arial"/>
                <w:sz w:val="16"/>
                <w:szCs w:val="16"/>
                <w:b w:val="1"/>
                <w:bCs w:val="1"/>
                <w:color w:val="auto"/>
              </w:rPr>
              <w:t>PART II</w:t>
            </w:r>
          </w:p>
        </w:tc>
        <w:tc>
          <w:tcPr>
            <w:tcW w:w="760" w:type="dxa"/>
            <w:vAlign w:val="bottom"/>
          </w:tcPr>
          <w:p>
            <w:pPr>
              <w:spacing w:after="0"/>
              <w:rPr>
                <w:sz w:val="21"/>
                <w:szCs w:val="21"/>
                <w:color w:val="auto"/>
              </w:rPr>
            </w:pPr>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5.</w:t>
            </w:r>
          </w:p>
        </w:tc>
        <w:tc>
          <w:tcPr>
            <w:tcW w:w="9260" w:type="dxa"/>
            <w:vAlign w:val="bottom"/>
          </w:tcPr>
          <w:p>
            <w:pPr>
              <w:ind w:left="80"/>
              <w:spacing w:after="0"/>
              <w:rPr>
                <w:rFonts w:ascii="Arial" w:cs="Arial" w:eastAsia="Arial" w:hAnsi="Arial"/>
                <w:sz w:val="16"/>
                <w:szCs w:val="16"/>
                <w:color w:val="0000EE"/>
              </w:rPr>
            </w:pPr>
            <w:hyperlink w:anchor="page39">
              <w:r>
                <w:rPr>
                  <w:rFonts w:ascii="Arial" w:cs="Arial" w:eastAsia="Arial" w:hAnsi="Arial"/>
                  <w:sz w:val="16"/>
                  <w:szCs w:val="16"/>
                  <w:color w:val="0000EE"/>
                </w:rPr>
                <w:t>Market for Registrant's Common Equity, Related Stockholder Matters and Issuer Purchases of Equity Securities</w:t>
              </w:r>
            </w:hyperlink>
          </w:p>
        </w:tc>
        <w:tc>
          <w:tcPr>
            <w:tcW w:w="760" w:type="dxa"/>
            <w:vAlign w:val="bottom"/>
          </w:tcPr>
          <w:p>
            <w:pPr>
              <w:jc w:val="center"/>
              <w:spacing w:after="0"/>
              <w:rPr>
                <w:rFonts w:ascii="Arial" w:cs="Arial" w:eastAsia="Arial" w:hAnsi="Arial"/>
                <w:sz w:val="16"/>
                <w:szCs w:val="16"/>
                <w:color w:val="0000EE"/>
              </w:rPr>
            </w:pPr>
            <w:hyperlink w:anchor="page39">
              <w:r>
                <w:rPr>
                  <w:rFonts w:ascii="Arial" w:cs="Arial" w:eastAsia="Arial" w:hAnsi="Arial"/>
                  <w:sz w:val="16"/>
                  <w:szCs w:val="16"/>
                  <w:color w:val="0000EE"/>
                </w:rPr>
                <w:t>38</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6.</w:t>
            </w:r>
          </w:p>
        </w:tc>
        <w:tc>
          <w:tcPr>
            <w:tcW w:w="9260" w:type="dxa"/>
            <w:vAlign w:val="bottom"/>
          </w:tcPr>
          <w:p>
            <w:pPr>
              <w:ind w:left="80"/>
              <w:spacing w:after="0"/>
              <w:rPr>
                <w:rFonts w:ascii="Arial" w:cs="Arial" w:eastAsia="Arial" w:hAnsi="Arial"/>
                <w:sz w:val="16"/>
                <w:szCs w:val="16"/>
                <w:color w:val="0000EE"/>
              </w:rPr>
            </w:pPr>
            <w:hyperlink w:anchor="page41">
              <w:r>
                <w:rPr>
                  <w:rFonts w:ascii="Arial" w:cs="Arial" w:eastAsia="Arial" w:hAnsi="Arial"/>
                  <w:sz w:val="16"/>
                  <w:szCs w:val="16"/>
                  <w:color w:val="0000EE"/>
                </w:rPr>
                <w:t>Selected Consolidated Financial Data</w:t>
              </w:r>
            </w:hyperlink>
          </w:p>
        </w:tc>
        <w:tc>
          <w:tcPr>
            <w:tcW w:w="760" w:type="dxa"/>
            <w:vAlign w:val="bottom"/>
          </w:tcPr>
          <w:p>
            <w:pPr>
              <w:jc w:val="center"/>
              <w:spacing w:after="0"/>
              <w:rPr>
                <w:rFonts w:ascii="Arial" w:cs="Arial" w:eastAsia="Arial" w:hAnsi="Arial"/>
                <w:sz w:val="16"/>
                <w:szCs w:val="16"/>
                <w:color w:val="0000EE"/>
              </w:rPr>
            </w:pPr>
            <w:hyperlink w:anchor="page41">
              <w:r>
                <w:rPr>
                  <w:rFonts w:ascii="Arial" w:cs="Arial" w:eastAsia="Arial" w:hAnsi="Arial"/>
                  <w:sz w:val="16"/>
                  <w:szCs w:val="16"/>
                  <w:color w:val="0000EE"/>
                </w:rPr>
                <w:t>40</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7.</w:t>
            </w:r>
          </w:p>
        </w:tc>
        <w:tc>
          <w:tcPr>
            <w:tcW w:w="9260" w:type="dxa"/>
            <w:vAlign w:val="bottom"/>
          </w:tcPr>
          <w:p>
            <w:pPr>
              <w:ind w:left="80"/>
              <w:spacing w:after="0"/>
              <w:rPr>
                <w:rFonts w:ascii="Arial" w:cs="Arial" w:eastAsia="Arial" w:hAnsi="Arial"/>
                <w:sz w:val="16"/>
                <w:szCs w:val="16"/>
                <w:color w:val="0000EE"/>
              </w:rPr>
            </w:pPr>
            <w:hyperlink w:anchor="page42">
              <w:r>
                <w:rPr>
                  <w:rFonts w:ascii="Arial" w:cs="Arial" w:eastAsia="Arial" w:hAnsi="Arial"/>
                  <w:sz w:val="16"/>
                  <w:szCs w:val="16"/>
                  <w:color w:val="0000EE"/>
                </w:rPr>
                <w:t>Management's Discussion and Analysis of Financial Condition and Results of Operations</w:t>
              </w:r>
            </w:hyperlink>
          </w:p>
        </w:tc>
        <w:tc>
          <w:tcPr>
            <w:tcW w:w="760" w:type="dxa"/>
            <w:vAlign w:val="bottom"/>
          </w:tcPr>
          <w:p>
            <w:pPr>
              <w:jc w:val="center"/>
              <w:spacing w:after="0"/>
              <w:rPr>
                <w:rFonts w:ascii="Arial" w:cs="Arial" w:eastAsia="Arial" w:hAnsi="Arial"/>
                <w:sz w:val="16"/>
                <w:szCs w:val="16"/>
                <w:color w:val="0000EE"/>
              </w:rPr>
            </w:pPr>
            <w:hyperlink w:anchor="page42">
              <w:r>
                <w:rPr>
                  <w:rFonts w:ascii="Arial" w:cs="Arial" w:eastAsia="Arial" w:hAnsi="Arial"/>
                  <w:sz w:val="16"/>
                  <w:szCs w:val="16"/>
                  <w:color w:val="0000EE"/>
                </w:rPr>
                <w:t>41</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7A.</w:t>
            </w:r>
          </w:p>
        </w:tc>
        <w:tc>
          <w:tcPr>
            <w:tcW w:w="9260" w:type="dxa"/>
            <w:vAlign w:val="bottom"/>
          </w:tcPr>
          <w:p>
            <w:pPr>
              <w:ind w:left="80"/>
              <w:spacing w:after="0"/>
              <w:rPr>
                <w:rFonts w:ascii="Arial" w:cs="Arial" w:eastAsia="Arial" w:hAnsi="Arial"/>
                <w:sz w:val="16"/>
                <w:szCs w:val="16"/>
                <w:color w:val="0000EE"/>
              </w:rPr>
            </w:pPr>
            <w:hyperlink w:anchor="page60">
              <w:r>
                <w:rPr>
                  <w:rFonts w:ascii="Arial" w:cs="Arial" w:eastAsia="Arial" w:hAnsi="Arial"/>
                  <w:sz w:val="16"/>
                  <w:szCs w:val="16"/>
                  <w:color w:val="0000EE"/>
                </w:rPr>
                <w:t>Quantitative and Qualitative Disclosures About Market Risk</w:t>
              </w:r>
            </w:hyperlink>
          </w:p>
        </w:tc>
        <w:tc>
          <w:tcPr>
            <w:tcW w:w="760" w:type="dxa"/>
            <w:vAlign w:val="bottom"/>
          </w:tcPr>
          <w:p>
            <w:pPr>
              <w:jc w:val="center"/>
              <w:spacing w:after="0"/>
              <w:rPr>
                <w:rFonts w:ascii="Arial" w:cs="Arial" w:eastAsia="Arial" w:hAnsi="Arial"/>
                <w:sz w:val="16"/>
                <w:szCs w:val="16"/>
                <w:color w:val="0000EE"/>
              </w:rPr>
            </w:pPr>
            <w:hyperlink w:anchor="page60">
              <w:r>
                <w:rPr>
                  <w:rFonts w:ascii="Arial" w:cs="Arial" w:eastAsia="Arial" w:hAnsi="Arial"/>
                  <w:sz w:val="16"/>
                  <w:szCs w:val="16"/>
                  <w:color w:val="0000EE"/>
                </w:rPr>
                <w:t>59</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8.</w:t>
            </w:r>
          </w:p>
        </w:tc>
        <w:tc>
          <w:tcPr>
            <w:tcW w:w="9260" w:type="dxa"/>
            <w:vAlign w:val="bottom"/>
          </w:tcPr>
          <w:p>
            <w:pPr>
              <w:ind w:left="80"/>
              <w:spacing w:after="0"/>
              <w:rPr>
                <w:rFonts w:ascii="Arial" w:cs="Arial" w:eastAsia="Arial" w:hAnsi="Arial"/>
                <w:sz w:val="16"/>
                <w:szCs w:val="16"/>
                <w:color w:val="0000EE"/>
              </w:rPr>
            </w:pPr>
            <w:hyperlink w:anchor="page61">
              <w:r>
                <w:rPr>
                  <w:rFonts w:ascii="Arial" w:cs="Arial" w:eastAsia="Arial" w:hAnsi="Arial"/>
                  <w:sz w:val="16"/>
                  <w:szCs w:val="16"/>
                  <w:color w:val="0000EE"/>
                </w:rPr>
                <w:t>Financial Statements and Supplementary Data</w:t>
              </w:r>
            </w:hyperlink>
          </w:p>
        </w:tc>
        <w:tc>
          <w:tcPr>
            <w:tcW w:w="760" w:type="dxa"/>
            <w:vAlign w:val="bottom"/>
          </w:tcPr>
          <w:p>
            <w:pPr>
              <w:jc w:val="center"/>
              <w:spacing w:after="0"/>
              <w:rPr>
                <w:rFonts w:ascii="Arial" w:cs="Arial" w:eastAsia="Arial" w:hAnsi="Arial"/>
                <w:sz w:val="16"/>
                <w:szCs w:val="16"/>
                <w:color w:val="0000EE"/>
              </w:rPr>
            </w:pPr>
            <w:hyperlink w:anchor="page61">
              <w:r>
                <w:rPr>
                  <w:rFonts w:ascii="Arial" w:cs="Arial" w:eastAsia="Arial" w:hAnsi="Arial"/>
                  <w:sz w:val="16"/>
                  <w:szCs w:val="16"/>
                  <w:color w:val="0000EE"/>
                </w:rPr>
                <w:t>60</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9.</w:t>
            </w:r>
          </w:p>
        </w:tc>
        <w:tc>
          <w:tcPr>
            <w:tcW w:w="9260" w:type="dxa"/>
            <w:vAlign w:val="bottom"/>
          </w:tcPr>
          <w:p>
            <w:pPr>
              <w:ind w:left="80"/>
              <w:spacing w:after="0"/>
              <w:rPr>
                <w:rFonts w:ascii="Arial" w:cs="Arial" w:eastAsia="Arial" w:hAnsi="Arial"/>
                <w:sz w:val="16"/>
                <w:szCs w:val="16"/>
                <w:color w:val="0000EE"/>
              </w:rPr>
            </w:pPr>
            <w:hyperlink w:anchor="page96">
              <w:r>
                <w:rPr>
                  <w:rFonts w:ascii="Arial" w:cs="Arial" w:eastAsia="Arial" w:hAnsi="Arial"/>
                  <w:sz w:val="16"/>
                  <w:szCs w:val="16"/>
                  <w:color w:val="0000EE"/>
                </w:rPr>
                <w:t>Changes in and Disagreements with Accountants on Accounting and Financial Disclosure</w:t>
              </w:r>
            </w:hyperlink>
          </w:p>
        </w:tc>
        <w:tc>
          <w:tcPr>
            <w:tcW w:w="760" w:type="dxa"/>
            <w:vAlign w:val="bottom"/>
          </w:tcPr>
          <w:p>
            <w:pPr>
              <w:jc w:val="center"/>
              <w:spacing w:after="0"/>
              <w:rPr>
                <w:rFonts w:ascii="Arial" w:cs="Arial" w:eastAsia="Arial" w:hAnsi="Arial"/>
                <w:sz w:val="16"/>
                <w:szCs w:val="16"/>
                <w:color w:val="0000EE"/>
              </w:rPr>
            </w:pPr>
            <w:hyperlink w:anchor="page96">
              <w:r>
                <w:rPr>
                  <w:rFonts w:ascii="Arial" w:cs="Arial" w:eastAsia="Arial" w:hAnsi="Arial"/>
                  <w:sz w:val="16"/>
                  <w:szCs w:val="16"/>
                  <w:color w:val="0000EE"/>
                </w:rPr>
                <w:t>95</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9A.</w:t>
            </w:r>
          </w:p>
        </w:tc>
        <w:tc>
          <w:tcPr>
            <w:tcW w:w="9260" w:type="dxa"/>
            <w:vAlign w:val="bottom"/>
          </w:tcPr>
          <w:p>
            <w:pPr>
              <w:ind w:left="80"/>
              <w:spacing w:after="0"/>
              <w:rPr>
                <w:rFonts w:ascii="Arial" w:cs="Arial" w:eastAsia="Arial" w:hAnsi="Arial"/>
                <w:sz w:val="16"/>
                <w:szCs w:val="16"/>
                <w:color w:val="0000EE"/>
              </w:rPr>
            </w:pPr>
            <w:hyperlink w:anchor="page96">
              <w:r>
                <w:rPr>
                  <w:rFonts w:ascii="Arial" w:cs="Arial" w:eastAsia="Arial" w:hAnsi="Arial"/>
                  <w:sz w:val="16"/>
                  <w:szCs w:val="16"/>
                  <w:color w:val="0000EE"/>
                </w:rPr>
                <w:t>Controls and Procedures</w:t>
              </w:r>
            </w:hyperlink>
          </w:p>
        </w:tc>
        <w:tc>
          <w:tcPr>
            <w:tcW w:w="760" w:type="dxa"/>
            <w:vAlign w:val="bottom"/>
          </w:tcPr>
          <w:p>
            <w:pPr>
              <w:jc w:val="center"/>
              <w:spacing w:after="0"/>
              <w:rPr>
                <w:rFonts w:ascii="Arial" w:cs="Arial" w:eastAsia="Arial" w:hAnsi="Arial"/>
                <w:sz w:val="16"/>
                <w:szCs w:val="16"/>
                <w:color w:val="0000EE"/>
              </w:rPr>
            </w:pPr>
            <w:hyperlink w:anchor="page96">
              <w:r>
                <w:rPr>
                  <w:rFonts w:ascii="Arial" w:cs="Arial" w:eastAsia="Arial" w:hAnsi="Arial"/>
                  <w:sz w:val="16"/>
                  <w:szCs w:val="16"/>
                  <w:color w:val="0000EE"/>
                </w:rPr>
                <w:t>95</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9B.</w:t>
            </w:r>
          </w:p>
        </w:tc>
        <w:tc>
          <w:tcPr>
            <w:tcW w:w="9260" w:type="dxa"/>
            <w:vAlign w:val="bottom"/>
          </w:tcPr>
          <w:p>
            <w:pPr>
              <w:ind w:left="80"/>
              <w:spacing w:after="0"/>
              <w:rPr>
                <w:rFonts w:ascii="Arial" w:cs="Arial" w:eastAsia="Arial" w:hAnsi="Arial"/>
                <w:sz w:val="16"/>
                <w:szCs w:val="16"/>
                <w:color w:val="0000EE"/>
              </w:rPr>
            </w:pPr>
            <w:hyperlink w:anchor="page97">
              <w:r>
                <w:rPr>
                  <w:rFonts w:ascii="Arial" w:cs="Arial" w:eastAsia="Arial" w:hAnsi="Arial"/>
                  <w:sz w:val="16"/>
                  <w:szCs w:val="16"/>
                  <w:color w:val="0000EE"/>
                </w:rPr>
                <w:t>Other Information</w:t>
              </w:r>
            </w:hyperlink>
          </w:p>
        </w:tc>
        <w:tc>
          <w:tcPr>
            <w:tcW w:w="760" w:type="dxa"/>
            <w:vAlign w:val="bottom"/>
          </w:tcPr>
          <w:p>
            <w:pPr>
              <w:jc w:val="center"/>
              <w:spacing w:after="0"/>
              <w:rPr>
                <w:rFonts w:ascii="Arial" w:cs="Arial" w:eastAsia="Arial" w:hAnsi="Arial"/>
                <w:sz w:val="16"/>
                <w:szCs w:val="16"/>
                <w:color w:val="0000EE"/>
              </w:rPr>
            </w:pPr>
            <w:hyperlink w:anchor="page97">
              <w:r>
                <w:rPr>
                  <w:rFonts w:ascii="Arial" w:cs="Arial" w:eastAsia="Arial" w:hAnsi="Arial"/>
                  <w:sz w:val="16"/>
                  <w:szCs w:val="16"/>
                  <w:color w:val="0000EE"/>
                </w:rPr>
                <w:t>96</w:t>
              </w:r>
            </w:hyperlink>
          </w:p>
        </w:tc>
      </w:tr>
      <w:tr>
        <w:trPr>
          <w:trHeight w:val="243"/>
        </w:trPr>
        <w:tc>
          <w:tcPr>
            <w:tcW w:w="680" w:type="dxa"/>
            <w:vAlign w:val="bottom"/>
          </w:tcPr>
          <w:p>
            <w:pPr>
              <w:spacing w:after="0"/>
              <w:rPr>
                <w:sz w:val="21"/>
                <w:szCs w:val="21"/>
                <w:color w:val="auto"/>
              </w:rPr>
            </w:pPr>
          </w:p>
        </w:tc>
        <w:tc>
          <w:tcPr>
            <w:tcW w:w="9260" w:type="dxa"/>
            <w:vAlign w:val="bottom"/>
          </w:tcPr>
          <w:p>
            <w:pPr>
              <w:jc w:val="center"/>
              <w:spacing w:after="0"/>
              <w:rPr>
                <w:sz w:val="20"/>
                <w:szCs w:val="20"/>
                <w:color w:val="auto"/>
              </w:rPr>
            </w:pPr>
            <w:r>
              <w:rPr>
                <w:rFonts w:ascii="Arial" w:cs="Arial" w:eastAsia="Arial" w:hAnsi="Arial"/>
                <w:sz w:val="16"/>
                <w:szCs w:val="16"/>
                <w:b w:val="1"/>
                <w:bCs w:val="1"/>
                <w:color w:val="auto"/>
              </w:rPr>
              <w:t>PART III</w:t>
            </w:r>
          </w:p>
        </w:tc>
        <w:tc>
          <w:tcPr>
            <w:tcW w:w="760" w:type="dxa"/>
            <w:vAlign w:val="bottom"/>
          </w:tcPr>
          <w:p>
            <w:pPr>
              <w:spacing w:after="0"/>
              <w:rPr>
                <w:sz w:val="21"/>
                <w:szCs w:val="21"/>
                <w:color w:val="auto"/>
              </w:rPr>
            </w:pPr>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10.</w:t>
            </w:r>
          </w:p>
        </w:tc>
        <w:tc>
          <w:tcPr>
            <w:tcW w:w="9260" w:type="dxa"/>
            <w:vAlign w:val="bottom"/>
          </w:tcPr>
          <w:p>
            <w:pPr>
              <w:ind w:left="80"/>
              <w:spacing w:after="0"/>
              <w:rPr>
                <w:rFonts w:ascii="Arial" w:cs="Arial" w:eastAsia="Arial" w:hAnsi="Arial"/>
                <w:sz w:val="16"/>
                <w:szCs w:val="16"/>
                <w:color w:val="0000EE"/>
              </w:rPr>
            </w:pPr>
            <w:hyperlink w:anchor="page98">
              <w:r>
                <w:rPr>
                  <w:rFonts w:ascii="Arial" w:cs="Arial" w:eastAsia="Arial" w:hAnsi="Arial"/>
                  <w:sz w:val="16"/>
                  <w:szCs w:val="16"/>
                  <w:color w:val="0000EE"/>
                </w:rPr>
                <w:t>Directors, Executive Officers and Corporate Governance</w:t>
              </w:r>
            </w:hyperlink>
          </w:p>
        </w:tc>
        <w:tc>
          <w:tcPr>
            <w:tcW w:w="760" w:type="dxa"/>
            <w:vAlign w:val="bottom"/>
          </w:tcPr>
          <w:p>
            <w:pPr>
              <w:jc w:val="center"/>
              <w:spacing w:after="0"/>
              <w:rPr>
                <w:rFonts w:ascii="Arial" w:cs="Arial" w:eastAsia="Arial" w:hAnsi="Arial"/>
                <w:sz w:val="16"/>
                <w:szCs w:val="16"/>
                <w:color w:val="0000EE"/>
              </w:rPr>
            </w:pPr>
            <w:hyperlink w:anchor="page98">
              <w:r>
                <w:rPr>
                  <w:rFonts w:ascii="Arial" w:cs="Arial" w:eastAsia="Arial" w:hAnsi="Arial"/>
                  <w:sz w:val="16"/>
                  <w:szCs w:val="16"/>
                  <w:color w:val="0000EE"/>
                </w:rPr>
                <w:t>97</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11.</w:t>
            </w:r>
          </w:p>
        </w:tc>
        <w:tc>
          <w:tcPr>
            <w:tcW w:w="9260" w:type="dxa"/>
            <w:vAlign w:val="bottom"/>
          </w:tcPr>
          <w:p>
            <w:pPr>
              <w:ind w:left="80"/>
              <w:spacing w:after="0"/>
              <w:rPr>
                <w:rFonts w:ascii="Arial" w:cs="Arial" w:eastAsia="Arial" w:hAnsi="Arial"/>
                <w:sz w:val="16"/>
                <w:szCs w:val="16"/>
                <w:color w:val="0000EE"/>
              </w:rPr>
            </w:pPr>
            <w:hyperlink w:anchor="page98">
              <w:r>
                <w:rPr>
                  <w:rFonts w:ascii="Arial" w:cs="Arial" w:eastAsia="Arial" w:hAnsi="Arial"/>
                  <w:sz w:val="16"/>
                  <w:szCs w:val="16"/>
                  <w:color w:val="0000EE"/>
                </w:rPr>
                <w:t>Executive Compensation</w:t>
              </w:r>
            </w:hyperlink>
          </w:p>
        </w:tc>
        <w:tc>
          <w:tcPr>
            <w:tcW w:w="760" w:type="dxa"/>
            <w:vAlign w:val="bottom"/>
          </w:tcPr>
          <w:p>
            <w:pPr>
              <w:jc w:val="center"/>
              <w:spacing w:after="0"/>
              <w:rPr>
                <w:rFonts w:ascii="Arial" w:cs="Arial" w:eastAsia="Arial" w:hAnsi="Arial"/>
                <w:sz w:val="16"/>
                <w:szCs w:val="16"/>
                <w:color w:val="0000EE"/>
              </w:rPr>
            </w:pPr>
            <w:hyperlink w:anchor="page98">
              <w:r>
                <w:rPr>
                  <w:rFonts w:ascii="Arial" w:cs="Arial" w:eastAsia="Arial" w:hAnsi="Arial"/>
                  <w:sz w:val="16"/>
                  <w:szCs w:val="16"/>
                  <w:color w:val="0000EE"/>
                </w:rPr>
                <w:t>97</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12.</w:t>
            </w:r>
          </w:p>
        </w:tc>
        <w:tc>
          <w:tcPr>
            <w:tcW w:w="9260" w:type="dxa"/>
            <w:vAlign w:val="bottom"/>
          </w:tcPr>
          <w:p>
            <w:pPr>
              <w:ind w:left="80"/>
              <w:spacing w:after="0"/>
              <w:rPr>
                <w:rFonts w:ascii="Arial" w:cs="Arial" w:eastAsia="Arial" w:hAnsi="Arial"/>
                <w:sz w:val="16"/>
                <w:szCs w:val="16"/>
                <w:color w:val="0000EE"/>
              </w:rPr>
            </w:pPr>
            <w:hyperlink w:anchor="page98">
              <w:r>
                <w:rPr>
                  <w:rFonts w:ascii="Arial" w:cs="Arial" w:eastAsia="Arial" w:hAnsi="Arial"/>
                  <w:sz w:val="16"/>
                  <w:szCs w:val="16"/>
                  <w:color w:val="0000EE"/>
                </w:rPr>
                <w:t>Security Ownership of Certain Beneficial Owners and Management and Related Stockholder Matters</w:t>
              </w:r>
            </w:hyperlink>
          </w:p>
        </w:tc>
        <w:tc>
          <w:tcPr>
            <w:tcW w:w="760" w:type="dxa"/>
            <w:vAlign w:val="bottom"/>
          </w:tcPr>
          <w:p>
            <w:pPr>
              <w:jc w:val="center"/>
              <w:spacing w:after="0"/>
              <w:rPr>
                <w:rFonts w:ascii="Arial" w:cs="Arial" w:eastAsia="Arial" w:hAnsi="Arial"/>
                <w:sz w:val="16"/>
                <w:szCs w:val="16"/>
                <w:color w:val="0000EE"/>
              </w:rPr>
            </w:pPr>
            <w:hyperlink w:anchor="page98">
              <w:r>
                <w:rPr>
                  <w:rFonts w:ascii="Arial" w:cs="Arial" w:eastAsia="Arial" w:hAnsi="Arial"/>
                  <w:sz w:val="16"/>
                  <w:szCs w:val="16"/>
                  <w:color w:val="0000EE"/>
                </w:rPr>
                <w:t>97</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13.</w:t>
            </w:r>
          </w:p>
        </w:tc>
        <w:tc>
          <w:tcPr>
            <w:tcW w:w="9260" w:type="dxa"/>
            <w:vAlign w:val="bottom"/>
          </w:tcPr>
          <w:p>
            <w:pPr>
              <w:ind w:left="80"/>
              <w:spacing w:after="0"/>
              <w:rPr>
                <w:rFonts w:ascii="Arial" w:cs="Arial" w:eastAsia="Arial" w:hAnsi="Arial"/>
                <w:sz w:val="16"/>
                <w:szCs w:val="16"/>
                <w:color w:val="0000EE"/>
              </w:rPr>
            </w:pPr>
            <w:hyperlink w:anchor="page98">
              <w:r>
                <w:rPr>
                  <w:rFonts w:ascii="Arial" w:cs="Arial" w:eastAsia="Arial" w:hAnsi="Arial"/>
                  <w:sz w:val="16"/>
                  <w:szCs w:val="16"/>
                  <w:color w:val="0000EE"/>
                </w:rPr>
                <w:t>Certain Relationships and Related Transactions, and Director Independence</w:t>
              </w:r>
            </w:hyperlink>
          </w:p>
        </w:tc>
        <w:tc>
          <w:tcPr>
            <w:tcW w:w="760" w:type="dxa"/>
            <w:vAlign w:val="bottom"/>
          </w:tcPr>
          <w:p>
            <w:pPr>
              <w:jc w:val="center"/>
              <w:spacing w:after="0"/>
              <w:rPr>
                <w:rFonts w:ascii="Arial" w:cs="Arial" w:eastAsia="Arial" w:hAnsi="Arial"/>
                <w:sz w:val="16"/>
                <w:szCs w:val="16"/>
                <w:color w:val="0000EE"/>
              </w:rPr>
            </w:pPr>
            <w:hyperlink w:anchor="page98">
              <w:r>
                <w:rPr>
                  <w:rFonts w:ascii="Arial" w:cs="Arial" w:eastAsia="Arial" w:hAnsi="Arial"/>
                  <w:sz w:val="16"/>
                  <w:szCs w:val="16"/>
                  <w:color w:val="0000EE"/>
                </w:rPr>
                <w:t>97</w:t>
              </w:r>
            </w:hyperlink>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14.</w:t>
            </w:r>
          </w:p>
        </w:tc>
        <w:tc>
          <w:tcPr>
            <w:tcW w:w="9260" w:type="dxa"/>
            <w:vAlign w:val="bottom"/>
          </w:tcPr>
          <w:p>
            <w:pPr>
              <w:ind w:left="80"/>
              <w:spacing w:after="0"/>
              <w:rPr>
                <w:rFonts w:ascii="Arial" w:cs="Arial" w:eastAsia="Arial" w:hAnsi="Arial"/>
                <w:sz w:val="16"/>
                <w:szCs w:val="16"/>
                <w:color w:val="0000EE"/>
              </w:rPr>
            </w:pPr>
            <w:hyperlink w:anchor="page98">
              <w:r>
                <w:rPr>
                  <w:rFonts w:ascii="Arial" w:cs="Arial" w:eastAsia="Arial" w:hAnsi="Arial"/>
                  <w:sz w:val="16"/>
                  <w:szCs w:val="16"/>
                  <w:color w:val="0000EE"/>
                </w:rPr>
                <w:t>Principal Accounting Fees and Services</w:t>
              </w:r>
            </w:hyperlink>
          </w:p>
        </w:tc>
        <w:tc>
          <w:tcPr>
            <w:tcW w:w="760" w:type="dxa"/>
            <w:vAlign w:val="bottom"/>
          </w:tcPr>
          <w:p>
            <w:pPr>
              <w:jc w:val="center"/>
              <w:spacing w:after="0"/>
              <w:rPr>
                <w:rFonts w:ascii="Arial" w:cs="Arial" w:eastAsia="Arial" w:hAnsi="Arial"/>
                <w:sz w:val="16"/>
                <w:szCs w:val="16"/>
                <w:color w:val="0000EE"/>
              </w:rPr>
            </w:pPr>
            <w:hyperlink w:anchor="page98">
              <w:r>
                <w:rPr>
                  <w:rFonts w:ascii="Arial" w:cs="Arial" w:eastAsia="Arial" w:hAnsi="Arial"/>
                  <w:sz w:val="16"/>
                  <w:szCs w:val="16"/>
                  <w:color w:val="0000EE"/>
                </w:rPr>
                <w:t>97</w:t>
              </w:r>
            </w:hyperlink>
          </w:p>
        </w:tc>
      </w:tr>
      <w:tr>
        <w:trPr>
          <w:trHeight w:val="243"/>
        </w:trPr>
        <w:tc>
          <w:tcPr>
            <w:tcW w:w="680" w:type="dxa"/>
            <w:vAlign w:val="bottom"/>
          </w:tcPr>
          <w:p>
            <w:pPr>
              <w:spacing w:after="0"/>
              <w:rPr>
                <w:sz w:val="21"/>
                <w:szCs w:val="21"/>
                <w:color w:val="auto"/>
              </w:rPr>
            </w:pPr>
          </w:p>
        </w:tc>
        <w:tc>
          <w:tcPr>
            <w:tcW w:w="9260" w:type="dxa"/>
            <w:vAlign w:val="bottom"/>
          </w:tcPr>
          <w:p>
            <w:pPr>
              <w:jc w:val="center"/>
              <w:spacing w:after="0"/>
              <w:rPr>
                <w:sz w:val="20"/>
                <w:szCs w:val="20"/>
                <w:color w:val="auto"/>
              </w:rPr>
            </w:pPr>
            <w:r>
              <w:rPr>
                <w:rFonts w:ascii="Arial" w:cs="Arial" w:eastAsia="Arial" w:hAnsi="Arial"/>
                <w:sz w:val="16"/>
                <w:szCs w:val="16"/>
                <w:b w:val="1"/>
                <w:bCs w:val="1"/>
                <w:color w:val="auto"/>
                <w:w w:val="98"/>
              </w:rPr>
              <w:t>PART IV</w:t>
            </w:r>
          </w:p>
        </w:tc>
        <w:tc>
          <w:tcPr>
            <w:tcW w:w="760" w:type="dxa"/>
            <w:vAlign w:val="bottom"/>
          </w:tcPr>
          <w:p>
            <w:pPr>
              <w:spacing w:after="0"/>
              <w:rPr>
                <w:sz w:val="21"/>
                <w:szCs w:val="21"/>
                <w:color w:val="auto"/>
              </w:rPr>
            </w:pPr>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Item 15.</w:t>
            </w:r>
          </w:p>
        </w:tc>
        <w:tc>
          <w:tcPr>
            <w:tcW w:w="9260" w:type="dxa"/>
            <w:vAlign w:val="bottom"/>
          </w:tcPr>
          <w:p>
            <w:pPr>
              <w:ind w:left="80"/>
              <w:spacing w:after="0"/>
              <w:rPr>
                <w:rFonts w:ascii="Arial" w:cs="Arial" w:eastAsia="Arial" w:hAnsi="Arial"/>
                <w:sz w:val="16"/>
                <w:szCs w:val="16"/>
                <w:color w:val="0000EE"/>
              </w:rPr>
            </w:pPr>
            <w:hyperlink w:anchor="page99">
              <w:r>
                <w:rPr>
                  <w:rFonts w:ascii="Arial" w:cs="Arial" w:eastAsia="Arial" w:hAnsi="Arial"/>
                  <w:sz w:val="16"/>
                  <w:szCs w:val="16"/>
                  <w:color w:val="0000EE"/>
                </w:rPr>
                <w:t>Exhibits and Financial Statement Schedules</w:t>
              </w:r>
            </w:hyperlink>
          </w:p>
        </w:tc>
        <w:tc>
          <w:tcPr>
            <w:tcW w:w="760" w:type="dxa"/>
            <w:vAlign w:val="bottom"/>
          </w:tcPr>
          <w:p>
            <w:pPr>
              <w:jc w:val="center"/>
              <w:spacing w:after="0"/>
              <w:rPr>
                <w:rFonts w:ascii="Arial" w:cs="Arial" w:eastAsia="Arial" w:hAnsi="Arial"/>
                <w:sz w:val="16"/>
                <w:szCs w:val="16"/>
                <w:color w:val="0000EE"/>
              </w:rPr>
            </w:pPr>
            <w:hyperlink w:anchor="page99">
              <w:r>
                <w:rPr>
                  <w:rFonts w:ascii="Arial" w:cs="Arial" w:eastAsia="Arial" w:hAnsi="Arial"/>
                  <w:sz w:val="16"/>
                  <w:szCs w:val="16"/>
                  <w:color w:val="0000EE"/>
                </w:rPr>
                <w:t>98</w:t>
              </w:r>
            </w:hyperlink>
          </w:p>
        </w:tc>
      </w:tr>
      <w:tr>
        <w:trPr>
          <w:trHeight w:val="243"/>
        </w:trPr>
        <w:tc>
          <w:tcPr>
            <w:tcW w:w="9940" w:type="dxa"/>
            <w:vAlign w:val="bottom"/>
            <w:gridSpan w:val="2"/>
          </w:tcPr>
          <w:p>
            <w:pPr>
              <w:spacing w:after="0"/>
              <w:rPr>
                <w:rFonts w:ascii="Arial" w:cs="Arial" w:eastAsia="Arial" w:hAnsi="Arial"/>
                <w:sz w:val="16"/>
                <w:szCs w:val="16"/>
                <w:color w:val="0000EE"/>
              </w:rPr>
            </w:pPr>
            <w:hyperlink w:anchor="page101">
              <w:r>
                <w:rPr>
                  <w:rFonts w:ascii="Arial" w:cs="Arial" w:eastAsia="Arial" w:hAnsi="Arial"/>
                  <w:sz w:val="16"/>
                  <w:szCs w:val="16"/>
                  <w:color w:val="0000EE"/>
                </w:rPr>
                <w:t>Signatures</w:t>
              </w:r>
            </w:hyperlink>
          </w:p>
        </w:tc>
        <w:tc>
          <w:tcPr>
            <w:tcW w:w="760" w:type="dxa"/>
            <w:vAlign w:val="bottom"/>
          </w:tcPr>
          <w:p>
            <w:pPr>
              <w:jc w:val="center"/>
              <w:spacing w:after="0"/>
              <w:rPr>
                <w:rFonts w:ascii="Arial" w:cs="Arial" w:eastAsia="Arial" w:hAnsi="Arial"/>
                <w:sz w:val="16"/>
                <w:szCs w:val="16"/>
                <w:color w:val="0000EE"/>
              </w:rPr>
            </w:pPr>
            <w:hyperlink w:anchor="page101">
              <w:r>
                <w:rPr>
                  <w:rFonts w:ascii="Arial" w:cs="Arial" w:eastAsia="Arial" w:hAnsi="Arial"/>
                  <w:sz w:val="16"/>
                  <w:szCs w:val="16"/>
                  <w:color w:val="0000EE"/>
                </w:rPr>
                <w:t>99</w:t>
              </w:r>
            </w:hyperlink>
          </w:p>
        </w:tc>
      </w:tr>
    </w:tbl>
    <w:p>
      <w:pPr>
        <w:spacing w:after="0" w:line="2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0"/>
          </w:cols>
          <w:pgMar w:left="240" w:top="141" w:right="91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Forward-Looking Statements</w:t>
      </w:r>
    </w:p>
    <w:p>
      <w:pPr>
        <w:spacing w:after="0" w:line="20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Annual Report on 10-K include, but are not limited to, statements about:</w:t>
      </w:r>
    </w:p>
    <w:p>
      <w:pPr>
        <w:spacing w:after="0" w:line="189" w:lineRule="exact"/>
        <w:rPr>
          <w:sz w:val="20"/>
          <w:szCs w:val="20"/>
          <w:color w:val="auto"/>
        </w:rPr>
      </w:pPr>
    </w:p>
    <w:p>
      <w:pPr>
        <w:ind w:left="1060" w:hanging="323"/>
        <w:spacing w:after="0" w:line="26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231F20"/>
        </w:rPr>
      </w:pPr>
    </w:p>
    <w:p>
      <w:pPr>
        <w:ind w:left="1060" w:right="2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diversify our sources of revenues, including selling additional solutions to our existing customers and our ability to pursue new customers;</w:t>
      </w: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231F20"/>
        </w:rPr>
      </w:pPr>
    </w:p>
    <w:p>
      <w:pPr>
        <w:ind w:left="106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anticipated investments in sales and marketing, our infrastructure, new solutions, research and development, and acquisitions;</w:t>
      </w: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231F20"/>
        </w:rPr>
      </w:pPr>
    </w:p>
    <w:p>
      <w:pPr>
        <w:ind w:left="1060" w:right="2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our deferred tax assets and our effective tax rate; and</w:t>
      </w:r>
    </w:p>
    <w:p>
      <w:pPr>
        <w:ind w:left="1060" w:hanging="323"/>
        <w:spacing w:after="0" w:line="262"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other factors discussed in this Annual Report on Form 10-K in the sections titled "Risk Factors," "Management's Discussion and Analysis of Financial Condition and Results of Operations" and "Business."</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231F20"/>
        </w:rPr>
        <w:t>We have based the forward-looking statements contained in this Annual Report on Form 10-K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 Item 1A (Risk Factors) of this Annual Report.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85"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i w:val="1"/>
          <w:iCs w:val="1"/>
          <w:color w:val="231F20"/>
        </w:rPr>
        <w:t>You should not rely on forward-looking statements as predictions of future events. Except as required by law, neither we nor any other person assumes responsibility for the accuracy and completeness of the forward-looking statements, and we undertake no obligation to update any forward-looking statements to reflect events or circumstances after the date of such statements.</w:t>
      </w:r>
    </w:p>
    <w:p>
      <w:pPr>
        <w:spacing w:after="0" w:line="176"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i w:val="1"/>
          <w:iCs w:val="1"/>
          <w:color w:val="231F20"/>
        </w:rPr>
        <w:t>Qualys, the Qualys logo and QualysGuard, and other trademarks and service marks of Qualys appearing in this Annual Report on Form 10-K are the property of Qualys. This Annual Report on Form 10-K also contains trademarks and trade names of other businesses that are the property of their respective holders. We have omitted the ® and ™ designations, as applicable, for the trademarks used in this Annual Report on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 xml:space="preserve">We </w:t>
      </w:r>
      <w:r>
        <w:rPr>
          <w:rFonts w:ascii="Arial" w:cs="Arial" w:eastAsia="Arial" w:hAnsi="Arial"/>
          <w:sz w:val="18"/>
          <w:szCs w:val="18"/>
          <w:color w:val="000000"/>
        </w:rPr>
        <w:t>are a pioneer and leading provider of a cloud-based platform delivering security and compliance solutions that enable organizations to</w:t>
      </w:r>
      <w:r>
        <w:rPr>
          <w:rFonts w:ascii="Arial" w:cs="Arial" w:eastAsia="Arial" w:hAnsi="Arial"/>
          <w:sz w:val="18"/>
          <w:szCs w:val="18"/>
          <w:color w:val="231F20"/>
        </w:rPr>
        <w:t xml:space="preserve"> </w:t>
      </w:r>
      <w:r>
        <w:rPr>
          <w:rFonts w:ascii="Arial" w:cs="Arial" w:eastAsia="Arial" w:hAnsi="Arial"/>
          <w:sz w:val="18"/>
          <w:szCs w:val="18"/>
          <w:color w:val="000000"/>
        </w:rPr>
        <w:t>identify security risks to their information technology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 cloud platform to cost-effectively obtain a unified view of their security and compliance posture across globally-distributed IT infrastructures as our solution offers a single platform for information security, application security, endpoint, developer security and cloud teams.</w:t>
      </w:r>
    </w:p>
    <w:p>
      <w:pPr>
        <w:spacing w:after="0" w:line="212"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IT infrastructures are more complex and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In this environment, new and evolving digital technologies intended to improve organizations’ operations can also increase vulnerability to cyber-attacks, which can expose sensitive data, damage IT and physical infrastructures, and result in serious financial or reputational consequences. In addition, the rapidly increasing amount of data and devices in IT environments makes it more difficult to identify and remediate vulnerabilities in a timely manner.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security and compliance solutions delivered in a single platform.</w:t>
      </w:r>
    </w:p>
    <w:p>
      <w:pPr>
        <w:spacing w:after="0" w:line="213"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We designed our Qualys cloud platform to transform the way organizations secure and protect their IT infrastructures and applications. Our cloud platform offers an integrated suite of solutions that automates the lifecycle of asset discovery, security assessments, and compliance management for an organization’s IT infrastructure and assets, whether such infrastructure and assets reside inside the organization, on their network perimeter, on endpoints or in the cloud. Since inception, our solutions have been designed to be delivered through the cloud and to be easily and rapidly deployed on a global scale, enabling faster implementation and lower total cost of ownership than traditional on-premises enterprise software products. Our customers, ranging from some of the largest global organizations to small businesses, are served from our globally-distributed cloud platform, enabling us to rapidly deliver new solutions, enhancements and security updates.</w:t>
      </w:r>
    </w:p>
    <w:p>
      <w:pPr>
        <w:spacing w:after="0" w:line="20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believe that our cloud platform provides our customers with unique advantages, including:</w:t>
      </w:r>
    </w:p>
    <w:p>
      <w:pPr>
        <w:spacing w:after="0" w:line="207" w:lineRule="exact"/>
        <w:rPr>
          <w:sz w:val="20"/>
          <w:szCs w:val="20"/>
          <w:color w:val="auto"/>
        </w:rPr>
      </w:pPr>
    </w:p>
    <w:p>
      <w:pPr>
        <w:ind w:left="1040" w:right="20" w:hanging="316"/>
        <w:spacing w:after="0" w:line="282"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No hardware to buy or manage. </w:t>
      </w:r>
      <w:r>
        <w:rPr>
          <w:rFonts w:ascii="Arial" w:cs="Arial" w:eastAsia="Arial" w:hAnsi="Arial"/>
          <w:sz w:val="18"/>
          <w:szCs w:val="18"/>
          <w:color w:val="auto"/>
        </w:rPr>
        <w:t>There is no infrastructure or software to buy and maintain thus reducing our customers’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all services are accessible in the cloud via web interface. Qualys operates and maintains the platform.</w:t>
      </w:r>
    </w:p>
    <w:p>
      <w:pPr>
        <w:spacing w:after="0" w:line="161" w:lineRule="exact"/>
        <w:rPr>
          <w:rFonts w:ascii="Arial" w:cs="Arial" w:eastAsia="Arial" w:hAnsi="Arial"/>
          <w:sz w:val="18"/>
          <w:szCs w:val="18"/>
          <w:color w:val="auto"/>
        </w:rPr>
      </w:pPr>
    </w:p>
    <w:p>
      <w:pPr>
        <w:jc w:val="both"/>
        <w:ind w:left="1040" w:hanging="316"/>
        <w:spacing w:after="0" w:line="266"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Real-time visibility in one place, anytime and anywhere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can conveniently see their security and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posture across their global IT asset inventory in one browser window, without plugins or a virtual private network (VPN), whenever and wherever Internet access is available.</w:t>
      </w:r>
    </w:p>
    <w:p>
      <w:pPr>
        <w:spacing w:after="0" w:line="176" w:lineRule="exact"/>
        <w:rPr>
          <w:rFonts w:ascii="Arial" w:cs="Arial" w:eastAsia="Arial" w:hAnsi="Arial"/>
          <w:sz w:val="18"/>
          <w:szCs w:val="18"/>
          <w:color w:val="auto"/>
        </w:rPr>
      </w:pPr>
    </w:p>
    <w:p>
      <w:pPr>
        <w:ind w:left="1040" w:hanging="316"/>
        <w:spacing w:after="0" w:line="282"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Easy global scanning. </w:t>
      </w:r>
      <w:r>
        <w:rPr>
          <w:rFonts w:ascii="Arial" w:cs="Arial" w:eastAsia="Arial" w:hAnsi="Arial"/>
          <w:sz w:val="18"/>
          <w:szCs w:val="18"/>
          <w:color w:val="auto"/>
        </w:rPr>
        <w:t>Our customers can easily perform scans on geographically distributed and segmented networks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perimeter, behind the firewall, on dynamic cloud environments and on endpoints.</w:t>
      </w:r>
    </w:p>
    <w:p>
      <w:pPr>
        <w:spacing w:after="0" w:line="161" w:lineRule="exact"/>
        <w:rPr>
          <w:rFonts w:ascii="Arial" w:cs="Arial" w:eastAsia="Arial" w:hAnsi="Arial"/>
          <w:sz w:val="18"/>
          <w:szCs w:val="18"/>
          <w:color w:val="auto"/>
        </w:rPr>
      </w:pPr>
    </w:p>
    <w:p>
      <w:pPr>
        <w:ind w:left="1040" w:hanging="316"/>
        <w:spacing w:after="0" w:line="282"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Seamless scaling. </w:t>
      </w:r>
      <w:r>
        <w:rPr>
          <w:rFonts w:ascii="Arial" w:cs="Arial" w:eastAsia="Arial" w:hAnsi="Arial"/>
          <w:sz w:val="18"/>
          <w:szCs w:val="18"/>
          <w:color w:val="auto"/>
        </w:rPr>
        <w:t>Our cloud platform is a scalable, comprehensive, and end-to-end solution for the IT security needs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Our customers can seamlessly add new coverage, users and services after they have deployed our platform.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40" w:hanging="316"/>
        <w:spacing w:after="0" w:line="282"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Up to date resources</w:t>
      </w:r>
      <w:r>
        <w:rPr>
          <w:rFonts w:ascii="Arial" w:cs="Arial" w:eastAsia="Arial" w:hAnsi="Arial"/>
          <w:sz w:val="18"/>
          <w:szCs w:val="18"/>
          <w:color w:val="auto"/>
        </w:rPr>
        <w:t>. Qualys has one of the largest knowledge bases of vulnerability signatures in the industry. All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updates are made in real-time.</w:t>
      </w:r>
    </w:p>
    <w:p>
      <w:pPr>
        <w:spacing w:after="0" w:line="161" w:lineRule="exact"/>
        <w:rPr>
          <w:rFonts w:ascii="Arial" w:cs="Arial" w:eastAsia="Arial" w:hAnsi="Arial"/>
          <w:sz w:val="18"/>
          <w:szCs w:val="18"/>
          <w:color w:val="auto"/>
        </w:rPr>
      </w:pPr>
    </w:p>
    <w:p>
      <w:pPr>
        <w:ind w:left="1040" w:hanging="316"/>
        <w:spacing w:after="0" w:line="282"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Data stored securely</w:t>
      </w:r>
      <w:r>
        <w:rPr>
          <w:rFonts w:ascii="Arial" w:cs="Arial" w:eastAsia="Arial" w:hAnsi="Arial"/>
          <w:sz w:val="18"/>
          <w:szCs w:val="18"/>
          <w:color w:val="auto"/>
        </w:rPr>
        <w:t>. Data is securely stored and processed in a multi-tiered architecture of load-balanced servers. Our encrypted</w:t>
      </w:r>
      <w:r>
        <w:rPr>
          <w:rFonts w:ascii="Arial" w:cs="Arial" w:eastAsia="Arial" w:hAnsi="Arial"/>
          <w:sz w:val="18"/>
          <w:szCs w:val="18"/>
          <w:i w:val="1"/>
          <w:iCs w:val="1"/>
          <w:color w:val="auto"/>
        </w:rPr>
        <w:t xml:space="preserve"> </w:t>
      </w:r>
      <w:r>
        <w:rPr>
          <w:rFonts w:ascii="Arial" w:cs="Arial" w:eastAsia="Arial" w:hAnsi="Arial"/>
          <w:sz w:val="18"/>
          <w:szCs w:val="18"/>
          <w:color w:val="auto"/>
        </w:rPr>
        <w:t>databases are physically and logically secured.</w:t>
      </w:r>
    </w:p>
    <w:p>
      <w:pPr>
        <w:spacing w:after="0" w:line="180"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new solutions to help customers manage increasing IT security and compliance requirements. Today, the suite of solutions offered on our cloud platform, which we refer to as the Qualys Cloud Apps, includes: Asset Inventory (AI), CMDB Sync (SYN), VM, Continuous Monitoring (CM), Cloud Agent Platform (CAP), Threat Protection (TP), Security Configuration Assessment (SCA), Indication of Compromise (IOC), Policy Compliance (PC), PCI Compliance (PCI), Security Assessment Questionnaire (SAQ), File Integrity Monitoring (FIM), Web Application Scanning (WAS) and Web Application Firewall (WAF).</w:t>
      </w:r>
    </w:p>
    <w:p>
      <w:pPr>
        <w:spacing w:after="0" w:line="207"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We continue to experience significant revenue growth from existing customers as they renew and purchase additional subscriptions.</w:t>
      </w:r>
    </w:p>
    <w:p>
      <w:pPr>
        <w:spacing w:after="0" w:line="206"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O</w:t>
      </w:r>
      <w:r>
        <w:rPr>
          <w:rFonts w:ascii="Arial" w:cs="Arial" w:eastAsia="Arial" w:hAnsi="Arial"/>
          <w:sz w:val="18"/>
          <w:szCs w:val="18"/>
          <w:color w:val="231F20"/>
        </w:rPr>
        <w:t>ur Qualys cloud platform is currently used by over 10,300 customers in more than 130 countries, including a majority</w:t>
      </w:r>
      <w:r>
        <w:rPr>
          <w:rFonts w:ascii="Arial" w:cs="Arial" w:eastAsia="Arial" w:hAnsi="Arial"/>
          <w:sz w:val="18"/>
          <w:szCs w:val="18"/>
          <w:color w:val="auto"/>
        </w:rPr>
        <w:t xml:space="preserve"> of each of the Forbes Global 100 and Fortune 100. Our revenues increased from $164.3 million in 2015 to $197.9 million in 2016, and reached $230.8 million in 2017. </w:t>
      </w:r>
      <w:r>
        <w:rPr>
          <w:rFonts w:ascii="Arial" w:cs="Arial" w:eastAsia="Arial" w:hAnsi="Arial"/>
          <w:sz w:val="18"/>
          <w:szCs w:val="18"/>
          <w:color w:val="231F20"/>
        </w:rPr>
        <w:t>Our VM solutions (including VM, AI, SYN, CM, TP, Cloud Agent for VM, allocated scanner revenue and Qualys Private Cloud Platform)</w:t>
      </w:r>
      <w:r>
        <w:rPr>
          <w:rFonts w:ascii="Arial" w:cs="Arial" w:eastAsia="Arial" w:hAnsi="Arial"/>
          <w:sz w:val="18"/>
          <w:szCs w:val="18"/>
          <w:color w:val="auto"/>
        </w:rPr>
        <w:t xml:space="preserve"> </w:t>
      </w:r>
      <w:r>
        <w:rPr>
          <w:rFonts w:ascii="Arial" w:cs="Arial" w:eastAsia="Arial" w:hAnsi="Arial"/>
          <w:sz w:val="18"/>
          <w:szCs w:val="18"/>
          <w:color w:val="231F20"/>
        </w:rPr>
        <w:t xml:space="preserve">have provided a substantial majority of our revenues to date, representing 75%, 76% and 77% of total revenues in 2017, </w:t>
      </w:r>
      <w:r>
        <w:rPr>
          <w:rFonts w:ascii="Arial" w:cs="Arial" w:eastAsia="Arial" w:hAnsi="Arial"/>
          <w:sz w:val="18"/>
          <w:szCs w:val="18"/>
          <w:color w:val="000000"/>
        </w:rPr>
        <w:t>2016</w:t>
      </w:r>
      <w:r>
        <w:rPr>
          <w:rFonts w:ascii="Arial" w:cs="Arial" w:eastAsia="Arial" w:hAnsi="Arial"/>
          <w:sz w:val="18"/>
          <w:szCs w:val="18"/>
          <w:color w:val="231F20"/>
        </w:rPr>
        <w:t xml:space="preserve"> and </w:t>
      </w:r>
      <w:r>
        <w:rPr>
          <w:rFonts w:ascii="Arial" w:cs="Arial" w:eastAsia="Arial" w:hAnsi="Arial"/>
          <w:sz w:val="18"/>
          <w:szCs w:val="18"/>
          <w:color w:val="000000"/>
        </w:rPr>
        <w:t>2015</w:t>
      </w:r>
      <w:r>
        <w:rPr>
          <w:rFonts w:ascii="Arial" w:cs="Arial" w:eastAsia="Arial" w:hAnsi="Arial"/>
          <w:sz w:val="18"/>
          <w:szCs w:val="18"/>
          <w:color w:val="231F20"/>
        </w:rPr>
        <w:t xml:space="preserve">, respectively. </w:t>
      </w:r>
      <w:r>
        <w:rPr>
          <w:rFonts w:ascii="Arial" w:cs="Arial" w:eastAsia="Arial" w:hAnsi="Arial"/>
          <w:sz w:val="18"/>
          <w:szCs w:val="18"/>
          <w:color w:val="000000"/>
        </w:rPr>
        <w:t>We generated net income of $40.4 million in 2017, $19.2 million in 2016 and $15.9 million in 2015. Total assets as of</w:t>
      </w:r>
      <w:r>
        <w:rPr>
          <w:rFonts w:ascii="Arial" w:cs="Arial" w:eastAsia="Arial" w:hAnsi="Arial"/>
          <w:sz w:val="18"/>
          <w:szCs w:val="18"/>
          <w:color w:val="231F20"/>
        </w:rPr>
        <w:t xml:space="preserve"> </w:t>
      </w:r>
      <w:r>
        <w:rPr>
          <w:rFonts w:ascii="Arial" w:cs="Arial" w:eastAsia="Arial" w:hAnsi="Arial"/>
          <w:sz w:val="18"/>
          <w:szCs w:val="18"/>
          <w:color w:val="000000"/>
        </w:rPr>
        <w:t>December 31, 2017 and 2016 were $537.5 million and $407.0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47"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Our cloud platform consists of a suite of asset management, IT security, compliance monitoring, and web application security solutions, which we refer to as the Qualys Cloud Apps, that leverages our shared and extensible core services and our highly scalable multi-tenant cloud infrastructure. We also provide open application program interfaces, or APIs, and other developer tools that allow third parties to embed our technology into their solutions and build applications on our cloud platform.</w:t>
      </w:r>
    </w:p>
    <w:p>
      <w:pPr>
        <w:spacing w:after="0" w:line="204"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 xml:space="preserve">Our cloud platform utilizes sensors, including physical, virtual and cloud scanners, and cloud agents that provide our customers with continuous visibility enabling customers to respond to threats immediately. It automatically gathers and analyzes security and compliance data in a scalable, state-of-the-art backend. The technology underlying our cloud infrastructure </w:t>
      </w:r>
      <w:r>
        <w:rPr>
          <w:rFonts w:ascii="Arial" w:cs="Arial" w:eastAsia="Arial" w:hAnsi="Arial"/>
          <w:sz w:val="18"/>
          <w:szCs w:val="18"/>
          <w:color w:val="222222"/>
        </w:rPr>
        <w:t>enables us to ingest, process, analyze and store a</w:t>
      </w:r>
      <w:r>
        <w:rPr>
          <w:rFonts w:ascii="Arial" w:cs="Arial" w:eastAsia="Arial" w:hAnsi="Arial"/>
          <w:sz w:val="18"/>
          <w:szCs w:val="18"/>
          <w:color w:val="auto"/>
        </w:rPr>
        <w:t xml:space="preserve"> </w:t>
      </w:r>
      <w:r>
        <w:rPr>
          <w:rFonts w:ascii="Arial" w:cs="Arial" w:eastAsia="Arial" w:hAnsi="Arial"/>
          <w:sz w:val="18"/>
          <w:szCs w:val="18"/>
          <w:color w:val="222222"/>
        </w:rPr>
        <w:t>high volume of sensor data coming from our agents, scanners and passive analyzers, and correlate information at very high speeds in a distributed manner for millions of devices.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447675</wp:posOffset>
            </wp:positionV>
            <wp:extent cx="5866130" cy="3293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141" w:right="1440"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Our cloud platform is delivered to our customers via our shared platform offering from our global data centers, or via our private platform offering Qualys Private Cloud Platform (PCP) for customers or partners that want the platform to reside within the customer's data center. The PCP is a standalone version of our multi-layer, multi-tenant services architecture and is a fully integrated turnkey solution, making it more scalable, cost effective and faster to deploy within a customer's data center. Solutions delivered through our PCP are typically on the same subscription basis as solutions delivered through our shared platform. Our PCP utilizes hardware and software owned by us and physically located on the customer's premises. The customer is not permitted to take possession of the software or access the software code. Our PCP provides our subscription-based platform services to the customer using a virtual version of our software. This virtualized PCP allows us to extend our security and compliance solutions without the complexity and cost associated with deploying traditional enterprise software. Additionally, in 2016, we introduced the Private Cloud Platform Appliance (PCPA), an on-premises security and compliance solution packaged in a form-factor for medium-sized companies.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 Core Services</w:t>
      </w:r>
    </w:p>
    <w:p>
      <w:pPr>
        <w:spacing w:after="0" w:line="247" w:lineRule="exact"/>
        <w:rPr>
          <w:sz w:val="20"/>
          <w:szCs w:val="20"/>
          <w:color w:val="auto"/>
        </w:rPr>
      </w:pPr>
    </w:p>
    <w:p>
      <w:pPr>
        <w:jc w:val="both"/>
        <w:ind w:right="20" w:firstLine="392"/>
        <w:spacing w:after="0" w:line="262" w:lineRule="auto"/>
        <w:rPr>
          <w:sz w:val="20"/>
          <w:szCs w:val="20"/>
          <w:color w:val="auto"/>
        </w:rPr>
      </w:pPr>
      <w:r>
        <w:rPr>
          <w:rFonts w:ascii="Arial" w:cs="Arial" w:eastAsia="Arial" w:hAnsi="Arial"/>
          <w:sz w:val="18"/>
          <w:szCs w:val="18"/>
          <w:color w:val="auto"/>
        </w:rPr>
        <w:t>Our core services enable integrated workflows, management and real-time analysis and reporting across all of our IT security and compliance solutions for our customers inside their organizations, on the perimeter, on endpoints or in the cloud.</w:t>
      </w:r>
    </w:p>
    <w:p>
      <w:pPr>
        <w:spacing w:after="0" w:line="196"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Our core services constitute dynamic and customizable dashboards and centrally managed, self-updating integrated Cloud Apps, through what we call a “single-pane-of-glass” user interface. Our interactive, dynamic dashboards and cloud platform allow our customers to aggregate and correlate all of their IT, security and compliance data in one place, drill down into details, and generate reports customized for different audiences. Our cloud platform’s powerful elasticsearch clusters enable customers to instantly find detailed data on any asset.</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core services include:</w:t>
      </w:r>
    </w:p>
    <w:p>
      <w:pPr>
        <w:spacing w:after="0" w:line="207" w:lineRule="exact"/>
        <w:rPr>
          <w:sz w:val="20"/>
          <w:szCs w:val="20"/>
          <w:color w:val="auto"/>
        </w:rPr>
      </w:pPr>
    </w:p>
    <w:p>
      <w:pPr>
        <w:jc w:val="both"/>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Asset Tagging and Management. </w:t>
      </w:r>
      <w:r>
        <w:rPr>
          <w:rFonts w:ascii="Arial" w:cs="Arial" w:eastAsia="Arial" w:hAnsi="Arial"/>
          <w:sz w:val="18"/>
          <w:szCs w:val="18"/>
          <w:color w:val="auto"/>
        </w:rPr>
        <w:t>Enables customers to easily identify, categorize and manage large numbers of assets in highly</w:t>
      </w:r>
      <w:r>
        <w:rPr>
          <w:rFonts w:ascii="Arial" w:cs="Arial" w:eastAsia="Arial" w:hAnsi="Arial"/>
          <w:sz w:val="18"/>
          <w:szCs w:val="18"/>
          <w:i w:val="1"/>
          <w:iCs w:val="1"/>
          <w:color w:val="auto"/>
        </w:rPr>
        <w:t xml:space="preserve"> </w:t>
      </w:r>
      <w:r>
        <w:rPr>
          <w:rFonts w:ascii="Arial" w:cs="Arial" w:eastAsia="Arial" w:hAnsi="Arial"/>
          <w:sz w:val="18"/>
          <w:szCs w:val="18"/>
          <w:color w:val="auto"/>
        </w:rPr>
        <w:t>dynamic IT environments and automates the process of inventory management and hierarchical organization of IT assets. Built on top of this core service is the Qualys AI framework, which is a global asset inventory service enabling our customers to search for information on any IT asset, scaling to millions of assets for customers of all sizes, helping IT and security personnel to search IT assets and maintain an up-to-date inventory on a continuous basis.</w:t>
      </w:r>
    </w:p>
    <w:p>
      <w:pPr>
        <w:spacing w:after="0" w:line="183"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Reporting and Dashboards. </w:t>
      </w:r>
      <w:r>
        <w:rPr>
          <w:rFonts w:ascii="Arial" w:cs="Arial" w:eastAsia="Arial" w:hAnsi="Arial"/>
          <w:sz w:val="18"/>
          <w:szCs w:val="18"/>
          <w:color w:val="auto"/>
        </w:rPr>
        <w:t>A highly configurable reporting engine that provides customers with reports and dashboards based 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roles and access privileges.</w:t>
      </w:r>
    </w:p>
    <w:p>
      <w:pPr>
        <w:spacing w:after="0" w:line="161"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Questionnaires and Collaboration. </w:t>
      </w:r>
      <w:r>
        <w:rPr>
          <w:rFonts w:ascii="Arial" w:cs="Arial" w:eastAsia="Arial" w:hAnsi="Arial"/>
          <w:sz w:val="18"/>
          <w:szCs w:val="18"/>
          <w:color w:val="auto"/>
        </w:rPr>
        <w:t>A configurable workflow engine that enables customers to easily build questionnaires and capture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business processes and workflows to evaluate controls and gather evidence to validate and document compliance.</w:t>
      </w:r>
    </w:p>
    <w:p>
      <w:pPr>
        <w:spacing w:after="0" w:line="161"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Remediation and Workflow. </w:t>
      </w:r>
      <w:r>
        <w:rPr>
          <w:rFonts w:ascii="Arial" w:cs="Arial" w:eastAsia="Arial" w:hAnsi="Arial"/>
          <w:sz w:val="18"/>
          <w:szCs w:val="18"/>
          <w:color w:val="auto"/>
        </w:rPr>
        <w:t>An integrated workflow engine that allows customers to automatically generate helpdesk tickets for</w:t>
      </w:r>
      <w:r>
        <w:rPr>
          <w:rFonts w:ascii="Arial" w:cs="Arial" w:eastAsia="Arial" w:hAnsi="Arial"/>
          <w:sz w:val="18"/>
          <w:szCs w:val="18"/>
          <w:i w:val="1"/>
          <w:iCs w:val="1"/>
          <w:color w:val="auto"/>
        </w:rPr>
        <w:t xml:space="preserve"> </w:t>
      </w:r>
      <w:r>
        <w:rPr>
          <w:rFonts w:ascii="Arial" w:cs="Arial" w:eastAsia="Arial" w:hAnsi="Arial"/>
          <w:sz w:val="18"/>
          <w:szCs w:val="18"/>
          <w:color w:val="auto"/>
        </w:rPr>
        <w:t>remediation and to manage compliance exceptions based on customer-defined policies, enabling subsequent review, commentary, tracking and escalation. This engine automatically distributes remediation tasks to IT administrators upon scan completion, tracks remediation progress and closes open tickets once patches are applied and remediation is verified in subsequent scans.</w:t>
      </w:r>
    </w:p>
    <w:p>
      <w:pPr>
        <w:spacing w:after="0" w:line="180" w:lineRule="exact"/>
        <w:rPr>
          <w:rFonts w:ascii="Arial" w:cs="Arial" w:eastAsia="Arial" w:hAnsi="Arial"/>
          <w:sz w:val="18"/>
          <w:szCs w:val="18"/>
          <w:color w:val="auto"/>
        </w:rPr>
      </w:pPr>
    </w:p>
    <w:p>
      <w:pPr>
        <w:jc w:val="both"/>
        <w:ind w:left="660" w:right="2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Big Data Correlation and Analytics Engine. </w:t>
      </w:r>
      <w:r>
        <w:rPr>
          <w:rFonts w:ascii="Arial" w:cs="Arial" w:eastAsia="Arial" w:hAnsi="Arial"/>
          <w:sz w:val="18"/>
          <w:szCs w:val="18"/>
          <w:color w:val="auto"/>
        </w:rPr>
        <w:t>Provides elasticsearch capabilities for indexing, searching and correlating large amounts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and compliance data with other security incidents and third-party security intelligence data. Embedded workflows enable customers to quickly assess risk and access information for remediation, incident analysis and forensic investigations.</w:t>
      </w:r>
    </w:p>
    <w:p>
      <w:pPr>
        <w:spacing w:after="0" w:line="17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Alerts and Notifications. </w:t>
      </w:r>
      <w:r>
        <w:rPr>
          <w:rFonts w:ascii="Arial" w:cs="Arial" w:eastAsia="Arial" w:hAnsi="Arial"/>
          <w:sz w:val="18"/>
          <w:szCs w:val="18"/>
          <w:color w:val="auto"/>
        </w:rPr>
        <w:t>Creates email notifications to alert customers of new vulnerabilities, malware infections, scan completion, open</w:t>
      </w:r>
      <w:r>
        <w:rPr>
          <w:rFonts w:ascii="Arial" w:cs="Arial" w:eastAsia="Arial" w:hAnsi="Arial"/>
          <w:sz w:val="18"/>
          <w:szCs w:val="18"/>
          <w:i w:val="1"/>
          <w:iCs w:val="1"/>
          <w:color w:val="auto"/>
        </w:rPr>
        <w:t xml:space="preserve"> </w:t>
      </w:r>
      <w:r>
        <w:rPr>
          <w:rFonts w:ascii="Arial" w:cs="Arial" w:eastAsia="Arial" w:hAnsi="Arial"/>
          <w:sz w:val="18"/>
          <w:szCs w:val="18"/>
          <w:color w:val="auto"/>
        </w:rPr>
        <w:t>trouble tickets and system updates.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 Cloud Apps</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Many organizations have an array of heterogeneous point tools that do not interoperate well and are difficult and costly to maintain and integrate, making it difficult for Chief Information Officers (CIOs) and Chief Information Security Officers (CISOs) to obtain a single, unified view of their organization’s security and compliance posture. The Qualys cloud platform and its Cloud Apps help organizations escape this tool-fragmentation dilemma by drastically simplifying their security stacks and regaining unimpeded visibility across their IT environment.</w:t>
      </w:r>
    </w:p>
    <w:p>
      <w:pPr>
        <w:spacing w:after="0" w:line="204"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Cloud Apps are self-updating, centrally managed and tightly integrated, and cover a broad range of functionality in areas such as vulnerability management, IT asset management, IT security, web app security and compliance monitoring.</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suite of Cloud Apps currently includes: AI, SYN, VM, CM, CAP, TP, SCA, IOC, PC, PCI, SAQ, FIM, WAS and WAF.</w:t>
      </w:r>
    </w:p>
    <w:p>
      <w:pPr>
        <w:spacing w:after="0" w:line="22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believe that our applications are easy to use and provide our customers with a high level of control because our applications are part of one platform, share a common user interface, utilize the same scanners and agents, access the same collected data, and leverage the same user permissions.</w:t>
      </w:r>
    </w:p>
    <w:p>
      <w:pPr>
        <w:spacing w:after="0" w:line="20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Our customers can subscribe to one or more of our security and compliance Apps based on their initial needs and expand their subscriptions over time to new areas within their organization or to additional Qualys solutions. We offer three editions of our Qualys Cloud Apps: Enterprise for large enterprises, Express for medium-sized businesses, and Express Lite for small-sized businesses.</w:t>
      </w:r>
    </w:p>
    <w:p>
      <w:pPr>
        <w:spacing w:after="0" w:line="202"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Many of our customers use multiple Cloud Apps to develop a more complete understanding of their respective environment’s security and compliance posture. The Qualys cloud platform currently provides the following Cloud Apps to our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Management</w:t>
      </w:r>
    </w:p>
    <w:p>
      <w:pPr>
        <w:spacing w:after="0" w:line="243"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Asset Inventory (AI): AI provides a complete, continuously updated inventory of a customer’s IT assets everywhere: on premises, in clouds or at mobile endpoints. It lists assets’ installed software, existing vulnerabilities and hardware details. A powerful search engine enables ad hoc queries and refines such queries. In addition to Qualys’ network scanners, AI leverages our Cloud Agents, which are lightweight, self-updating and run in the background. These Cloud Agents continuously enable the assessment of the compliance and security status of customer assets, including intermittently connected assets, without the need for scan windows or credential management.</w:t>
      </w:r>
    </w:p>
    <w:p>
      <w:pPr>
        <w:spacing w:after="0" w:line="209"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CMDB Sync (SYN): This certified application synchronizes AI data with ServiceNow’s Configuration Management system. Device changes are immediately transmitted to the Qualys cloud platform and then synchronized with ServiceNow. For customers, this means an end to unidentified and misclassified assets and to data update delays, all of which decrease chances of breaches. SYN provides real-time, comprehensive visibility of IT asset inventories enabling immediate detection of security and compliance risks.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 Security</w:t>
      </w:r>
    </w:p>
    <w:p>
      <w:pPr>
        <w:spacing w:after="0" w:line="243"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Vulnerability Management (VM): VM is an industry leading and award-winning solution that automates network auditing and vulnerability management across an organization, including network discovery and mapping, asset management, vulnerability reporting and remediation tracking. Driven by our comprehensive knowledge base of known vulnerabilities, VM enables cost-effective protection against vulnerabilities without substantial resource deployment.</w:t>
      </w:r>
    </w:p>
    <w:p>
      <w:pPr>
        <w:spacing w:after="0" w:line="204"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Continuous Monitoring (CM): Built on top of VM, CM is a next-generation cloud service that can detect network threats and unexpected changes before they turn into breaches. Whenever it spots an anomaly in your network, it immediately sends targeted, informative alerts to the right people for each situation and each machine. CM tracks what happens throughout public perimeters, internal networks, and cloud environments - anywhere in the world.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Threat Protection (TP): Thousands of new vulnerabilities are disclosed annually. With TP, customers can pinpoint their most critical threats and identify what they need to remediate first. TP continuously correlates external threat information against a customer's vulnerabilities and IT asset inventory, so customers know which threats pose the greatest risk to their organization at any given time. As Qualys engineers continuously validate and rate new threats from internal and external sources, TP’s live feed displays the latest vulnerability disclosures and maps them to customers’ impacted IT assets. Customers can see the assets affected by each threat, and drill down into details.</w:t>
      </w:r>
    </w:p>
    <w:p>
      <w:pPr>
        <w:spacing w:after="0" w:line="209"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Security Configuration Assessment (SCA): A VM add-on, SCA expands our VM program with automatic assessment of IT assets’ configurations using the latest Center for Internet Security (CIS) Benchmarks for operating systems, databases, applications and network devices. SCA provides intuitive workflows for assessing, monitoring, reporting and remediating security-related configuration issues. SCA’s CIS assessments are provided via a web-based user interface and delivered from the Qualys cloud platform, enabling centralized management with minimal deployment overhead. SCA users can automatically create downloadable reports and view dashboards.</w:t>
      </w:r>
    </w:p>
    <w:p>
      <w:pPr>
        <w:spacing w:after="0" w:line="209"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Indication of Compromise (IOC): IOC delivers threat hunting, detects suspicious activity, and confirms the presence of known and unknown malware for devices both on and off the network. From its single console, customers can monitor current and historical system activity for all on-premises servers, user endpoints, and cloud instances - even for assets that are currently offline or have been re-imaged by IT. IOC utilizes the Cloud Agent to capture endpoint activity on files, processes, mutant handles, registries, and network connections, and uploads the data to the Qualys cloud platform for storage, processing, and query.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Monitoring</w:t>
      </w:r>
    </w:p>
    <w:p>
      <w:pPr>
        <w:spacing w:after="0" w:line="243"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Policy Compliance (PC): PC performs automated security configuration assessments on IT systems throughout a network, helping to reduce risk and continuously ensure compliance with internal policies and external regulations. PC leverages out-of-the-box library content to fast-track compliance assessments using industry-recommended best practices. PC also provides a centralized, interactive console for specifying baseline standards for different hosts. By automating requirement evaluation against multiple standards for OSes, network devices, databases and server applications, PC enables the quick identification of security issues and works to prevent configuration drift. PC works to prioritize and track remediation and exceptions, while demonstrating a repeatable auditable process for compliance management.</w:t>
      </w:r>
    </w:p>
    <w:p>
      <w:pPr>
        <w:spacing w:after="0" w:line="207"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PCI Compliance (PCI): PCI streamlines and automates compliance with PCI DSS (Payment Card Industry Data Security Standard) requirements for protecting the collection, storage, processing and transmission of cardholder data. As an Approved Scanning Vendor, Qualys has been authorized by the PCI Security Standards Council to conduct the required quarterly scans. PCI scans all Internet-facing networks and systems with Six Sigma (99.9996%) accuracy, generates reports and provides detailed patching instructions. An auto-submission feature completes the compliance process once remediation is completed.</w:t>
      </w:r>
    </w:p>
    <w:p>
      <w:pPr>
        <w:spacing w:after="0" w:line="206"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Security Assessment Questionnaire (SAQ): SAQ automates and streamlines third-party and internal risk assessment processes, obviating the need to perform such processes manually via email and spreadsheets. SAQ easily designs surveys to assess procedural controls of IT security policies and practices. SAQ automates the launch and monitoring of assessment campaigns, making the process agile, accurate, comprehensive, centralized, scalable and uniform across an organization. SAQ also provides tools for displaying, analyzing and acting on collected data, enabling the assessment of compliance with industry standards, regulations and internal policies of third parties, like vendors and partners, and of employees.</w:t>
      </w:r>
    </w:p>
    <w:p>
      <w:pPr>
        <w:spacing w:after="0" w:line="209"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File Integrity Monitoring (FIM): FIM logs and centrally tracks file change events on common enterprise operating systems in organizations of all sizes. FIM provides customers with a simple way to achieve centralized cloud-based visibility of activity resulting from normal patching and administrative tasks, change control exceptions or violations, or malicious activity - then reports on that system activity as part of compliance mandates. FIM collects the critical details needed to quickly identify changes and root out activity that violates policy or is potentially malicious. FIM helps customers to comply with change control policy enforcement and change monitoring requirements.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Web Application Security</w:t>
      </w:r>
    </w:p>
    <w:p>
      <w:pPr>
        <w:spacing w:after="0" w:line="243"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Web Application Scanning (WAS): WAS continuously discovers and catalogs web apps in your network - including new and unknown ones -- and detects vulnerabilities and misconfigurations. Scaling up to thousands of web apps, it conducts incisive, thorough and precise scans, with few false positives. Its seamless integration with Web Application Firewall (WAF) enables one-click patching of web apps, including mobile apps and Internet of things (IoT) services. With WAS, customers can also insert security into DevOps environments by detecting code security issues early and often in the app development and deployment pipeline. WAS also scans, identifies and removes malware infections from customers' websites using behavioral and static analysis.</w:t>
      </w:r>
    </w:p>
    <w:p>
      <w:pPr>
        <w:spacing w:after="0" w:line="209"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Web Application Firewall (WAF): WAF permits the reduction of application security cost and complexity with a unified platform to detect and virtually patch web application vulnerabilities. Simple, scalable and adaptive, WAF enables the quick blocking of attacks, prevents disclosure of sensitive information, and controls when and where customer applications are accessed. WAF and WAS work together seamlessly. Customers scan web apps with WAS, deploy one-click virtual patches for detected vulnerabilities in WAF, and manage it all from a centralized cloud-based portal. WAF can be deployed in minutes, supports Transport Layer Security (TLS) and Secure Sockets Layer (SSL) and does not require special hardware.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47"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We intend to strengthen our leadership position as a trusted provider of cloud-based security and compliance solutions. The key elements of our growth strategy are:</w:t>
      </w:r>
    </w:p>
    <w:p>
      <w:pPr>
        <w:spacing w:after="0" w:line="174"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innovate and enhance our cloud platform and suite of solutions. </w:t>
      </w:r>
      <w:r>
        <w:rPr>
          <w:rFonts w:ascii="Arial" w:cs="Arial" w:eastAsia="Arial" w:hAnsi="Arial"/>
          <w:sz w:val="18"/>
          <w:szCs w:val="18"/>
          <w:color w:val="auto"/>
        </w:rPr>
        <w:t>We intend to continue to make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research and development to extend our cloud platform’s functionality by developing new security solutions and capabilities and further enhancing our existing suite of solutions. From inception through December 31, 2016, we have added the following solutions: VM, PCI, PC, WAS, WAF, CM, CAP, AI, SYN, SAQ and TP. In 2017, we introduced a number of new offerings, including FIM, IOC and SCA.</w:t>
      </w:r>
    </w:p>
    <w:p>
      <w:pPr>
        <w:spacing w:after="0" w:line="179"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the use of our suite of solutions by our large and diverse customer base. </w:t>
      </w:r>
      <w:r>
        <w:rPr>
          <w:rFonts w:ascii="Arial" w:cs="Arial" w:eastAsia="Arial" w:hAnsi="Arial"/>
          <w:sz w:val="18"/>
          <w:szCs w:val="18"/>
          <w:color w:val="auto"/>
        </w:rPr>
        <w:t>With more than 10,300 customers across many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industries and geographies, we believe we have a significant opportunity to sell additional solutions to our customers and expand their use of our suite of solutions. Since typically our customers initially deploy one or two of our solutions in select parts of their IT infrastructures, our existing customers serve as a strong source of new sales as they expand their scope and increase their subscriptions, or choose to adopt additional solutions from our integrated suite of IT security and compliance offerings. In this regard, we continue to expand our sales execution and marketing functions to increase adoption of our newly developed solutions among our existing customers.</w:t>
      </w:r>
    </w:p>
    <w:p>
      <w:pPr>
        <w:spacing w:after="0" w:line="18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 new customer growth and broaden our global reach. </w:t>
      </w:r>
      <w:r>
        <w:rPr>
          <w:rFonts w:ascii="Arial" w:cs="Arial" w:eastAsia="Arial" w:hAnsi="Arial"/>
          <w:sz w:val="18"/>
          <w:szCs w:val="18"/>
          <w:color w:val="auto"/>
        </w:rPr>
        <w:t>We are pursuing new customers by targeting key accounts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expanding our sales and marketing organization and network of channel partners. We will continue to seek to make significant investments to encourage organizations to replace their existing security products with our cloud solutions. We intend to expand our relationships with key security consulting organizations, managed security service providers and value added resellers to accelerate the adoption of our cloud platform. We seek to strengthen existing relationships as well as establish new relationships to increase the distribution and market awareness of our cloud platform and target new geographic regions. We also plan to partner with such security providers that can host our Private Cloud offering within their data centers, helping us expand our reach in new markets and new geographies.</w:t>
      </w:r>
    </w:p>
    <w:p>
      <w:pPr>
        <w:spacing w:after="0" w:line="185"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Selectively pursue technology acquisitions to bolster our capabilities and leadership position. </w:t>
      </w:r>
      <w:r>
        <w:rPr>
          <w:rFonts w:ascii="Arial" w:cs="Arial" w:eastAsia="Arial" w:hAnsi="Arial"/>
          <w:sz w:val="18"/>
          <w:szCs w:val="18"/>
          <w:color w:val="auto"/>
        </w:rPr>
        <w:t>We may explore acquisitions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complementary to and can expand the functionality of our cloud platform. We may also seek to acquire development teams to supplement our own personnel and acquire technology to increase the breadth of our cloud-based security and compliance solutions. In 2017, we acquired certain assets of Nevis Networks (India) Private Limited (“Nevis”), a company developing network security solutions for detection and awareness of external intrusions to computer networks. This transaction provided us with significant domain expertise in passive scanning technologies and allowed us to accelerate our move into the adjacent market of mitigation and response at endpoints. In 2017, we also acquired the assets of NetWatcher, allowing us to expand our threat protection and management capabilities and add new offerings to managed service providers (MSPs).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As of December 31, 2017, we had over 10,300 customers in more than 130 countries, including a majority of each of the Forbes Global 100 and Fortune 100. In each of 2017, 2016 and 2015, no one customer accounted for more than 10% of our revenues. In 2017, 2016 and 2015, 70%, 71% and 70%, respectively,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w:t>
      </w:r>
    </w:p>
    <w:p>
      <w:pPr>
        <w:spacing w:after="0" w:line="24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market and sell our IT security and compliance solutions to customers directly through our sales teams as well as indirectly through our network of channel partners.</w:t>
      </w:r>
    </w:p>
    <w:p>
      <w:pPr>
        <w:spacing w:after="0" w:line="19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global sales force is organized into a field sales team, which focuses on enterprises, generally including organizations with more than 5,000 employees, and an inside sales team, which focuses on small to medium-sized businesses, which generally include organizations with less than 5,000 employees. Both our field and inside sales teams are divided into three geographic regions, including the Americas; Europe, Middle East and Africa; and Asia-Pacific. We also further segment each of our sales teams into groups that focus on adding new customers or managing relationships with existing customers.</w:t>
      </w:r>
    </w:p>
    <w:p>
      <w:pPr>
        <w:spacing w:after="0" w:line="20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Our channel partners maintain relationships with their customers throughout the territories in which they operate and provide their customers with services and third-party solutions to help meet those customers’ evolving security and compliance requirements. As such, these partners offer our IT security and compliance solutions in conjunction with one or more of their own products or services and act as a conduit through which we can connect with these prospective customers to offer our solutions. Our channel partners include security consulting organizations, managed service providers and resellers, such as Deutsche Telekom AG, Fujitsu, DXC Technology, Insight Technologies, Inc., Optiv Security, Inc., SecureWorks Corp., and Verizon Communications Inc.</w:t>
      </w:r>
    </w:p>
    <w:p>
      <w:pPr>
        <w:spacing w:after="0" w:line="20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For sales involving a channel partner, the channel partner engages with the prospective customer directly and involves our sales team as needed to assist in developing and closing an order. When a channel partner secures a sale, we sell the associated subscription to the channel partner who in turn resells the subscription to the customer, with the channel partner earning a fee based on the total value of the order. Once the order is completed, we provide these customers with direct access to our solutions and other associated back-office applications, enabling us to establish a direct relationship as part of ensuring customer satisfaction with our solutions. At the end of the subscription term, the channel partner engages with the customer to execute a renewal order, with our sales team providing assistance as required. In 2017, 2016 and 2015, 41%, 42% and 39%, respectively, of our revenues were generated by channel partners.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Marketing</w:t>
      </w:r>
    </w:p>
    <w:p>
      <w:pPr>
        <w:spacing w:after="0" w:line="24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marketing programs include a variety of online marketing, advertising, conferences, events, public relations activities and web-based seminar campaigns targeted at key decision makers within our prospective customers.</w:t>
      </w:r>
    </w:p>
    <w:p>
      <w:pPr>
        <w:spacing w:after="0" w:line="14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have a number of marketing initiatives to build awareness and encourage customer adoption of our solutions. We offer free trials and services to allow prospective customers to experience the quality of our solutions, to learn in detail about the features and functionality of our cloud platform, and to quantify the potential benefits of our solutions.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Support</w:t>
      </w:r>
    </w:p>
    <w:p>
      <w:pPr>
        <w:spacing w:after="0" w:line="112"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We deliver 24x7x365 day customer technical support from centers located in Foster City, California; Raleigh, North Carolina; and Pune, India. We recruit senior level technical personnel and trained subject matter experts who work closely with engineering and operations personnel to resolve issues quickly. Our security and compliance solutions can be deployed easily and are designed to be implemented and operated without the need for significant professional services. We also offer various training programs as part of our subscriptions to all of our customers. We believe that our customer support helps ensure customer satisfaction and is critical to retaining and expanding our customer base. In addition, we leverage the insights drawn from our customers to further improve the functionality of our security and compliance solutions.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Operations</w:t>
      </w:r>
    </w:p>
    <w:p>
      <w:pPr>
        <w:spacing w:after="0" w:line="112"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We devote significant resources to maintain, enhance and add new functionality to our Qualys cloud platform and the integrated suite of solutions that we offer. Our development organization consists of agile engineering teams with substantial security expertise in specific areas of our solutions. In addition to our development teams, we have also built a sophisticated research team focused on identifying threats and developing signatures for vulnerabilities and compliance checks so that we can provide our customers with daily updates and enable them to scan their assets for the latest threats. We conduct our research and development in the United States, France, India, and the United Kingdom, which gives us access to some of the best research and engineering talent in the world. Our focus remains to attract engineering talent as we continue to add new solutions and improve existing ones.</w:t>
      </w:r>
    </w:p>
    <w:p>
      <w:pPr>
        <w:spacing w:after="0" w:line="72"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Our development team works closely with our customers and partners to gain valuable insights into their environments and gather feedback for threat research, product development and innovations. We typically release updates to our solutions, including enhancements and new features multiple times a year, and we measure the quality of our scan results on a frequent basis in an effort to maintain the highest level of scan accuracy.</w:t>
      </w:r>
    </w:p>
    <w:p>
      <w:pPr>
        <w:spacing w:after="0" w:line="69"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auto"/>
        </w:rPr>
        <w:t>The modular architecture of our cloud platform enables our engineering teams to simultaneously work on different features, accelerating the delivery of new functionalities to customers. Our research and development team also works collaboratively with our technical support team to ensure customer satisfaction and with our sales team to accelerate the adoption of our solutions.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Research and development expenses were $42.8 million, $36.6 million and $30.4 million for 2017, 2016 and 2015, respectively.</w:t>
      </w: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Manufacturing Agreement</w:t>
      </w:r>
    </w:p>
    <w:p>
      <w:pPr>
        <w:spacing w:after="0" w:line="11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Our physical appliances are provided by SYNNEX Corporation, or SYNNEX, pursuant to a manufacturing services agreement dated March 1, 2011. Under this agreement, SYNNEX manufactures, assembles and tests our physical scanner appliances. This agreement has an initial term of one year, which is automatically renewed for additional one-year terms, unless terminated (i) at any time upon the mutual written agreement of us and SYNNEX, (ii) by either party upon 90 days or more written notice, (iii) upon written notice, subject to applicable cure periods, if the other party has materially breached its obligations under the agreement or (iv) by either party upon the other party seeking an order for relief under the bankruptcy laws of the United States or similar laws of any other jurisdiction, a composition with or assignment for the benefit of creditors, or dissolution or liquidation.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Data Center Agreements</w:t>
      </w:r>
    </w:p>
    <w:p>
      <w:pPr>
        <w:spacing w:after="0" w:line="112"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data center operations are provided by large third-party data center vendors and are located in the United States, Switzerland, the Netherlands and India. Our data center agreements have varying terms through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12"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auto"/>
        </w:rPr>
        <w:t>The expanding capabilities of our security and compliance solutions have enabled us to address a growing array of opportunities in the cloud IT security and compliance market. We compete with a large and broad array of established and emerging vulnerability management vendors, compliance vendors and data security vendors in a highly fragmented and competitive environment.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We compete with large and small public companies, such as FireEye, Inc., Imperva, Inc., International Business Machines Corporation, Micro Focus International plc, Rapid7, Inc. and Symantec Corporation, as well as privately held security providers including Barracuda Networks Inc., BeyondTrust Software, Inc., Carbon Black, Inc., CrowdStrike Inc., Tanium Inc., Tenable Network Security, Inc., Tripwire,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w:t>
      </w:r>
    </w:p>
    <w:p>
      <w:pPr>
        <w:spacing w:after="0" w:line="74"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We believe that the principal competitive factors affecting the market for cloud-based security and compliance solutions include product functionality, breadth of offerings, flexibility of delivery models, ease of deployment and use, total cost of ownership, scalability and performance, customer support and extensibility of platform. We believe that our suite of solutions generally competes favorably with respect to these factors. However, many of our primary competitors have greater name recognition, longer operating histories, more established customer relationships, larger marketing budgets and significantly greater resources than we do.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12"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auto"/>
        </w:rPr>
        <w:t>We rely on a combination of trade secrets, copyrights, patents and trademarks, as well as contractual protections, to establish and protect our intellectual property rights and protect our proprietary technology. As of February 23, 2018, we have eleven issued patents, several pending U.S. patent applications and an exclusive license to four U.S. patents, which was obtained in connection with our acquisition of Nemean in 2010. The inbound license remains in effect until the licensed patents are no longer enforceable, unless the applicable license agreement is first terminated by us or terminated by the licensor for a breach of the agreement or if we undergo certain bankruptcy events. The licenses are currently exclusive and will remain exclusive so long as we make an appropriately-timed written election and pay an annual fixed royalty for ten years thereafter. These exclusive licenses are subject to the licensor’s reservation of certain rights in the patents and subject to the U.S. government’s reserved rights in the technology. We have a number of registered and unregistered trademarks. We require our employees, consultants and other third parties to enter into confidentiality and proprietary rights agreements and control access to software, documentation and other proprietary information. We view our trade secrets and know-how as a significant component of our intellectual property assets, as we have spent years designing and developing our Qualys cloud platform, which we believe differentiates us from our competitors.</w:t>
      </w:r>
    </w:p>
    <w:p>
      <w:pPr>
        <w:spacing w:after="0" w:line="77"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auto"/>
        </w:rPr>
        <w:t>We expect that software and other solutions in our industry may be subject to third-party infringement claims as the number of competitors grows and the functionality of products in different industry segments overlaps. Any of these third parties might make a claim of infringement against us at any time.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4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As of December 31, 2017, we had 869 full-time employees, including 384 in research and development, 206 in sales and marketing, 189 in operations and customer support and 90 in general and administrative. As of December 31, 2017, we had 381 employees in the United States and 488 employees internationally. None of our U.S. employees are covered by collective bargaining agreements. Employees in certain European countries have collective bargaining arrangements at the national level. We believe our employee relations are good and we have not experienced any work stoppages.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Our principal executive offices are located at 919 E. Hillsdale Blvd., 4th Floor, Foster City, California 94404. The telephone number of our principal executive offices is (650) 801-6100, and our main corporate website is </w:t>
      </w:r>
      <w:r>
        <w:rPr>
          <w:rFonts w:ascii="Arial" w:cs="Arial" w:eastAsia="Arial" w:hAnsi="Arial"/>
          <w:sz w:val="18"/>
          <w:szCs w:val="18"/>
          <w:i w:val="1"/>
          <w:iCs w:val="1"/>
          <w:color w:val="auto"/>
        </w:rPr>
        <w:t>www.qualys.com</w:t>
      </w:r>
      <w:r>
        <w:rPr>
          <w:rFonts w:ascii="Arial" w:cs="Arial" w:eastAsia="Arial" w:hAnsi="Arial"/>
          <w:sz w:val="18"/>
          <w:szCs w:val="18"/>
          <w:color w:val="auto"/>
        </w:rPr>
        <w:t>. Information contained on, or that can be accessed through, our website, does not constitute part of this Annual Report on Form 10-K and inclusion of our website address in this Annual Report on Form 10-K is an inactive textual reference only.</w:t>
      </w:r>
    </w:p>
    <w:p>
      <w:pPr>
        <w:spacing w:after="0" w:line="20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We make available our Annual Reports on Form 10-K, Quarterly Reports on Form 10-Q, Current Reports on Form 8-K and amendments to those reports filed or furnished pursuant to Section 13(a) or Section 15(d) of the Securities Exchange Act of 1934, as amended, free of charge on our website, </w:t>
      </w:r>
      <w:r>
        <w:rPr>
          <w:rFonts w:ascii="Arial" w:cs="Arial" w:eastAsia="Arial" w:hAnsi="Arial"/>
          <w:sz w:val="18"/>
          <w:szCs w:val="18"/>
          <w:i w:val="1"/>
          <w:iCs w:val="1"/>
          <w:color w:val="auto"/>
        </w:rPr>
        <w:t>www.qualys.com</w:t>
      </w:r>
      <w:r>
        <w:rPr>
          <w:rFonts w:ascii="Arial" w:cs="Arial" w:eastAsia="Arial" w:hAnsi="Arial"/>
          <w:sz w:val="18"/>
          <w:szCs w:val="18"/>
          <w:color w:val="auto"/>
        </w:rPr>
        <w:t xml:space="preserve"> as soon as reasonably practicable after they are electronically filed with or furnished to the Securities and Exchange Commission, or SEC. Additionally, copies of materials filed by us with the SEC may be accessed at the SEC's Public Reference Room at 100 F Street, N.E., Washington, D.C. 20549 or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 For information about the SEC's Public Reference Room, contact 1-800-SEC-0330.</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112"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For a description of our revenue and property and equipment by geographic location, see Note 10 to our consolidated financial statements included elsewhere in this Annual Report on Form 10-K.</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Annual Report on Form 10-K, including our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Subscriptions to our Vulnerability Management solutions generate most of our revenues, and if we are unable to continue to renew and grow subscriptions for these solutions, our operating results would suffer.</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We derived approximately 75%, 76% and 77% of our revenues from subscriptions to our VM solutions for the years ended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2017</w:t>
      </w:r>
      <w:r>
        <w:rPr>
          <w:rFonts w:ascii="Arial" w:cs="Arial" w:eastAsia="Arial" w:hAnsi="Arial"/>
          <w:sz w:val="18"/>
          <w:szCs w:val="18"/>
          <w:color w:val="231F20"/>
        </w:rPr>
        <w:t>,</w:t>
      </w:r>
      <w:r>
        <w:rPr>
          <w:rFonts w:ascii="Arial" w:cs="Arial" w:eastAsia="Arial" w:hAnsi="Arial"/>
          <w:sz w:val="18"/>
          <w:szCs w:val="18"/>
          <w:color w:val="000000"/>
        </w:rPr>
        <w:t xml:space="preserve"> 2016 </w:t>
      </w:r>
      <w:r>
        <w:rPr>
          <w:rFonts w:ascii="Arial" w:cs="Arial" w:eastAsia="Arial" w:hAnsi="Arial"/>
          <w:sz w:val="18"/>
          <w:szCs w:val="18"/>
          <w:color w:val="231F20"/>
        </w:rPr>
        <w:t>and</w:t>
      </w:r>
      <w:r>
        <w:rPr>
          <w:rFonts w:ascii="Arial" w:cs="Arial" w:eastAsia="Arial" w:hAnsi="Arial"/>
          <w:sz w:val="18"/>
          <w:szCs w:val="18"/>
          <w:color w:val="000000"/>
        </w:rPr>
        <w:t xml:space="preserve"> 2015</w:t>
      </w:r>
      <w:r>
        <w:rPr>
          <w:rFonts w:ascii="Arial" w:cs="Arial" w:eastAsia="Arial" w:hAnsi="Arial"/>
          <w:sz w:val="18"/>
          <w:szCs w:val="18"/>
          <w:color w:val="231F20"/>
        </w:rPr>
        <w:t>, respectively. In 2015 and prior 10-Q and 10-K filings, we had included all revenues from scanners and credits for prepaid</w:t>
      </w:r>
      <w:r>
        <w:rPr>
          <w:rFonts w:ascii="Arial" w:cs="Arial" w:eastAsia="Arial" w:hAnsi="Arial"/>
          <w:sz w:val="18"/>
          <w:szCs w:val="18"/>
          <w:color w:val="000000"/>
        </w:rPr>
        <w:t xml:space="preserve"> </w:t>
      </w:r>
      <w:r>
        <w:rPr>
          <w:rFonts w:ascii="Arial" w:cs="Arial" w:eastAsia="Arial" w:hAnsi="Arial"/>
          <w:sz w:val="18"/>
          <w:szCs w:val="18"/>
          <w:color w:val="231F20"/>
        </w:rPr>
        <w:t>services in our VM solutions revenues. In the fourth quarter of 2016, we changed the methodology to allocate revenues from scanners and credits across our products.</w:t>
      </w:r>
    </w:p>
    <w:p>
      <w:pPr>
        <w:spacing w:after="0" w:line="20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expect to continue to derive a significant majority of our revenues from subscriptions to our VM solutions. As a result, the market demand for our Vulnerability Management solutions is critical to our continued success. Demand for these solutions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17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8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invoicing or changes in billing terms of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33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Each factor above or discussed elsewhere in this Annual Report on Form 10-K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on-premises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on-premises software into their businesses, and as a result may be reluctant or unwilling to migrate to a cloud solution. Organizations that use on-premises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1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on-premises enterprise software products, and as a result we are unable to increase sales of subscriptions to our solutions, then our revenues may not grow or may decline, and our operating results would be harmed.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9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33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current research and development efforts may not produce successful products or enhancements to our platform that result in significant revenue, cost savings or other benefits in the near future, if at all.</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may also suffer security incidents as a result of non-technical issues, including intentional or inadvertent breaches by our employees or service providers. Because our operations involve providing IT security solutions to our customers, we may be targeted for cyber-attacks and other security incidents. If an actual or perceived breach of our security measures or those of our service providers occurs, it could adversely affect the market perception of our solutions, negatively affecting our reputation, and may expose us to the loss of information, litigation, regulatory actions and possible liability. Any such actual or perceived security breach could also divert the efforts of our technical and management personnel.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Vulnerability Management for our business and revenues to grow as we expect. Revenues from our other solutions such as Policy Compliance, PCI Compliance, Security Assessment Questionnaire, Web Application Scanning, and Web Application Firewall have been relatively modest compared to revenues from our Vulnerability Management solutions.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timing of sales of subscriptions for our solutions can be difficult to forecast because of the length and unpredictability of our sales cycle, particularly with large transactions.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Adverse economic conditions or reduced IT spending may adversely impact our business.</w:t>
      </w:r>
    </w:p>
    <w:p>
      <w:pPr>
        <w:spacing w:after="0" w:line="24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21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delivered from five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currently host substantially all of our solutions from third-party data centers located in the United States, Switzerland, the Netherlands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Some of our data centers are not currently redundant and we may not be able to rapidly move our customers from one data center to another, which may increase delays in the restoration of our service for our customers if an adverse event occurs. </w:t>
      </w:r>
      <w:r>
        <w:rPr>
          <w:rFonts w:ascii="Arial" w:cs="Arial" w:eastAsia="Arial" w:hAnsi="Arial"/>
          <w:sz w:val="18"/>
          <w:szCs w:val="18"/>
          <w:color w:val="231F20"/>
        </w:rPr>
        <w:t>We have added data center</w:t>
      </w:r>
      <w:r>
        <w:rPr>
          <w:rFonts w:ascii="Arial" w:cs="Arial" w:eastAsia="Arial" w:hAnsi="Arial"/>
          <w:sz w:val="18"/>
          <w:szCs w:val="18"/>
          <w:color w:val="auto"/>
        </w:rPr>
        <w:t xml:space="preserve"> </w:t>
      </w:r>
      <w:r>
        <w:rPr>
          <w:rFonts w:ascii="Arial" w:cs="Arial" w:eastAsia="Arial" w:hAnsi="Arial"/>
          <w:sz w:val="18"/>
          <w:szCs w:val="18"/>
          <w:color w:val="231F20"/>
        </w:rPr>
        <w:t>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20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We compete with large and small public companies, such as FireEye, Inc., Imperva, Inc., International Business Machines Corporation, Micro Focus International plc, Rapid7, Inc. and Symantec Corporation, as well as privately held security providers including Barracuda Networks Inc., BeyondTrust Software, Inc., Carbon Black, Inc., CrowdStrike Inc., Tanium Inc., Tenable Network Security, Inc., Tripwire, Inc. and Trustwave Holdings, Inc. </w:t>
      </w:r>
      <w:r>
        <w:rPr>
          <w:rFonts w:ascii="Arial" w:cs="Arial" w:eastAsia="Arial" w:hAnsi="Arial"/>
          <w:sz w:val="18"/>
          <w:szCs w:val="18"/>
          <w:color w:val="231F20"/>
        </w:rPr>
        <w:t>We also seek to replace IT security and compliance solutions that organizations have developed internally. As we</w:t>
      </w:r>
      <w:r>
        <w:rPr>
          <w:rFonts w:ascii="Arial" w:cs="Arial" w:eastAsia="Arial" w:hAnsi="Arial"/>
          <w:sz w:val="18"/>
          <w:szCs w:val="18"/>
          <w:color w:val="auto"/>
        </w:rPr>
        <w:t xml:space="preserve"> </w:t>
      </w:r>
      <w:r>
        <w:rPr>
          <w:rFonts w:ascii="Arial" w:cs="Arial" w:eastAsia="Arial" w:hAnsi="Arial"/>
          <w:sz w:val="18"/>
          <w:szCs w:val="18"/>
          <w:color w:val="231F20"/>
        </w:rPr>
        <w:t>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9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33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the future.</w:t>
      </w:r>
    </w:p>
    <w:p>
      <w:pPr>
        <w:spacing w:after="0" w:line="247"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Annual Report on Form 10-K.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and Japanese Yen,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achieve profitability.</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21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1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a General Data Protection Regulation, or GDPR, to supersede the Data Protection Directive. This regulation, which will take full effect on May 25, 2018, will cause EU data protection requirements to be more stringent and provide for greater penalties. Noncompliance with the GDPR can trigger fines of up to €20 million or 4% of global annual revenues, whichever is higher.</w:t>
      </w:r>
    </w:p>
    <w:p>
      <w:pPr>
        <w:spacing w:after="0" w:line="20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The privacy, data protection, and information security laws and regulations we must comply with also are subject to change. For example, in June 2016, United Kingdom voters approved an exit from the European Union, commonly referred to as “Brexit,” which could also lead to further legislative and regulatory changes. Additionally, an October 2015 ruling of the Court of Justice of the European Union invalidated the U.S.-EU Safe Harbor Framework as a method of compliance with European restrictions regarding the transfer of personal data outside of the European Economic Area, or EEA. U.S. and EU authorities reached a political agreement in February 2016 regarding a new means for legitimizing personal data transfers from the EEA to the U.S., the EU-U.S. Privacy Shield Framework, and we have joined the EU-U.S. Privacy Shield Framework and a related program, the Swiss-U.S. Privacy Shield Framework. The EU-U.S. Privacy Shield is subject to legal challenge, however, and it or the Swiss-U.S. Privacy Shield may be modified or invalidated. We may be unsuccessful in maintaining legitimate means for our transfer and receipt of personal data from the EEA or Switzerland. We may experience reluctance or refusal by current or prospective European customers to use our products, and we may find it necessary or desirable to make further changes to our handling of personal data of European residents.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212"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especially in the San Francisco Bay Area, one of the locations in which we have a substantial presence and need for highly skilled personnel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9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contractual limitations on our ability to sell our solutions in certain foreign markets, and the risks and costs of non-compliance;</w:t>
      </w:r>
    </w:p>
    <w:p>
      <w:pPr>
        <w:spacing w:after="0" w:line="131" w:lineRule="exact"/>
        <w:rPr>
          <w:sz w:val="20"/>
          <w:szCs w:val="20"/>
          <w:color w:val="auto"/>
        </w:rPr>
      </w:pPr>
    </w:p>
    <w:p>
      <w:pPr>
        <w:ind w:left="660" w:right="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21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In addition, as of </w:t>
      </w:r>
      <w:r>
        <w:rPr>
          <w:rFonts w:ascii="Arial" w:cs="Arial" w:eastAsia="Arial" w:hAnsi="Arial"/>
          <w:sz w:val="18"/>
          <w:szCs w:val="18"/>
          <w:color w:val="000000"/>
        </w:rPr>
        <w:t>December 31, 2017</w:t>
      </w:r>
      <w:r>
        <w:rPr>
          <w:rFonts w:ascii="Arial" w:cs="Arial" w:eastAsia="Arial" w:hAnsi="Arial"/>
          <w:sz w:val="18"/>
          <w:szCs w:val="18"/>
          <w:color w:val="231F20"/>
        </w:rPr>
        <w:t>, approximately 56% of our employees were located outside of the United States, with a significant number of these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significant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We have experienced significant growth over the last several years. From </w:t>
      </w:r>
      <w:r>
        <w:rPr>
          <w:rFonts w:ascii="Arial" w:cs="Arial" w:eastAsia="Arial" w:hAnsi="Arial"/>
          <w:sz w:val="18"/>
          <w:szCs w:val="18"/>
          <w:color w:val="000000"/>
        </w:rPr>
        <w:t>2015</w:t>
      </w:r>
      <w:r>
        <w:rPr>
          <w:rFonts w:ascii="Arial" w:cs="Arial" w:eastAsia="Arial" w:hAnsi="Arial"/>
          <w:sz w:val="18"/>
          <w:szCs w:val="18"/>
          <w:color w:val="231F20"/>
        </w:rPr>
        <w:t xml:space="preserve"> to </w:t>
      </w:r>
      <w:r>
        <w:rPr>
          <w:rFonts w:ascii="Arial" w:cs="Arial" w:eastAsia="Arial" w:hAnsi="Arial"/>
          <w:sz w:val="18"/>
          <w:szCs w:val="18"/>
          <w:color w:val="000000"/>
        </w:rPr>
        <w:t>2017</w:t>
      </w:r>
      <w:r>
        <w:rPr>
          <w:rFonts w:ascii="Arial" w:cs="Arial" w:eastAsia="Arial" w:hAnsi="Arial"/>
          <w:sz w:val="18"/>
          <w:szCs w:val="18"/>
          <w:color w:val="231F20"/>
        </w:rPr>
        <w:t xml:space="preserve">, our revenues have grown from $164.3 million to </w:t>
      </w:r>
      <w:r>
        <w:rPr>
          <w:rFonts w:ascii="Arial" w:cs="Arial" w:eastAsia="Arial" w:hAnsi="Arial"/>
          <w:sz w:val="18"/>
          <w:szCs w:val="18"/>
          <w:color w:val="000000"/>
        </w:rPr>
        <w:t>$230.8 million</w:t>
      </w:r>
      <w:r>
        <w:rPr>
          <w:rFonts w:ascii="Arial" w:cs="Arial" w:eastAsia="Arial" w:hAnsi="Arial"/>
          <w:sz w:val="18"/>
          <w:szCs w:val="18"/>
          <w:color w:val="231F20"/>
        </w:rPr>
        <w:t>, and our headcount increased from 431 employees at the beginning of</w:t>
      </w:r>
      <w:r>
        <w:rPr>
          <w:rFonts w:ascii="Arial" w:cs="Arial" w:eastAsia="Arial" w:hAnsi="Arial"/>
          <w:sz w:val="18"/>
          <w:szCs w:val="18"/>
          <w:color w:val="000000"/>
        </w:rPr>
        <w:t xml:space="preserve"> 2015 </w:t>
      </w:r>
      <w:r>
        <w:rPr>
          <w:rFonts w:ascii="Arial" w:cs="Arial" w:eastAsia="Arial" w:hAnsi="Arial"/>
          <w:sz w:val="18"/>
          <w:szCs w:val="18"/>
          <w:color w:val="231F20"/>
        </w:rPr>
        <w:t>to</w:t>
      </w:r>
      <w:r>
        <w:rPr>
          <w:rFonts w:ascii="Arial" w:cs="Arial" w:eastAsia="Arial" w:hAnsi="Arial"/>
          <w:sz w:val="18"/>
          <w:szCs w:val="18"/>
          <w:color w:val="000000"/>
        </w:rPr>
        <w:t xml:space="preserve"> 869 </w:t>
      </w:r>
      <w:r>
        <w:rPr>
          <w:rFonts w:ascii="Arial" w:cs="Arial" w:eastAsia="Arial" w:hAnsi="Arial"/>
          <w:sz w:val="18"/>
          <w:szCs w:val="18"/>
          <w:color w:val="231F20"/>
        </w:rPr>
        <w:t>employees at</w:t>
      </w:r>
      <w:r>
        <w:rPr>
          <w:rFonts w:ascii="Arial" w:cs="Arial" w:eastAsia="Arial" w:hAnsi="Arial"/>
          <w:sz w:val="18"/>
          <w:szCs w:val="18"/>
          <w:color w:val="000000"/>
        </w:rPr>
        <w:t xml:space="preserve"> December 31, 2017</w:t>
      </w:r>
      <w:r>
        <w:rPr>
          <w:rFonts w:ascii="Arial" w:cs="Arial" w:eastAsia="Arial" w:hAnsi="Arial"/>
          <w:sz w:val="18"/>
          <w:szCs w:val="18"/>
          <w:color w:val="231F20"/>
        </w:rPr>
        <w:t>. We rely</w:t>
      </w:r>
      <w:r>
        <w:rPr>
          <w:rFonts w:ascii="Arial" w:cs="Arial" w:eastAsia="Arial" w:hAnsi="Arial"/>
          <w:sz w:val="18"/>
          <w:szCs w:val="18"/>
          <w:color w:val="000000"/>
        </w:rPr>
        <w:t xml:space="preserve"> </w:t>
      </w:r>
      <w:r>
        <w:rPr>
          <w:rFonts w:ascii="Arial" w:cs="Arial" w:eastAsia="Arial" w:hAnsi="Arial"/>
          <w:sz w:val="18"/>
          <w:szCs w:val="18"/>
          <w:color w:val="231F20"/>
        </w:rPr>
        <w:t>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Our success significantly depends upon establishing and maintaining relationships with a variety of channel partners and we anticipate that we will continue to depend on these partners in order to grow our business. For the years ended December 31, </w:t>
      </w:r>
      <w:r>
        <w:rPr>
          <w:rFonts w:ascii="Arial" w:cs="Arial" w:eastAsia="Arial" w:hAnsi="Arial"/>
          <w:sz w:val="18"/>
          <w:szCs w:val="18"/>
          <w:color w:val="000000"/>
        </w:rPr>
        <w:t>2017</w:t>
      </w:r>
      <w:r>
        <w:rPr>
          <w:rFonts w:ascii="Arial" w:cs="Arial" w:eastAsia="Arial" w:hAnsi="Arial"/>
          <w:sz w:val="18"/>
          <w:szCs w:val="18"/>
          <w:color w:val="231F20"/>
        </w:rPr>
        <w:t xml:space="preserve">, </w:t>
      </w:r>
      <w:r>
        <w:rPr>
          <w:rFonts w:ascii="Arial" w:cs="Arial" w:eastAsia="Arial" w:hAnsi="Arial"/>
          <w:sz w:val="18"/>
          <w:szCs w:val="18"/>
          <w:color w:val="000000"/>
        </w:rPr>
        <w:t>2016</w:t>
      </w:r>
      <w:r>
        <w:rPr>
          <w:rFonts w:ascii="Arial" w:cs="Arial" w:eastAsia="Arial" w:hAnsi="Arial"/>
          <w:sz w:val="18"/>
          <w:szCs w:val="18"/>
          <w:color w:val="231F20"/>
        </w:rPr>
        <w:t xml:space="preserve"> and </w:t>
      </w:r>
      <w:r>
        <w:rPr>
          <w:rFonts w:ascii="Arial" w:cs="Arial" w:eastAsia="Arial" w:hAnsi="Arial"/>
          <w:sz w:val="18"/>
          <w:szCs w:val="18"/>
          <w:color w:val="000000"/>
        </w:rPr>
        <w:t>2015</w:t>
      </w:r>
      <w:r>
        <w:rPr>
          <w:rFonts w:ascii="Arial" w:cs="Arial" w:eastAsia="Arial" w:hAnsi="Arial"/>
          <w:sz w:val="18"/>
          <w:szCs w:val="18"/>
          <w:color w:val="231F20"/>
        </w:rPr>
        <w:t xml:space="preserve">, we derived approximately </w:t>
      </w:r>
      <w:r>
        <w:rPr>
          <w:rFonts w:ascii="Arial" w:cs="Arial" w:eastAsia="Arial" w:hAnsi="Arial"/>
          <w:sz w:val="18"/>
          <w:szCs w:val="18"/>
          <w:color w:val="000000"/>
        </w:rPr>
        <w:t>41%</w:t>
      </w:r>
      <w:r>
        <w:rPr>
          <w:rFonts w:ascii="Arial" w:cs="Arial" w:eastAsia="Arial" w:hAnsi="Arial"/>
          <w:sz w:val="18"/>
          <w:szCs w:val="18"/>
          <w:color w:val="231F20"/>
        </w:rPr>
        <w:t xml:space="preserve">, 42% and </w:t>
      </w:r>
      <w:r>
        <w:rPr>
          <w:rFonts w:ascii="Arial" w:cs="Arial" w:eastAsia="Arial" w:hAnsi="Arial"/>
          <w:sz w:val="18"/>
          <w:szCs w:val="18"/>
          <w:color w:val="000000"/>
        </w:rPr>
        <w:t>39%</w:t>
      </w:r>
      <w:r>
        <w:rPr>
          <w:rFonts w:ascii="Arial" w:cs="Arial" w:eastAsia="Arial" w:hAnsi="Arial"/>
          <w:sz w:val="18"/>
          <w:szCs w:val="18"/>
          <w:color w:val="231F20"/>
        </w:rPr>
        <w:t>, respectively,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21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1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rely on third-party software -as-a-service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Our reporting currency is the U.S. dollar and we generate a majority of our revenues in U.S. dollars. However, in </w:t>
      </w:r>
      <w:r>
        <w:rPr>
          <w:rFonts w:ascii="Arial" w:cs="Arial" w:eastAsia="Arial" w:hAnsi="Arial"/>
          <w:sz w:val="18"/>
          <w:szCs w:val="18"/>
          <w:color w:val="000000"/>
        </w:rPr>
        <w:t>2017</w:t>
      </w:r>
      <w:r>
        <w:rPr>
          <w:rFonts w:ascii="Arial" w:cs="Arial" w:eastAsia="Arial" w:hAnsi="Arial"/>
          <w:sz w:val="18"/>
          <w:szCs w:val="18"/>
          <w:color w:val="231F20"/>
        </w:rPr>
        <w:t xml:space="preserve">, we incurred approximately </w:t>
      </w:r>
      <w:r>
        <w:rPr>
          <w:rFonts w:ascii="Arial" w:cs="Arial" w:eastAsia="Arial" w:hAnsi="Arial"/>
          <w:sz w:val="18"/>
          <w:szCs w:val="18"/>
          <w:color w:val="000000"/>
        </w:rPr>
        <w:t>19%</w:t>
      </w:r>
      <w:r>
        <w:rPr>
          <w:rFonts w:ascii="Arial" w:cs="Arial" w:eastAsia="Arial" w:hAnsi="Arial"/>
          <w:sz w:val="18"/>
          <w:szCs w:val="18"/>
          <w:color w:val="231F20"/>
        </w:rPr>
        <w:t xml:space="preserve"> of our expenses outside of the United States in foreign currencies, primarily Euros, British Pounds, and Indian Rupee, principally with respect to salaries and related personnel expenses associated with our European and Indian operations. Additionally, in </w:t>
      </w:r>
      <w:r>
        <w:rPr>
          <w:rFonts w:ascii="Arial" w:cs="Arial" w:eastAsia="Arial" w:hAnsi="Arial"/>
          <w:sz w:val="18"/>
          <w:szCs w:val="18"/>
          <w:color w:val="000000"/>
        </w:rPr>
        <w:t>2017</w:t>
      </w:r>
      <w:r>
        <w:rPr>
          <w:rFonts w:ascii="Arial" w:cs="Arial" w:eastAsia="Arial" w:hAnsi="Arial"/>
          <w:sz w:val="18"/>
          <w:szCs w:val="18"/>
          <w:color w:val="231F20"/>
        </w:rPr>
        <w:t>, approximately 18%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 British Pound and Indian Rupee. The results of our operations may be adversely affected by foreign exchange fluctuations.</w:t>
      </w:r>
    </w:p>
    <w:p>
      <w:pPr>
        <w:spacing w:after="0" w:line="21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certain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As of February 23, 2018, we have eleven issued patents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6"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0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 skilled personnel and we may not be able to compete for these employees.</w:t>
      </w:r>
    </w:p>
    <w:p>
      <w:pPr>
        <w:spacing w:after="0" w:line="20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Our solutions are subject to U.S. export controls, </w:t>
      </w:r>
      <w:r>
        <w:rPr>
          <w:rFonts w:ascii="Arial" w:cs="Arial" w:eastAsia="Arial" w:hAnsi="Arial"/>
          <w:sz w:val="18"/>
          <w:szCs w:val="18"/>
          <w:color w:val="000000"/>
        </w:rPr>
        <w:t>specifically, the Export Administration Regulations and economic sanctions enforced by</w:t>
      </w:r>
      <w:r>
        <w:rPr>
          <w:rFonts w:ascii="Arial" w:cs="Arial" w:eastAsia="Arial" w:hAnsi="Arial"/>
          <w:sz w:val="18"/>
          <w:szCs w:val="18"/>
          <w:color w:val="231F20"/>
        </w:rPr>
        <w:t xml:space="preserve"> </w:t>
      </w:r>
      <w:r>
        <w:rPr>
          <w:rFonts w:ascii="Arial" w:cs="Arial" w:eastAsia="Arial" w:hAnsi="Arial"/>
          <w:sz w:val="18"/>
          <w:szCs w:val="18"/>
          <w:color w:val="000000"/>
        </w:rPr>
        <w:t xml:space="preserve">the Office of Foreign Assets Control. </w:t>
      </w:r>
      <w:r>
        <w:rPr>
          <w:rFonts w:ascii="Arial" w:cs="Arial" w:eastAsia="Arial" w:hAnsi="Arial"/>
          <w:sz w:val="18"/>
          <w:szCs w:val="18"/>
          <w:color w:val="231F20"/>
        </w:rPr>
        <w:t>We incorporate encryption technology into certain of our solutions. These encryption solutions and the</w:t>
      </w:r>
      <w:r>
        <w:rPr>
          <w:rFonts w:ascii="Arial" w:cs="Arial" w:eastAsia="Arial" w:hAnsi="Arial"/>
          <w:sz w:val="18"/>
          <w:szCs w:val="18"/>
          <w:color w:val="000000"/>
        </w:rPr>
        <w:t xml:space="preserve"> </w:t>
      </w:r>
      <w:r>
        <w:rPr>
          <w:rFonts w:ascii="Arial" w:cs="Arial" w:eastAsia="Arial" w:hAnsi="Arial"/>
          <w:sz w:val="18"/>
          <w:szCs w:val="18"/>
          <w:color w:val="231F20"/>
        </w:rPr>
        <w:t>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 acquisitions, such</w:t>
      </w:r>
      <w:r>
        <w:rPr>
          <w:rFonts w:ascii="Arial" w:cs="Arial" w:eastAsia="Arial" w:hAnsi="Arial"/>
          <w:sz w:val="18"/>
          <w:szCs w:val="18"/>
          <w:color w:val="231F20"/>
        </w:rPr>
        <w:t xml:space="preserve"> </w:t>
      </w:r>
      <w:r>
        <w:rPr>
          <w:rFonts w:ascii="Arial" w:cs="Arial" w:eastAsia="Arial" w:hAnsi="Arial"/>
          <w:sz w:val="18"/>
          <w:szCs w:val="18"/>
          <w:color w:val="000000"/>
        </w:rPr>
        <w:t xml:space="preserve">acquisitions may still be viewed negatively by customers, financial markets or investors. </w:t>
      </w:r>
      <w:r>
        <w:rPr>
          <w:rFonts w:ascii="Arial" w:cs="Arial" w:eastAsia="Arial" w:hAnsi="Arial"/>
          <w:sz w:val="18"/>
          <w:szCs w:val="18"/>
          <w:color w:val="231F20"/>
        </w:rPr>
        <w:t>The acquisition and integration process is complex,</w:t>
      </w:r>
      <w:r>
        <w:rPr>
          <w:rFonts w:ascii="Arial" w:cs="Arial" w:eastAsia="Arial" w:hAnsi="Arial"/>
          <w:sz w:val="18"/>
          <w:szCs w:val="18"/>
          <w:color w:val="000000"/>
        </w:rPr>
        <w:t xml:space="preserve"> </w:t>
      </w:r>
      <w:r>
        <w:rPr>
          <w:rFonts w:ascii="Arial" w:cs="Arial" w:eastAsia="Arial" w:hAnsi="Arial"/>
          <w:sz w:val="18"/>
          <w:szCs w:val="18"/>
          <w:color w:val="231F20"/>
        </w:rPr>
        <w:t xml:space="preserve">expensive and time-consuming, and may cause an interruption of, or loss of momentum in, product development and sales activities and operations of both companies </w:t>
      </w:r>
      <w:r>
        <w:rPr>
          <w:rFonts w:ascii="Arial" w:cs="Arial" w:eastAsia="Arial" w:hAnsi="Arial"/>
          <w:sz w:val="18"/>
          <w:szCs w:val="18"/>
          <w:color w:val="000000"/>
        </w:rPr>
        <w:t>and we may incur substantial cost and expense, as well as divert the attention of management. We may issue</w:t>
      </w:r>
      <w:r>
        <w:rPr>
          <w:rFonts w:ascii="Arial" w:cs="Arial" w:eastAsia="Arial" w:hAnsi="Arial"/>
          <w:sz w:val="18"/>
          <w:szCs w:val="18"/>
          <w:color w:val="231F20"/>
        </w:rPr>
        <w:t xml:space="preserve"> </w:t>
      </w:r>
      <w:r>
        <w:rPr>
          <w:rFonts w:ascii="Arial" w:cs="Arial" w:eastAsia="Arial" w:hAnsi="Arial"/>
          <w:sz w:val="18"/>
          <w:szCs w:val="18"/>
          <w:color w:val="000000"/>
        </w:rPr>
        <w:t xml:space="preserve">equity securities which could dilute current stockholders’ ownership, incur debt, assume contingent or other liabilities and expend cash in acquisitions, which could negatively impact our financial position, stockholder equity and stock price. </w:t>
      </w:r>
      <w:r>
        <w:rPr>
          <w:rFonts w:ascii="Arial" w:cs="Arial" w:eastAsia="Arial" w:hAnsi="Arial"/>
          <w:sz w:val="18"/>
          <w:szCs w:val="18"/>
          <w:color w:val="231F20"/>
        </w:rPr>
        <w:t>We may not find suitable acquisition</w:t>
      </w:r>
      <w:r>
        <w:rPr>
          <w:rFonts w:ascii="Arial" w:cs="Arial" w:eastAsia="Arial" w:hAnsi="Arial"/>
          <w:sz w:val="18"/>
          <w:szCs w:val="18"/>
          <w:color w:val="000000"/>
        </w:rPr>
        <w:t xml:space="preserve"> </w:t>
      </w:r>
      <w:r>
        <w:rPr>
          <w:rFonts w:ascii="Arial" w:cs="Arial" w:eastAsia="Arial" w:hAnsi="Arial"/>
          <w:sz w:val="18"/>
          <w:szCs w:val="18"/>
          <w:color w:val="231F20"/>
        </w:rPr>
        <w:t>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“Part II, Item 7 -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accounting for income taxes, stock-based compensation, and fair value measurement.</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w:t>
      </w:r>
      <w:r>
        <w:rPr>
          <w:rFonts w:ascii="Arial" w:cs="Arial" w:eastAsia="Arial" w:hAnsi="Arial"/>
          <w:sz w:val="18"/>
          <w:szCs w:val="18"/>
          <w:color w:val="000000"/>
        </w:rPr>
        <w:t>or 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231F20"/>
        </w:rPr>
        <w:t>We have historically expensed commissions associated with sales of our solutions immediately upon receipt of a subscription order from a customer and generally recognize the revenues associated with such sale over the term of the agreement. Accordingly, our historical operating income in any period may not be indicative of our financial health and future performance. With the adoption of Accounting Standards Update ("ASU") 2014-09, Revenue from Contracts with Customers (Topic 606) effective January 1, 2018, we will commence capitalizing of our commissions but will elect to use the practical expedient in Topic 606 and expense commissions related to contracts with a renewal contract term of one year or less. As a result of the adoption of Topic 606, our future operating results may vary from period to period as our commission expense will not be directly comparable to historical periods.</w:t>
      </w:r>
    </w:p>
    <w:p>
      <w:pPr>
        <w:spacing w:after="0" w:line="20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Through December 2017, we have expensed commissions paid to our sales personnel in the quarter in which the related order is received. In contrast, we have generally recognized the revenues associated with a sale of our solutions ratably over the term of the subscription, which is typically one year. Accordingly, our historical results may have fluctuated based on timing of commission expenses as compared to revenue recognized. With the adoption of Topic 606, our operating results will also fluctuate and not be comparable to historical periods and continue to fluctuate as we will generally capitalize commissions except for renewal sales that are one year or less. In addition, amortization of expense from previously capitalized contracts is expected to increase over time as our opening capitalized commission asset balance upon adoption of Topic 606 only includes open contracts as of December 31, 2017. Accordingly, we expect our commission expense to grow in future periods after the initial adoption of Topic 606.</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 We could be subject to additional taxes.</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excess tax benefits from stock-based compensation, and the valuation of deferred tax assets and liabilities, including our ability to utilize our federal and state net operating losses, which were $54.4 million as of December 31, 2017. As a result of the Tax Cuts and Jobs Act (“the 2017 Tax Act”), which was enacted by the U.S. federal government on December 22, 2017, our federal tax rate will decrease in 2018, resulting in our recording of $10.4 million of additional income tax expense in 2017 due to the re-measurement of certain deferred tax assets and liabilities. Accordingly, our operating results have fluctuated and may not be comparable to historical periods and continue to fluctuate in the future. Increases in our effective tax rate could harm our operating results.</w:t>
      </w:r>
    </w:p>
    <w:p>
      <w:pPr>
        <w:spacing w:after="0" w:line="21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Additionally, </w:t>
      </w:r>
      <w:r>
        <w:rPr>
          <w:rFonts w:ascii="Arial" w:cs="Arial" w:eastAsia="Arial" w:hAnsi="Arial"/>
          <w:sz w:val="18"/>
          <w:szCs w:val="18"/>
          <w:color w:val="000000"/>
        </w:rPr>
        <w:t>significant judgment is required in evaluating our tax positions and our worldwide provision for taxes. During the ordinary</w:t>
      </w:r>
      <w:r>
        <w:rPr>
          <w:rFonts w:ascii="Arial" w:cs="Arial" w:eastAsia="Arial" w:hAnsi="Arial"/>
          <w:sz w:val="18"/>
          <w:szCs w:val="18"/>
          <w:color w:val="231F20"/>
        </w:rPr>
        <w:t xml:space="preserve"> </w:t>
      </w:r>
      <w:r>
        <w:rPr>
          <w:rFonts w:ascii="Arial" w:cs="Arial" w:eastAsia="Arial" w:hAnsi="Arial"/>
          <w:sz w:val="18"/>
          <w:szCs w:val="18"/>
          <w:color w:val="000000"/>
        </w:rPr>
        <w:t>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9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Uncertainties in the interpretation and application of the 2017 Tax Cuts and Jobs Act could materially affect our tax obligations and effective tax rate.</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2017 Tax Act significantly affected U.S. tax law by changing how the U.S. imposes income tax on multinational corporations. Given the timing, scope, and magnitude of the changes enacted by the 2017 Tax Act, along with on-going implementation efforts, guidance, and other developments from U.S. regulatory and standard-setting bodies, the completion of the accounting for certain tax items included in Note 9 to the Consolidated Financial Statements included in Part II, Item 8, that have been reported as provisional may be subject to material change. Any significant changes to our future effective tax rate, including final resolution of provisional amounts relating to effects of the 2017 Tax Act, may result in a material adverse effect on our business, financial condition, results of operations, or cash flows.</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additional internal controls and procedures and hiring accounting or internal audit staff.</w:t>
      </w:r>
    </w:p>
    <w:p>
      <w:pPr>
        <w:spacing w:after="0" w:line="204"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internal control over financial reporting is a process designed to provide reasonable assurance regarding the reliability of financial reporting and the preparation of financial statements in accordance with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this Annual Report on Form 10-K that our internal control over financial reporting was effective as of December 31, 2017,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88" w:lineRule="exact"/>
        <w:rPr>
          <w:sz w:val="20"/>
          <w:szCs w:val="20"/>
          <w:color w:val="auto"/>
        </w:rPr>
      </w:pP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33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34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4"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Annual Report on Form 10-K could result in the actual operating results being different from our guidance, and the differences may be adverse and material.</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As of December 31, 2017, our executive officers, directors and holders of 10% or more of our outstanding common stock beneficially own, in the aggregate, approximately 14%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These persons also have significant ability to control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December 31, 2017, we had approximately 38.6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20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 addition, as of December 31, 2017, there were approximately 1.4 million restricted stock units and options to purchase approximately 4.5 million shares of our common stock outstanding. If such options are exercised and restricted stock units are released, these additional shares will become available for sale. As of December 31, 2017, we had an aggregate of 2.2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cannot guarantee that our recently announced stock repurchase program will be fully consummated or that it will enhance stockholder value, and any stock repurchases we make could affect the price of our common stock.</w:t>
      </w:r>
    </w:p>
    <w:p>
      <w:pPr>
        <w:spacing w:after="0" w:line="25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February 2018, we announced a $100.0 million stock repurchase program. Although our board of directors authorized this stock repurchase program, we are not obligated to repurchase any specific dollar amount or to acquire any specific number of shares. The stock repurchase program could affect the price of our common stock, increase volatility and diminish our cash reserves. In addition, it may be suspended or terminated at any time, which may result in a decrease in the price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jc w:val="both"/>
        <w:ind w:left="66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34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6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principal executive offices are located in Foster City, California, where we occupy a 76,922 square-foot facility under a lease expiring on April 30, 2028. We have additional U.S. offices in Bellevue, Washington and Raleigh, North Carolina. We also lease offices in Courbevoie, France; Moscow, Russia; Munich, Germany; Frankfurt, Germany; Nuremberg, Germany; Pune, India; Dubai, United Arab Emirates; Reading, United Kingdom; and Tokyo, Japan. We believe our facilities are adequate for our current needs and for the foreseeable future.</w:t>
      </w:r>
    </w:p>
    <w:p>
      <w:pPr>
        <w:spacing w:after="0" w:line="204"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We operate principal data centers at third-party facilities in Santa Clara, California; Ashburn, Virginia; Geneva, Switzerland; Pune, India; and Amsterdam, the Netherlands.</w:t>
      </w:r>
    </w:p>
    <w:p>
      <w:pPr>
        <w:spacing w:after="0" w:line="33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6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4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II</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Market for Registrant's Common Equity, Related Stockholder Matters and Issuer Purchases</w:t>
      </w:r>
    </w:p>
    <w:p>
      <w:pPr>
        <w:spacing w:after="0" w:line="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of Equity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4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common stock is listed on the NASDAQ Stock Market under the trading symbol “QLYS”. The following table sets forth the high and low per share sales prices for our common stock as reported on the NASDAQ Stock Market for the two most recent fiscal years: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Low</w:t>
            </w:r>
          </w:p>
        </w:tc>
        <w:tc>
          <w:tcPr>
            <w:tcW w:w="32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High</w:t>
            </w:r>
          </w:p>
        </w:tc>
      </w:tr>
      <w:tr>
        <w:trPr>
          <w:trHeight w:val="270"/>
        </w:trPr>
        <w:tc>
          <w:tcPr>
            <w:tcW w:w="85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2017:</w:t>
            </w:r>
          </w:p>
        </w:tc>
        <w:tc>
          <w:tcPr>
            <w:tcW w:w="3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r>
      <w:tr>
        <w:trPr>
          <w:trHeight w:val="263"/>
        </w:trPr>
        <w:tc>
          <w:tcPr>
            <w:tcW w:w="8560" w:type="dxa"/>
            <w:vAlign w:val="bottom"/>
          </w:tcPr>
          <w:p>
            <w:pPr>
              <w:ind w:left="340"/>
              <w:spacing w:after="0"/>
              <w:rPr>
                <w:sz w:val="20"/>
                <w:szCs w:val="20"/>
                <w:color w:val="auto"/>
              </w:rPr>
            </w:pPr>
            <w:r>
              <w:rPr>
                <w:rFonts w:ascii="Arial" w:cs="Arial" w:eastAsia="Arial" w:hAnsi="Arial"/>
                <w:sz w:val="18"/>
                <w:szCs w:val="18"/>
                <w:color w:val="auto"/>
              </w:rPr>
              <w:t>Fourth quarter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62.35</w:t>
            </w:r>
          </w:p>
        </w:tc>
      </w:tr>
      <w:tr>
        <w:trPr>
          <w:trHeight w:val="277"/>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Third quarter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53.55</w:t>
            </w:r>
          </w:p>
        </w:tc>
      </w:tr>
      <w:tr>
        <w:trPr>
          <w:trHeight w:val="263"/>
        </w:trPr>
        <w:tc>
          <w:tcPr>
            <w:tcW w:w="8560" w:type="dxa"/>
            <w:vAlign w:val="bottom"/>
          </w:tcPr>
          <w:p>
            <w:pPr>
              <w:ind w:left="340"/>
              <w:spacing w:after="0"/>
              <w:rPr>
                <w:sz w:val="20"/>
                <w:szCs w:val="20"/>
                <w:color w:val="auto"/>
              </w:rPr>
            </w:pPr>
            <w:r>
              <w:rPr>
                <w:rFonts w:ascii="Arial" w:cs="Arial" w:eastAsia="Arial" w:hAnsi="Arial"/>
                <w:sz w:val="18"/>
                <w:szCs w:val="18"/>
                <w:color w:val="auto"/>
              </w:rPr>
              <w:t>Second quarter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44.35</w:t>
            </w:r>
          </w:p>
        </w:tc>
      </w:tr>
      <w:tr>
        <w:trPr>
          <w:trHeight w:val="277"/>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First quarter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38.38</w:t>
            </w: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Fiscal 2016:</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7"/>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Fourth quarter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39.67</w:t>
            </w:r>
          </w:p>
        </w:tc>
      </w:tr>
      <w:tr>
        <w:trPr>
          <w:trHeight w:val="263"/>
        </w:trPr>
        <w:tc>
          <w:tcPr>
            <w:tcW w:w="8560" w:type="dxa"/>
            <w:vAlign w:val="bottom"/>
          </w:tcPr>
          <w:p>
            <w:pPr>
              <w:ind w:left="340"/>
              <w:spacing w:after="0"/>
              <w:rPr>
                <w:sz w:val="20"/>
                <w:szCs w:val="20"/>
                <w:color w:val="auto"/>
              </w:rPr>
            </w:pPr>
            <w:r>
              <w:rPr>
                <w:rFonts w:ascii="Arial" w:cs="Arial" w:eastAsia="Arial" w:hAnsi="Arial"/>
                <w:sz w:val="18"/>
                <w:szCs w:val="18"/>
                <w:color w:val="auto"/>
              </w:rPr>
              <w:t>Third quarter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38.32</w:t>
            </w:r>
          </w:p>
        </w:tc>
      </w:tr>
      <w:tr>
        <w:trPr>
          <w:trHeight w:val="277"/>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Second quarter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32.65</w:t>
            </w:r>
          </w:p>
        </w:tc>
      </w:tr>
      <w:tr>
        <w:trPr>
          <w:trHeight w:val="257"/>
        </w:trPr>
        <w:tc>
          <w:tcPr>
            <w:tcW w:w="8560" w:type="dxa"/>
            <w:vAlign w:val="bottom"/>
          </w:tcPr>
          <w:p>
            <w:pPr>
              <w:ind w:left="340"/>
              <w:spacing w:after="0"/>
              <w:rPr>
                <w:sz w:val="20"/>
                <w:szCs w:val="20"/>
                <w:color w:val="auto"/>
              </w:rPr>
            </w:pPr>
            <w:r>
              <w:rPr>
                <w:rFonts w:ascii="Arial" w:cs="Arial" w:eastAsia="Arial" w:hAnsi="Arial"/>
                <w:sz w:val="18"/>
                <w:szCs w:val="18"/>
                <w:color w:val="auto"/>
              </w:rPr>
              <w:t>First quarter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32.48</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Equity</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As of January 31, 2018, there were approximately 94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to fund business development and growth,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328" w:lineRule="exact"/>
        <w:rPr>
          <w:sz w:val="20"/>
          <w:szCs w:val="20"/>
          <w:color w:val="auto"/>
        </w:rPr>
      </w:pPr>
    </w:p>
    <w:p>
      <w:pPr>
        <w:ind w:right="40" w:firstLine="432"/>
        <w:spacing w:after="0" w:line="262"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2017. All outstanding awards relate to our common stock.</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Plan Category</w:t>
      </w:r>
    </w:p>
    <w:p>
      <w:pPr>
        <w:spacing w:after="0" w:line="157" w:lineRule="exact"/>
        <w:rPr>
          <w:sz w:val="20"/>
          <w:szCs w:val="20"/>
          <w:color w:val="auto"/>
        </w:rPr>
      </w:pPr>
    </w:p>
    <w:p>
      <w:pPr>
        <w:ind w:left="40" w:right="60"/>
        <w:spacing w:after="0" w:line="246" w:lineRule="auto"/>
        <w:rPr>
          <w:sz w:val="20"/>
          <w:szCs w:val="20"/>
          <w:color w:val="auto"/>
        </w:rPr>
      </w:pPr>
      <w:r>
        <w:rPr>
          <w:rFonts w:ascii="Arial" w:cs="Arial" w:eastAsia="Arial" w:hAnsi="Arial"/>
          <w:sz w:val="18"/>
          <w:szCs w:val="18"/>
          <w:color w:val="auto"/>
        </w:rPr>
        <w:t>Equity compensation plans approved by security holders(1)</w:t>
      </w:r>
    </w:p>
    <w:p>
      <w:pPr>
        <w:spacing w:after="0" w:line="197" w:lineRule="exact"/>
        <w:rPr>
          <w:sz w:val="20"/>
          <w:szCs w:val="20"/>
          <w:color w:val="auto"/>
        </w:rPr>
      </w:pPr>
    </w:p>
    <w:p>
      <w:pPr>
        <w:ind w:left="40"/>
        <w:spacing w:after="0" w:line="246" w:lineRule="auto"/>
        <w:rPr>
          <w:sz w:val="20"/>
          <w:szCs w:val="20"/>
          <w:color w:val="auto"/>
        </w:rPr>
      </w:pPr>
      <w:r>
        <w:rPr>
          <w:rFonts w:ascii="Arial" w:cs="Arial" w:eastAsia="Arial" w:hAnsi="Arial"/>
          <w:sz w:val="18"/>
          <w:szCs w:val="18"/>
          <w:color w:val="auto"/>
        </w:rPr>
        <w:t>Equity compensation plans not approved by security holders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6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(a) Number of Securities to be</w:t>
            </w:r>
          </w:p>
        </w:tc>
        <w:tc>
          <w:tcPr>
            <w:tcW w:w="260" w:type="dxa"/>
            <w:vAlign w:val="bottom"/>
          </w:tcPr>
          <w:p>
            <w:pPr>
              <w:spacing w:after="0"/>
              <w:rPr>
                <w:sz w:val="16"/>
                <w:szCs w:val="16"/>
                <w:color w:val="auto"/>
              </w:rPr>
            </w:pPr>
          </w:p>
        </w:tc>
        <w:tc>
          <w:tcPr>
            <w:tcW w:w="24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(b) Weighted-Average</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(c) Number of Securities</w:t>
            </w:r>
          </w:p>
        </w:tc>
      </w:tr>
      <w:tr>
        <w:trPr>
          <w:trHeight w:val="189"/>
        </w:trPr>
        <w:tc>
          <w:tcPr>
            <w:tcW w:w="26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9"/>
              </w:rPr>
              <w:t>Issued Upon</w:t>
            </w:r>
          </w:p>
        </w:tc>
        <w:tc>
          <w:tcPr>
            <w:tcW w:w="260" w:type="dxa"/>
            <w:vAlign w:val="bottom"/>
          </w:tcPr>
          <w:p>
            <w:pPr>
              <w:spacing w:after="0"/>
              <w:rPr>
                <w:sz w:val="16"/>
                <w:szCs w:val="16"/>
                <w:color w:val="auto"/>
              </w:rPr>
            </w:pPr>
          </w:p>
        </w:tc>
        <w:tc>
          <w:tcPr>
            <w:tcW w:w="24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Exercise Price of</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9"/>
              </w:rPr>
              <w:t>Remaining Available for</w:t>
            </w:r>
          </w:p>
        </w:tc>
      </w:tr>
      <w:tr>
        <w:trPr>
          <w:trHeight w:val="189"/>
        </w:trPr>
        <w:tc>
          <w:tcPr>
            <w:tcW w:w="26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Exercise of</w:t>
            </w:r>
          </w:p>
        </w:tc>
        <w:tc>
          <w:tcPr>
            <w:tcW w:w="260" w:type="dxa"/>
            <w:vAlign w:val="bottom"/>
          </w:tcPr>
          <w:p>
            <w:pPr>
              <w:spacing w:after="0"/>
              <w:rPr>
                <w:sz w:val="16"/>
                <w:szCs w:val="16"/>
                <w:color w:val="auto"/>
              </w:rPr>
            </w:pPr>
          </w:p>
        </w:tc>
        <w:tc>
          <w:tcPr>
            <w:tcW w:w="24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Outstanding Options,</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Future Issuance Under</w:t>
            </w:r>
          </w:p>
        </w:tc>
      </w:tr>
      <w:tr>
        <w:trPr>
          <w:trHeight w:val="189"/>
        </w:trPr>
        <w:tc>
          <w:tcPr>
            <w:tcW w:w="26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Outstanding</w:t>
            </w:r>
          </w:p>
        </w:tc>
        <w:tc>
          <w:tcPr>
            <w:tcW w:w="260" w:type="dxa"/>
            <w:vAlign w:val="bottom"/>
          </w:tcPr>
          <w:p>
            <w:pPr>
              <w:spacing w:after="0"/>
              <w:rPr>
                <w:sz w:val="16"/>
                <w:szCs w:val="16"/>
                <w:color w:val="auto"/>
              </w:rPr>
            </w:pPr>
          </w:p>
        </w:tc>
        <w:tc>
          <w:tcPr>
            <w:tcW w:w="24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Warrants and Rights</w:t>
            </w: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Equity Compensation</w:t>
            </w:r>
          </w:p>
        </w:tc>
      </w:tr>
      <w:tr>
        <w:trPr>
          <w:trHeight w:val="189"/>
        </w:trPr>
        <w:tc>
          <w:tcPr>
            <w:tcW w:w="26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Options, Warrants</w:t>
            </w:r>
          </w:p>
        </w:tc>
        <w:tc>
          <w:tcPr>
            <w:tcW w:w="2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Plans (Excluding</w:t>
            </w:r>
          </w:p>
        </w:tc>
      </w:tr>
      <w:tr>
        <w:trPr>
          <w:trHeight w:val="189"/>
        </w:trPr>
        <w:tc>
          <w:tcPr>
            <w:tcW w:w="26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and Rights</w:t>
            </w:r>
          </w:p>
        </w:tc>
        <w:tc>
          <w:tcPr>
            <w:tcW w:w="2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rPr>
              <w:t>Securities Reflected in</w:t>
            </w:r>
          </w:p>
        </w:tc>
      </w:tr>
      <w:tr>
        <w:trPr>
          <w:trHeight w:val="228"/>
        </w:trPr>
        <w:tc>
          <w:tcPr>
            <w:tcW w:w="24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Column (a))</w:t>
            </w:r>
          </w:p>
        </w:tc>
      </w:tr>
      <w:tr>
        <w:trPr>
          <w:trHeight w:val="594"/>
        </w:trPr>
        <w:tc>
          <w:tcPr>
            <w:tcW w:w="2480" w:type="dxa"/>
            <w:vAlign w:val="bottom"/>
          </w:tcPr>
          <w:p>
            <w:pPr>
              <w:jc w:val="right"/>
              <w:ind w:right="18"/>
              <w:spacing w:after="0"/>
              <w:rPr>
                <w:sz w:val="20"/>
                <w:szCs w:val="20"/>
                <w:color w:val="auto"/>
              </w:rPr>
            </w:pPr>
            <w:r>
              <w:rPr>
                <w:rFonts w:ascii="Arial" w:cs="Arial" w:eastAsia="Arial" w:hAnsi="Arial"/>
                <w:sz w:val="18"/>
                <w:szCs w:val="18"/>
                <w:color w:val="auto"/>
              </w:rPr>
              <w:t>4,495,891</w:t>
            </w:r>
          </w:p>
        </w:tc>
        <w:tc>
          <w:tcPr>
            <w:tcW w:w="16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240" w:type="dxa"/>
            <w:vAlign w:val="bottom"/>
          </w:tcPr>
          <w:p>
            <w:pPr>
              <w:jc w:val="right"/>
              <w:ind w:right="17"/>
              <w:spacing w:after="0"/>
              <w:rPr>
                <w:sz w:val="20"/>
                <w:szCs w:val="20"/>
                <w:color w:val="auto"/>
              </w:rPr>
            </w:pPr>
            <w:r>
              <w:rPr>
                <w:rFonts w:ascii="Arial" w:cs="Arial" w:eastAsia="Arial" w:hAnsi="Arial"/>
                <w:sz w:val="18"/>
                <w:szCs w:val="18"/>
                <w:color w:val="auto"/>
              </w:rPr>
              <w:t>25.29</w:t>
            </w:r>
          </w:p>
        </w:tc>
        <w:tc>
          <w:tcPr>
            <w:tcW w:w="160" w:type="dxa"/>
            <w:vAlign w:val="bottom"/>
          </w:tcPr>
          <w:p>
            <w:pPr>
              <w:spacing w:after="0"/>
              <w:rPr>
                <w:sz w:val="24"/>
                <w:szCs w:val="24"/>
                <w:color w:val="auto"/>
              </w:rPr>
            </w:pPr>
          </w:p>
        </w:tc>
        <w:tc>
          <w:tcPr>
            <w:tcW w:w="2500" w:type="dxa"/>
            <w:vAlign w:val="bottom"/>
          </w:tcPr>
          <w:p>
            <w:pPr>
              <w:jc w:val="right"/>
              <w:ind w:right="18"/>
              <w:spacing w:after="0"/>
              <w:rPr>
                <w:sz w:val="20"/>
                <w:szCs w:val="20"/>
                <w:color w:val="auto"/>
              </w:rPr>
            </w:pPr>
            <w:r>
              <w:rPr>
                <w:rFonts w:ascii="Arial" w:cs="Arial" w:eastAsia="Arial" w:hAnsi="Arial"/>
                <w:sz w:val="18"/>
                <w:szCs w:val="18"/>
                <w:color w:val="auto"/>
              </w:rPr>
              <w:t>2,208,858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-385445</wp:posOffset>
            </wp:positionV>
            <wp:extent cx="7246620" cy="394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p>
      <w:pPr>
        <w:spacing w:after="0" w:line="745" w:lineRule="exact"/>
        <w:rPr>
          <w:sz w:val="20"/>
          <w:szCs w:val="20"/>
          <w:color w:val="auto"/>
        </w:rPr>
      </w:pPr>
    </w:p>
    <w:p>
      <w:pPr>
        <w:sectPr>
          <w:pgSz w:w="11900" w:h="16838" w:orient="portrait"/>
          <w:cols w:equalWidth="0" w:num="2">
            <w:col w:w="3280" w:space="340"/>
            <w:col w:w="7800"/>
          </w:cols>
          <w:pgMar w:left="240" w:top="141" w:right="239" w:bottom="1440" w:gutter="0" w:footer="0" w:header="0"/>
          <w:type w:val="continuous"/>
        </w:sectPr>
      </w:pPr>
    </w:p>
    <w:p>
      <w:pPr>
        <w:spacing w:after="0" w:line="24" w:lineRule="exact"/>
        <w:rPr>
          <w:sz w:val="20"/>
          <w:szCs w:val="20"/>
          <w:color w:val="auto"/>
        </w:rPr>
      </w:pPr>
    </w:p>
    <w:p>
      <w:pPr>
        <w:ind w:left="5820"/>
        <w:spacing w:after="0"/>
        <w:tabs>
          <w:tab w:leader="none" w:pos="6260" w:val="left"/>
          <w:tab w:leader="none" w:pos="8460" w:val="left"/>
          <w:tab w:leader="none" w:pos="1112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9" w:lineRule="exact"/>
        <w:rPr>
          <w:sz w:val="20"/>
          <w:szCs w:val="20"/>
          <w:color w:val="auto"/>
        </w:rPr>
      </w:pPr>
    </w:p>
    <w:p>
      <w:pPr>
        <w:ind w:left="260" w:right="40" w:hanging="9"/>
        <w:spacing w:after="0" w:line="256" w:lineRule="auto"/>
        <w:tabs>
          <w:tab w:leader="none" w:pos="5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Equity compensation plans approved by stockholders include the 2000 Equity Incentive Plan, as amended and the 2012 Equity Incentive Plan. Prior to our IPO, we issued securities under our 2000 Equity Incentive Plan, as amended. Following our IPO, we issued securities under our 2012 Equity Incentive Plan.</w:t>
      </w:r>
    </w:p>
    <w:p>
      <w:pPr>
        <w:sectPr>
          <w:pgSz w:w="11900" w:h="16838" w:orient="portrait"/>
          <w:cols w:equalWidth="0" w:num="1">
            <w:col w:w="11420"/>
          </w:cols>
          <w:pgMar w:left="240" w:top="141" w:right="239" w:bottom="1440" w:gutter="0" w:footer="0" w:header="0"/>
          <w:type w:val="continuous"/>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141" w:right="23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following graph shows a comparison from December 31, 2012 through December 31, 2017 of the cumulative total return for an investment of $100 (and the reinvestment of dividends) in our common stock, the NASDAQ Global Select Market and the NASDAQ Computer. Such returns are based on historical results and are not intended to suggest future performance.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COMPARISON OF CUMULATIVE TOTAL RETURN*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Among Qualys, Inc., NASDAQ-Global Select Market Composite Index, and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226175" cy="3679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26175" cy="367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 31, 2012</w:t>
            </w:r>
          </w:p>
        </w:tc>
        <w:tc>
          <w:tcPr>
            <w:tcW w:w="12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Dec 31, 2013</w:t>
            </w:r>
          </w:p>
        </w:tc>
        <w:tc>
          <w:tcPr>
            <w:tcW w:w="22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Dec 31, 2014</w:t>
            </w:r>
          </w:p>
        </w:tc>
        <w:tc>
          <w:tcPr>
            <w:tcW w:w="2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Dec 31, 2015</w:t>
            </w:r>
          </w:p>
        </w:tc>
        <w:tc>
          <w:tcPr>
            <w:tcW w:w="12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 31, 2016</w:t>
            </w:r>
          </w:p>
        </w:tc>
        <w:tc>
          <w:tcPr>
            <w:tcW w:w="1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Dec 31, 2017</w:t>
            </w:r>
          </w:p>
        </w:tc>
      </w:tr>
      <w:tr>
        <w:trPr>
          <w:trHeight w:val="270"/>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Qualys, Inc.</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156.25</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255.24</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223.73</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214.00</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401.28</w:t>
            </w:r>
          </w:p>
        </w:tc>
      </w:tr>
      <w:tr>
        <w:trPr>
          <w:trHeight w:val="260"/>
        </w:trPr>
        <w:tc>
          <w:tcPr>
            <w:tcW w:w="3300" w:type="dxa"/>
            <w:vAlign w:val="bottom"/>
          </w:tcPr>
          <w:p>
            <w:pPr>
              <w:ind w:left="20"/>
              <w:spacing w:after="0"/>
              <w:rPr>
                <w:sz w:val="20"/>
                <w:szCs w:val="20"/>
                <w:color w:val="auto"/>
              </w:rPr>
            </w:pPr>
            <w:r>
              <w:rPr>
                <w:rFonts w:ascii="Arial" w:cs="Arial" w:eastAsia="Arial" w:hAnsi="Arial"/>
                <w:sz w:val="16"/>
                <w:szCs w:val="16"/>
                <w:color w:val="auto"/>
              </w:rPr>
              <w:t>NASDAQ Global Select Market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138.00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156.90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166.49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179.13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230.05</w:t>
            </w:r>
          </w:p>
        </w:tc>
      </w:tr>
      <w:tr>
        <w:trPr>
          <w:trHeight w:val="28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NASDAQ Computer</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131.95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158.17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261.81</w:t>
            </w:r>
          </w:p>
        </w:tc>
      </w:tr>
    </w:tbl>
    <w:p>
      <w:pPr>
        <w:spacing w:after="0" w:line="10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information on the above Stock Price Performance Graph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Securities and Exchange Commission, whether made before or after the date of this Annual Report on Form 10-K, regardless of any general incorporation language in such filing, except as shall be expressly set forth by specific reference in such filing.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shares of our common stock were repurchased during the fourth quarter of 2017.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Consolidated Financial Data</w:t>
      </w:r>
    </w:p>
    <w:p>
      <w:pPr>
        <w:spacing w:after="0" w:line="26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following selected consolidated financial data should be read in conjunction with "Item 7. Management’s Discussion and Analysis of Financial Condition and Results of Operations” and our consolidated financial statements, related notes and other financial information included elsewhere in this Annual Report on Form 10-K. Our historical results are not necessarily indicative of the results that may be expected in the future, and the results for the year ended December 31, 2017 are not necessarily indicative of operating results to be expected for any other period.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center"/>
              <w:ind w:left="459"/>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64"/>
        </w:trPr>
        <w:tc>
          <w:tcPr>
            <w:tcW w:w="5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2015</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r>
      <w:tr>
        <w:trPr>
          <w:trHeight w:val="237"/>
        </w:trPr>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gridSpan w:val="5"/>
          </w:tcPr>
          <w:p>
            <w:pPr>
              <w:jc w:val="center"/>
              <w:ind w:right="199"/>
              <w:spacing w:after="0"/>
              <w:rPr>
                <w:sz w:val="20"/>
                <w:szCs w:val="20"/>
                <w:color w:val="auto"/>
              </w:rPr>
            </w:pPr>
            <w:r>
              <w:rPr>
                <w:rFonts w:ascii="Arial" w:cs="Arial" w:eastAsia="Arial" w:hAnsi="Arial"/>
                <w:sz w:val="16"/>
                <w:szCs w:val="16"/>
                <w:b w:val="1"/>
                <w:bCs w:val="1"/>
                <w:color w:val="auto"/>
              </w:rPr>
              <w:t>(in thousands, except per share data)</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0"/>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0"/>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230,828</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197,925</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164,284</w:t>
            </w:r>
          </w:p>
        </w:tc>
        <w:tc>
          <w:tcPr>
            <w:tcW w:w="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133,579</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107,962</w:t>
            </w:r>
          </w:p>
        </w:tc>
      </w:tr>
      <w:tr>
        <w:trPr>
          <w:trHeight w:val="260"/>
        </w:trPr>
        <w:tc>
          <w:tcPr>
            <w:tcW w:w="528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37,243</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30,107</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24,806</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9,247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2,309</w:t>
            </w:r>
          </w:p>
        </w:tc>
      </w:tr>
      <w:tr>
        <w:trPr>
          <w:trHeight w:val="280"/>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40,440</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19,224</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15,865</w:t>
            </w:r>
          </w:p>
        </w:tc>
        <w:tc>
          <w:tcPr>
            <w:tcW w:w="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30,244</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1,541</w:t>
            </w:r>
          </w:p>
        </w:tc>
      </w:tr>
      <w:tr>
        <w:trPr>
          <w:trHeight w:val="270"/>
        </w:trPr>
        <w:tc>
          <w:tcPr>
            <w:tcW w:w="5280" w:type="dxa"/>
            <w:vAlign w:val="bottom"/>
          </w:tcPr>
          <w:p>
            <w:pPr>
              <w:ind w:left="40"/>
              <w:spacing w:after="0"/>
              <w:rPr>
                <w:sz w:val="20"/>
                <w:szCs w:val="20"/>
                <w:color w:val="auto"/>
              </w:rPr>
            </w:pPr>
            <w:r>
              <w:rPr>
                <w:rFonts w:ascii="Arial" w:cs="Arial" w:eastAsia="Arial" w:hAnsi="Arial"/>
                <w:sz w:val="16"/>
                <w:szCs w:val="16"/>
                <w:color w:val="auto"/>
              </w:rPr>
              <w:t xml:space="preserve">Net income per share attributable to common stockholders: </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5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1.08</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0.55</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0.47</w:t>
            </w:r>
          </w:p>
        </w:tc>
        <w:tc>
          <w:tcPr>
            <w:tcW w:w="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0.92</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r>
      <w:tr>
        <w:trPr>
          <w:trHeight w:val="251"/>
        </w:trPr>
        <w:tc>
          <w:tcPr>
            <w:tcW w:w="5280" w:type="dxa"/>
            <w:vAlign w:val="bottom"/>
          </w:tcPr>
          <w:p>
            <w:pPr>
              <w:ind w:left="38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1.01</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0.50</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0.42</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0.81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0.04</w:t>
            </w: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79"/>
              <w:spacing w:after="0"/>
              <w:rPr>
                <w:sz w:val="20"/>
                <w:szCs w:val="20"/>
                <w:color w:val="auto"/>
              </w:rPr>
            </w:pPr>
            <w:r>
              <w:rPr>
                <w:rFonts w:ascii="Arial" w:cs="Arial" w:eastAsia="Arial" w:hAnsi="Arial"/>
                <w:sz w:val="16"/>
                <w:szCs w:val="16"/>
                <w:b w:val="1"/>
                <w:bCs w:val="1"/>
                <w:color w:val="auto"/>
              </w:rPr>
              <w:t>As of December 31,</w:t>
            </w: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64"/>
        </w:trPr>
        <w:tc>
          <w:tcPr>
            <w:tcW w:w="52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2015</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2013</w:t>
            </w:r>
          </w:p>
        </w:tc>
      </w:tr>
      <w:tr>
        <w:trPr>
          <w:trHeight w:val="237"/>
        </w:trPr>
        <w:tc>
          <w:tcPr>
            <w:tcW w:w="5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80"/>
        </w:trPr>
        <w:tc>
          <w:tcPr>
            <w:tcW w:w="5240" w:type="dxa"/>
            <w:vAlign w:val="bottom"/>
          </w:tcPr>
          <w:p>
            <w:pPr>
              <w:ind w:left="40"/>
              <w:spacing w:after="0"/>
              <w:rPr>
                <w:sz w:val="20"/>
                <w:szCs w:val="20"/>
                <w:color w:val="auto"/>
              </w:rPr>
            </w:pPr>
            <w:r>
              <w:rPr>
                <w:rFonts w:ascii="Arial" w:cs="Arial" w:eastAsia="Arial" w:hAnsi="Arial"/>
                <w:sz w:val="16"/>
                <w:szCs w:val="16"/>
                <w:b w:val="1"/>
                <w:bCs w:val="1"/>
                <w:color w:val="auto"/>
              </w:rPr>
              <w:t>Consolidated Balance Sheet Data:</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0"/>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cash equivalents and short-term investments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288,414</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243,856</w:t>
            </w: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178,966</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127,218</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97,196</w:t>
            </w:r>
          </w:p>
        </w:tc>
      </w:tr>
      <w:tr>
        <w:trPr>
          <w:trHeight w:val="260"/>
        </w:trPr>
        <w:tc>
          <w:tcPr>
            <w:tcW w:w="524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2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67,224</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45,725</w:t>
            </w:r>
          </w:p>
        </w:tc>
        <w:tc>
          <w:tcPr>
            <w:tcW w:w="46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43,277</w:t>
            </w:r>
          </w:p>
        </w:tc>
        <w:tc>
          <w:tcPr>
            <w:tcW w:w="30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39,448</w:t>
            </w:r>
          </w:p>
        </w:tc>
        <w:tc>
          <w:tcPr>
            <w:tcW w:w="3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35,608</w:t>
            </w:r>
          </w:p>
        </w:tc>
      </w:tr>
      <w:tr>
        <w:trPr>
          <w:trHeight w:val="280"/>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537,525</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407,004</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323,514</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260,024</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192,603</w:t>
            </w:r>
          </w:p>
        </w:tc>
      </w:tr>
      <w:tr>
        <w:trPr>
          <w:trHeight w:val="260"/>
        </w:trPr>
        <w:tc>
          <w:tcPr>
            <w:tcW w:w="5240" w:type="dxa"/>
            <w:vAlign w:val="bottom"/>
          </w:tcPr>
          <w:p>
            <w:pPr>
              <w:ind w:left="40"/>
              <w:spacing w:after="0"/>
              <w:rPr>
                <w:sz w:val="20"/>
                <w:szCs w:val="20"/>
                <w:color w:val="auto"/>
              </w:rPr>
            </w:pPr>
            <w:r>
              <w:rPr>
                <w:rFonts w:ascii="Arial" w:cs="Arial" w:eastAsia="Arial" w:hAnsi="Arial"/>
                <w:sz w:val="16"/>
                <w:szCs w:val="16"/>
                <w:color w:val="auto"/>
              </w:rPr>
              <w:t>Deferred revenues, current</w:t>
            </w:r>
          </w:p>
        </w:tc>
        <w:tc>
          <w:tcPr>
            <w:tcW w:w="2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143,186</w:t>
            </w:r>
          </w:p>
        </w:tc>
        <w:tc>
          <w:tcPr>
            <w:tcW w:w="3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114,964</w:t>
            </w:r>
          </w:p>
        </w:tc>
        <w:tc>
          <w:tcPr>
            <w:tcW w:w="46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98,025</w:t>
            </w:r>
          </w:p>
        </w:tc>
        <w:tc>
          <w:tcPr>
            <w:tcW w:w="300" w:type="dxa"/>
            <w:vAlign w:val="bottom"/>
          </w:tcPr>
          <w:p>
            <w:pPr>
              <w:spacing w:after="0"/>
              <w:rPr>
                <w:sz w:val="22"/>
                <w:szCs w:val="22"/>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81,147</w:t>
            </w:r>
          </w:p>
        </w:tc>
        <w:tc>
          <w:tcPr>
            <w:tcW w:w="3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67,505</w:t>
            </w:r>
          </w:p>
        </w:tc>
      </w:tr>
      <w:tr>
        <w:trPr>
          <w:trHeight w:val="280"/>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revenues, noncurrent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17,136</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15,528</w:t>
            </w:r>
          </w:p>
        </w:tc>
        <w:tc>
          <w:tcPr>
            <w:tcW w:w="4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14,564</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10,064</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8,889</w:t>
            </w:r>
          </w:p>
        </w:tc>
      </w:tr>
      <w:tr>
        <w:trPr>
          <w:trHeight w:val="251"/>
        </w:trPr>
        <w:tc>
          <w:tcPr>
            <w:tcW w:w="52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26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343,544</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258,413</w:t>
            </w:r>
          </w:p>
        </w:tc>
        <w:tc>
          <w:tcPr>
            <w:tcW w:w="460" w:type="dxa"/>
            <w:vAlign w:val="bottom"/>
          </w:tcPr>
          <w:p>
            <w:pPr>
              <w:spacing w:after="0"/>
              <w:rPr>
                <w:sz w:val="21"/>
                <w:szCs w:val="21"/>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195,566</w:t>
            </w:r>
          </w:p>
        </w:tc>
        <w:tc>
          <w:tcPr>
            <w:tcW w:w="300" w:type="dxa"/>
            <w:vAlign w:val="bottom"/>
          </w:tcPr>
          <w:p>
            <w:pPr>
              <w:spacing w:after="0"/>
              <w:rPr>
                <w:sz w:val="21"/>
                <w:szCs w:val="21"/>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151,827</w:t>
            </w:r>
          </w:p>
        </w:tc>
        <w:tc>
          <w:tcPr>
            <w:tcW w:w="3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103,117</w:t>
            </w:r>
          </w:p>
        </w:tc>
      </w:tr>
    </w:tbl>
    <w:p>
      <w:pPr>
        <w:spacing w:after="0" w:line="238" w:lineRule="exact"/>
        <w:rPr>
          <w:sz w:val="20"/>
          <w:szCs w:val="20"/>
          <w:color w:val="auto"/>
        </w:rPr>
      </w:pPr>
    </w:p>
    <w:p>
      <w:pPr>
        <w:ind w:left="340" w:right="160" w:hanging="332"/>
        <w:spacing w:after="0" w:line="210"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See Notes 1 and 12 to our consolidated financial statements included elsewhere in this Annual Report on Form 10-K for an explanation of the calculation of our basic and diluted income per share attributable to common stockholders.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3" w:lineRule="exact"/>
        <w:rPr>
          <w:sz w:val="20"/>
          <w:szCs w:val="20"/>
          <w:color w:val="auto"/>
        </w:rPr>
      </w:pPr>
    </w:p>
    <w:p>
      <w:pPr>
        <w:jc w:val="both"/>
        <w:ind w:left="500" w:firstLine="405"/>
        <w:spacing w:after="0" w:line="257" w:lineRule="auto"/>
        <w:rPr>
          <w:sz w:val="20"/>
          <w:szCs w:val="20"/>
          <w:color w:val="auto"/>
        </w:rPr>
      </w:pPr>
      <w:r>
        <w:rPr>
          <w:rFonts w:ascii="Arial" w:cs="Arial" w:eastAsia="Arial" w:hAnsi="Arial"/>
          <w:sz w:val="18"/>
          <w:szCs w:val="18"/>
          <w:i w:val="1"/>
          <w:iCs w:val="1"/>
          <w:color w:val="231F20"/>
        </w:rPr>
        <w:t>You should read the following discussion in conjunction with the section titled "Selected Consolidated Financial Data" and our consolidated financial statements and the related notes included elsewhere in this Annual Report on Form 10-K. In addition to historical information, this discussion contains forward-looking statements that involve risks and uncertainties that could cause our actual results to differ materially from our expectations, as discussed in "Forward-Looking Statements" in Part I of this Annual Report on Form 10-K. Factors that could cause such differences include, but are not limited to, those described in the section titled "Risk Factors" and elsewhere in this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47" w:lineRule="exact"/>
        <w:rPr>
          <w:sz w:val="20"/>
          <w:szCs w:val="20"/>
          <w:color w:val="auto"/>
        </w:rPr>
      </w:pPr>
    </w:p>
    <w:p>
      <w:pPr>
        <w:jc w:val="both"/>
        <w:ind w:left="340" w:firstLine="405"/>
        <w:spacing w:after="0" w:line="251" w:lineRule="auto"/>
        <w:rPr>
          <w:sz w:val="20"/>
          <w:szCs w:val="20"/>
          <w:color w:val="auto"/>
        </w:rPr>
      </w:pPr>
      <w:r>
        <w:rPr>
          <w:rFonts w:ascii="Arial" w:cs="Arial" w:eastAsia="Arial" w:hAnsi="Arial"/>
          <w:sz w:val="18"/>
          <w:szCs w:val="18"/>
          <w:color w:val="231F20"/>
        </w:rPr>
        <w:t xml:space="preserve">We </w:t>
      </w:r>
      <w:r>
        <w:rPr>
          <w:rFonts w:ascii="Arial" w:cs="Arial" w:eastAsia="Arial" w:hAnsi="Arial"/>
          <w:sz w:val="18"/>
          <w:szCs w:val="18"/>
          <w:color w:val="000000"/>
        </w:rPr>
        <w:t>are a pioneer and leading provider of a cloud-based platform delivering security and compliance solutions that enable</w:t>
      </w:r>
      <w:r>
        <w:rPr>
          <w:rFonts w:ascii="Arial" w:cs="Arial" w:eastAsia="Arial" w:hAnsi="Arial"/>
          <w:sz w:val="18"/>
          <w:szCs w:val="18"/>
          <w:color w:val="231F20"/>
        </w:rPr>
        <w:t xml:space="preserve"> </w:t>
      </w:r>
      <w:r>
        <w:rPr>
          <w:rFonts w:ascii="Arial" w:cs="Arial" w:eastAsia="Arial" w:hAnsi="Arial"/>
          <w:sz w:val="18"/>
          <w:szCs w:val="18"/>
          <w:color w:val="000000"/>
        </w:rPr>
        <w:t>organizations to identify security risks to their information technology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 cloud platform to cost-effectively obtain a unified view of their security and compliance posture across globally-distributed IT infrastructures as our solution offers a single platform for information security, application security, endpoint, developer security and cloud teams.</w:t>
      </w:r>
    </w:p>
    <w:p>
      <w:pPr>
        <w:spacing w:after="0" w:line="212" w:lineRule="exact"/>
        <w:rPr>
          <w:sz w:val="20"/>
          <w:szCs w:val="20"/>
          <w:color w:val="auto"/>
        </w:rPr>
      </w:pPr>
    </w:p>
    <w:p>
      <w:pPr>
        <w:jc w:val="both"/>
        <w:ind w:left="340" w:firstLine="405"/>
        <w:spacing w:after="0" w:line="251" w:lineRule="auto"/>
        <w:rPr>
          <w:sz w:val="20"/>
          <w:szCs w:val="20"/>
          <w:color w:val="auto"/>
        </w:rPr>
      </w:pPr>
      <w:r>
        <w:rPr>
          <w:rFonts w:ascii="Arial" w:cs="Arial" w:eastAsia="Arial" w:hAnsi="Arial"/>
          <w:sz w:val="18"/>
          <w:szCs w:val="18"/>
          <w:color w:val="231F20"/>
        </w:rPr>
        <w:t xml:space="preserve">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new solutions to help customers manage increasing IT security and compliance requirements. Today, the suite of solutions offered on our cloud platform, which we refer to as the Qualys Cloud Apps, includes: Asset Inventory (AI), CMDB Sync (SYN), VM, Continuous Monitoring (CM), Cloud Agent Platform (CAP), Threat Protection (TP), Security Configuration Assessment (SCA), Indication of Compromise (IOC), Policy Compliance (PC), PCI Compliance (PCI), Security Assessment Questionnaire (SAQ), File Integrity Monitoring (FIM), Web Application Scanning (WAS) and Web Application Firewall (WAF). Our VM solutions (including VM, AI, SYN, CM, TP, Cloud Agent for VM, allocated scanner revenue and Qualys Private Cloud Platform) have provided a substantial majority of our revenues to date, representing 75%, 76% and 77% of total revenues in </w:t>
      </w:r>
      <w:r>
        <w:rPr>
          <w:rFonts w:ascii="Arial" w:cs="Arial" w:eastAsia="Arial" w:hAnsi="Arial"/>
          <w:sz w:val="18"/>
          <w:szCs w:val="18"/>
          <w:color w:val="000000"/>
        </w:rPr>
        <w:t>2017</w:t>
      </w:r>
      <w:r>
        <w:rPr>
          <w:rFonts w:ascii="Arial" w:cs="Arial" w:eastAsia="Arial" w:hAnsi="Arial"/>
          <w:sz w:val="18"/>
          <w:szCs w:val="18"/>
          <w:color w:val="231F20"/>
        </w:rPr>
        <w:t xml:space="preserve">, </w:t>
      </w:r>
      <w:r>
        <w:rPr>
          <w:rFonts w:ascii="Arial" w:cs="Arial" w:eastAsia="Arial" w:hAnsi="Arial"/>
          <w:sz w:val="18"/>
          <w:szCs w:val="18"/>
          <w:color w:val="000000"/>
        </w:rPr>
        <w:t>2016</w:t>
      </w:r>
      <w:r>
        <w:rPr>
          <w:rFonts w:ascii="Arial" w:cs="Arial" w:eastAsia="Arial" w:hAnsi="Arial"/>
          <w:sz w:val="18"/>
          <w:szCs w:val="18"/>
          <w:color w:val="231F20"/>
        </w:rPr>
        <w:t xml:space="preserve"> and </w:t>
      </w:r>
      <w:r>
        <w:rPr>
          <w:rFonts w:ascii="Arial" w:cs="Arial" w:eastAsia="Arial" w:hAnsi="Arial"/>
          <w:sz w:val="18"/>
          <w:szCs w:val="18"/>
          <w:color w:val="000000"/>
        </w:rPr>
        <w:t>2015</w:t>
      </w:r>
      <w:r>
        <w:rPr>
          <w:rFonts w:ascii="Arial" w:cs="Arial" w:eastAsia="Arial" w:hAnsi="Arial"/>
          <w:sz w:val="18"/>
          <w:szCs w:val="18"/>
          <w:color w:val="231F20"/>
        </w:rPr>
        <w:t>, respectively.</w:t>
      </w:r>
    </w:p>
    <w:p>
      <w:pPr>
        <w:spacing w:after="0" w:line="213" w:lineRule="exact"/>
        <w:rPr>
          <w:sz w:val="20"/>
          <w:szCs w:val="20"/>
          <w:color w:val="auto"/>
        </w:rPr>
      </w:pPr>
    </w:p>
    <w:p>
      <w:pPr>
        <w:jc w:val="both"/>
        <w:ind w:left="340" w:firstLine="405"/>
        <w:spacing w:after="0" w:line="252"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We continue to experience significant revenue growth from existing customers as they renew and purchase additional subscriptions</w:t>
      </w:r>
      <w:r>
        <w:rPr>
          <w:rFonts w:ascii="Arial" w:cs="Arial" w:eastAsia="Arial" w:hAnsi="Arial"/>
          <w:sz w:val="18"/>
          <w:szCs w:val="18"/>
          <w:color w:val="000000"/>
        </w:rPr>
        <w:t>. Revenues from customers existing at or prior to December 31, 2016 grew by $21.5 million to $219.4 million during 2017.</w:t>
      </w:r>
      <w:r>
        <w:rPr>
          <w:rFonts w:ascii="Arial" w:cs="Arial" w:eastAsia="Arial" w:hAnsi="Arial"/>
          <w:sz w:val="18"/>
          <w:szCs w:val="18"/>
          <w:color w:val="231F20"/>
        </w:rPr>
        <w:t xml:space="preserve"> </w:t>
      </w:r>
      <w:r>
        <w:rPr>
          <w:rFonts w:ascii="Arial" w:cs="Arial" w:eastAsia="Arial" w:hAnsi="Arial"/>
          <w:sz w:val="18"/>
          <w:szCs w:val="18"/>
          <w:color w:val="000000"/>
        </w:rPr>
        <w:t>Subscriptions from new customers added in 2017 contributed $11.4 million to the increase in revenues. We expect revenue growth from existing and new customers to continue.</w:t>
      </w:r>
    </w:p>
    <w:p>
      <w:pPr>
        <w:spacing w:after="0" w:line="207" w:lineRule="exact"/>
        <w:rPr>
          <w:sz w:val="20"/>
          <w:szCs w:val="20"/>
          <w:color w:val="auto"/>
        </w:rPr>
      </w:pPr>
    </w:p>
    <w:p>
      <w:pPr>
        <w:jc w:val="both"/>
        <w:ind w:left="340" w:firstLine="405"/>
        <w:spacing w:after="0" w:line="252" w:lineRule="auto"/>
        <w:rPr>
          <w:sz w:val="20"/>
          <w:szCs w:val="20"/>
          <w:color w:val="auto"/>
        </w:rPr>
      </w:pPr>
      <w:r>
        <w:rPr>
          <w:rFonts w:ascii="Arial" w:cs="Arial" w:eastAsia="Arial" w:hAnsi="Arial"/>
          <w:sz w:val="18"/>
          <w:szCs w:val="18"/>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As of December 31, 2017, we had over 10,300 customers in more than 130 countries, including a majority of each of the Forbes Global 100 and Fortune 100. In 2017, 2016 and 2015, approximately 70%, 71% and 70%, respectively,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207" w:lineRule="exact"/>
        <w:rPr>
          <w:sz w:val="20"/>
          <w:szCs w:val="20"/>
          <w:color w:val="auto"/>
        </w:rPr>
      </w:pPr>
    </w:p>
    <w:p>
      <w:pPr>
        <w:jc w:val="both"/>
        <w:ind w:left="340" w:firstLine="405"/>
        <w:spacing w:after="0" w:line="256" w:lineRule="auto"/>
        <w:rPr>
          <w:sz w:val="20"/>
          <w:szCs w:val="20"/>
          <w:color w:val="auto"/>
        </w:rPr>
      </w:pPr>
      <w:r>
        <w:rPr>
          <w:rFonts w:ascii="Arial" w:cs="Arial" w:eastAsia="Arial" w:hAnsi="Arial"/>
          <w:sz w:val="18"/>
          <w:szCs w:val="18"/>
          <w:color w:val="auto"/>
        </w:rPr>
        <w:t>We have had continued revenue growth over the past three years. Our revenues increased from $164.3 million in 2015 to $197.9 million in 2016, and reached $230.8 million in 2017, representing period-over-period increases of $33.6 million and $32.9 million, or 20% and 17%, respectively. We generated net income of $15.9 million in 2015, $19.2 million in 2016, and $40.4 million in 2017.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In addition to measures of financial performance presented in our consolidated financial statements, we monitor the key metric set forth below to help us evaluate growth trends, establish budgets, measure the effectiveness of our sales and marketing efforts and assess operational efficiencies.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0" w:type="dxa"/>
            <w:vAlign w:val="bottom"/>
            <w:gridSpan w:val="4"/>
          </w:tcPr>
          <w:p>
            <w:pPr>
              <w:jc w:val="center"/>
              <w:ind w:left="7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Pr>
          <w:p>
            <w:pPr>
              <w:spacing w:after="0"/>
              <w:rPr>
                <w:sz w:val="18"/>
                <w:szCs w:val="18"/>
                <w:color w:val="auto"/>
              </w:rPr>
            </w:pPr>
          </w:p>
        </w:tc>
      </w:tr>
      <w:tr>
        <w:trPr>
          <w:trHeight w:val="283"/>
        </w:trPr>
        <w:tc>
          <w:tcPr>
            <w:tcW w:w="6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2016</w:t>
            </w: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6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84,933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67,966</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56,660</w:t>
            </w: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20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(benefit from) income taxes, (3) depreciation and amortization of property and equipment, (4) amortization of intangible assets, (5) stock-based compensation, (6) non-recurring expenses and (7) acquisition-related expenses that do not reflect ongoing costs of operating the business.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unaudited table presents the reconciliation of net income to Adjusted EBITDA for each of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center"/>
              <w:ind w:right="159"/>
              <w:spacing w:after="0"/>
              <w:rPr>
                <w:sz w:val="20"/>
                <w:szCs w:val="20"/>
                <w:color w:val="auto"/>
              </w:rPr>
            </w:pPr>
            <w:r>
              <w:rPr>
                <w:rFonts w:ascii="Arial" w:cs="Arial" w:eastAsia="Arial" w:hAnsi="Arial"/>
                <w:sz w:val="16"/>
                <w:szCs w:val="16"/>
                <w:color w:val="auto"/>
              </w:rPr>
              <w:t>Year Ended December 31,</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6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2016</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47"/>
        </w:trPr>
        <w:tc>
          <w:tcPr>
            <w:tcW w:w="6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color w:val="auto"/>
              </w:rPr>
              <w:t>(in thousands)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6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40,440</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19,224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15,865</w:t>
            </w:r>
          </w:p>
        </w:tc>
        <w:tc>
          <w:tcPr>
            <w:tcW w:w="0" w:type="dxa"/>
            <w:vAlign w:val="bottom"/>
          </w:tcPr>
          <w:p>
            <w:pPr>
              <w:spacing w:after="0"/>
              <w:rPr>
                <w:sz w:val="1"/>
                <w:szCs w:val="1"/>
                <w:color w:val="auto"/>
              </w:rPr>
            </w:pPr>
          </w:p>
        </w:tc>
      </w:tr>
      <w:tr>
        <w:trPr>
          <w:trHeight w:val="264"/>
        </w:trPr>
        <w:tc>
          <w:tcPr>
            <w:tcW w:w="6620" w:type="dxa"/>
            <w:vAlign w:val="bottom"/>
          </w:tcPr>
          <w:p>
            <w:pPr>
              <w:ind w:left="380"/>
              <w:spacing w:after="0"/>
              <w:rPr>
                <w:sz w:val="20"/>
                <w:szCs w:val="20"/>
                <w:color w:val="auto"/>
              </w:rPr>
            </w:pPr>
            <w:r>
              <w:rPr>
                <w:rFonts w:ascii="Arial" w:cs="Arial" w:eastAsia="Arial" w:hAnsi="Arial"/>
                <w:sz w:val="14"/>
                <w:szCs w:val="14"/>
                <w:color w:val="auto"/>
              </w:rPr>
              <w:t>Depreciation and amortization of property and equipment</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19,828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16,621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13,974</w:t>
            </w:r>
          </w:p>
        </w:tc>
        <w:tc>
          <w:tcPr>
            <w:tcW w:w="0" w:type="dxa"/>
            <w:vAlign w:val="bottom"/>
          </w:tcPr>
          <w:p>
            <w:pPr>
              <w:spacing w:after="0"/>
              <w:rPr>
                <w:sz w:val="1"/>
                <w:szCs w:val="1"/>
                <w:color w:val="auto"/>
              </w:rPr>
            </w:pPr>
          </w:p>
        </w:tc>
      </w:tr>
      <w:tr>
        <w:trPr>
          <w:trHeight w:val="276"/>
        </w:trPr>
        <w:tc>
          <w:tcPr>
            <w:tcW w:w="6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 of intangible assets</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386</w:t>
            </w:r>
          </w:p>
        </w:tc>
        <w:tc>
          <w:tcPr>
            <w:tcW w:w="0" w:type="dxa"/>
            <w:vAlign w:val="bottom"/>
          </w:tcPr>
          <w:p>
            <w:pPr>
              <w:spacing w:after="0"/>
              <w:rPr>
                <w:sz w:val="1"/>
                <w:szCs w:val="1"/>
                <w:color w:val="auto"/>
              </w:rPr>
            </w:pPr>
          </w:p>
        </w:tc>
      </w:tr>
      <w:tr>
        <w:trPr>
          <w:trHeight w:val="264"/>
        </w:trPr>
        <w:tc>
          <w:tcPr>
            <w:tcW w:w="662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6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(Benefit from) provision for income taxes</w:t>
            </w:r>
          </w:p>
        </w:tc>
        <w:tc>
          <w:tcPr>
            <w:tcW w:w="3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11,205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8,655</w:t>
            </w:r>
          </w:p>
        </w:tc>
        <w:tc>
          <w:tcPr>
            <w:tcW w:w="0" w:type="dxa"/>
            <w:vAlign w:val="bottom"/>
          </w:tcPr>
          <w:p>
            <w:pPr>
              <w:spacing w:after="0"/>
              <w:rPr>
                <w:sz w:val="1"/>
                <w:szCs w:val="1"/>
                <w:color w:val="auto"/>
              </w:rPr>
            </w:pPr>
          </w:p>
        </w:tc>
      </w:tr>
      <w:tr>
        <w:trPr>
          <w:trHeight w:val="250"/>
        </w:trPr>
        <w:tc>
          <w:tcPr>
            <w:tcW w:w="6620" w:type="dxa"/>
            <w:vAlign w:val="bottom"/>
          </w:tcPr>
          <w:p>
            <w:pPr>
              <w:ind w:left="40"/>
              <w:spacing w:after="0"/>
              <w:rPr>
                <w:sz w:val="20"/>
                <w:szCs w:val="20"/>
                <w:color w:val="auto"/>
              </w:rPr>
            </w:pPr>
            <w:r>
              <w:rPr>
                <w:rFonts w:ascii="Arial" w:cs="Arial" w:eastAsia="Arial" w:hAnsi="Arial"/>
                <w:sz w:val="14"/>
                <w:szCs w:val="14"/>
                <w:color w:val="auto"/>
              </w:rPr>
              <w:t>EBITDA</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60,017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47,449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38,886</w:t>
            </w:r>
          </w:p>
        </w:tc>
        <w:tc>
          <w:tcPr>
            <w:tcW w:w="0" w:type="dxa"/>
            <w:vAlign w:val="bottom"/>
          </w:tcPr>
          <w:p>
            <w:pPr>
              <w:spacing w:after="0"/>
              <w:rPr>
                <w:sz w:val="1"/>
                <w:szCs w:val="1"/>
                <w:color w:val="auto"/>
              </w:rPr>
            </w:pPr>
          </w:p>
        </w:tc>
      </w:tr>
      <w:tr>
        <w:trPr>
          <w:trHeight w:val="276"/>
        </w:trPr>
        <w:tc>
          <w:tcPr>
            <w:tcW w:w="6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w:t>
            </w: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20,149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17,494</w:t>
            </w:r>
          </w:p>
        </w:tc>
        <w:tc>
          <w:tcPr>
            <w:tcW w:w="0" w:type="dxa"/>
            <w:vAlign w:val="bottom"/>
          </w:tcPr>
          <w:p>
            <w:pPr>
              <w:spacing w:after="0"/>
              <w:rPr>
                <w:sz w:val="1"/>
                <w:szCs w:val="1"/>
                <w:color w:val="auto"/>
              </w:rPr>
            </w:pPr>
          </w:p>
        </w:tc>
      </w:tr>
      <w:tr>
        <w:trPr>
          <w:trHeight w:val="264"/>
        </w:trPr>
        <w:tc>
          <w:tcPr>
            <w:tcW w:w="6620" w:type="dxa"/>
            <w:vAlign w:val="bottom"/>
          </w:tcPr>
          <w:p>
            <w:pPr>
              <w:ind w:left="380"/>
              <w:spacing w:after="0"/>
              <w:rPr>
                <w:sz w:val="20"/>
                <w:szCs w:val="20"/>
                <w:color w:val="auto"/>
              </w:rPr>
            </w:pPr>
            <w:r>
              <w:rPr>
                <w:rFonts w:ascii="Arial" w:cs="Arial" w:eastAsia="Arial" w:hAnsi="Arial"/>
                <w:sz w:val="14"/>
                <w:szCs w:val="14"/>
                <w:color w:val="auto"/>
              </w:rPr>
              <w:t>Other (income) expense, net</w:t>
            </w: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(2,138)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(348)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306"/>
        </w:trPr>
        <w:tc>
          <w:tcPr>
            <w:tcW w:w="6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Acquisition-related expense</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5"/>
        </w:trPr>
        <w:tc>
          <w:tcPr>
            <w:tcW w:w="66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60" w:type="dxa"/>
            <w:vAlign w:val="bottom"/>
            <w:gridSpan w:val="2"/>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6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One-time tax related expense</w:t>
            </w:r>
            <w:r>
              <w:rPr>
                <w:rFonts w:ascii="Arial" w:cs="Arial" w:eastAsia="Arial" w:hAnsi="Arial"/>
                <w:sz w:val="21"/>
                <w:szCs w:val="21"/>
                <w:color w:val="auto"/>
                <w:vertAlign w:val="superscript"/>
              </w:rPr>
              <w:t>(2)</w:t>
            </w: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716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Adjusted EBITDA</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84,933</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67,966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56,660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Adjusted EBITDA for 2017 excludes approximately $0.1 million of compensation expense from the acquisition of NetWatcher.</w:t>
      </w:r>
    </w:p>
    <w:p>
      <w:pPr>
        <w:spacing w:after="0" w:line="15" w:lineRule="exact"/>
        <w:rPr>
          <w:rFonts w:ascii="Arial" w:cs="Arial" w:eastAsia="Arial" w:hAnsi="Arial"/>
          <w:sz w:val="14"/>
          <w:szCs w:val="14"/>
          <w:i w:val="1"/>
          <w:iCs w:val="1"/>
          <w:color w:val="auto"/>
        </w:rPr>
      </w:pPr>
    </w:p>
    <w:p>
      <w:pPr>
        <w:ind w:right="220" w:firstLine="8"/>
        <w:spacing w:after="0" w:line="250" w:lineRule="auto"/>
        <w:tabs>
          <w:tab w:leader="none" w:pos="216"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Adjusted EBITDA for 2016 excludes approximately $0.7 million of a non-recurring expense related to the remittance of payroll taxes from fiscal year 2013 through May 2016. During this same period, we have not excluded any amounts related to other non-recurring items from Adjusted EBITDA because we have considered such amounts to be immaterial.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Limitations of Adjusted EBITDA</w:t>
      </w:r>
    </w:p>
    <w:p>
      <w:pPr>
        <w:spacing w:after="0" w:line="382"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Adjusted EBITDA, a non-GAAP financial measure, has limitations as an analytical tool, and should not be considered in isolation from or as a substitute for the measures presented in accordance with U.S. GAAP. Some of these limitations are:</w:t>
      </w:r>
    </w:p>
    <w:p>
      <w:pPr>
        <w:spacing w:after="0" w:line="19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 and</w:t>
      </w:r>
    </w:p>
    <w:p>
      <w:pPr>
        <w:ind w:left="660" w:hanging="328"/>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196"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Revenues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 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Customers are required to return physical scanner appliances and computer equipment if they do not renew their subscriptions.</w:t>
      </w:r>
    </w:p>
    <w:p>
      <w:pPr>
        <w:spacing w:after="0" w:line="20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amortization of intangibles related to acquisitions,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Research and Development</w:t>
      </w:r>
    </w:p>
    <w:p>
      <w:pPr>
        <w:spacing w:after="0" w:line="24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acquisitions and overhead allocations. All research and development costs are expensed as incurred. We expect to continue to devote substantial resources to research and development in an effort to continuously improve our existing solutions as well as develop new solutions and capabilities and expect that research and development expenses will increase in absolute dollars.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Sales and Marketing</w:t>
      </w:r>
    </w:p>
    <w:p>
      <w:pPr>
        <w:spacing w:after="0" w:line="24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and human resources teams, as well as professional services, insurance, fees, and software licenses. We expect that general and administrative expenses will increase in absolute dollars, as we continue to add personnel and incur professional services to support our growth and compliance with legal requirements.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investments; foreign exchange gains and losses, the majority of which result from fluctuations between the U.S. dollar and the Euro, British Pound and Indian Rupee; losses on disposal of property and equipment; and impairment of long-lived assets.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countries at rates which were generally lower than U.S. tax rates during 2017 and may also be subject to U.S. income taxes. Our effective rates differ from the U.S. statutory rate primarily due to foreign income subject to different tax rates than the U.S., research and development tax credits, non-deductible stock-based compensation expense, excess tax benefits related to stock-based compensation and other adjustments.</w:t>
      </w:r>
    </w:p>
    <w:p>
      <w:pPr>
        <w:spacing w:after="0" w:line="206"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 During 2017, we recognized an expense of $10.4 million as a result of re-measuring deferred tax assets and liabilities using the reduced U.S. federal tax rate of 21% which decreased from 35% due to the enactment of the 2017 Tax Act.</w:t>
      </w:r>
    </w:p>
    <w:p>
      <w:pPr>
        <w:spacing w:after="0" w:line="20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20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Our benefit from income taxes in 2017 </w:t>
      </w:r>
      <w:r>
        <w:rPr>
          <w:rFonts w:ascii="Arial" w:cs="Arial" w:eastAsia="Arial" w:hAnsi="Arial"/>
          <w:sz w:val="18"/>
          <w:szCs w:val="18"/>
          <w:color w:val="000000"/>
        </w:rPr>
        <w:t>consists of a tax benefit for excess tax benefits related to stock-based compensation and</w:t>
      </w:r>
      <w:r>
        <w:rPr>
          <w:rFonts w:ascii="Arial" w:cs="Arial" w:eastAsia="Arial" w:hAnsi="Arial"/>
          <w:sz w:val="18"/>
          <w:szCs w:val="18"/>
          <w:color w:val="231F20"/>
        </w:rPr>
        <w:t xml:space="preserve"> the recognition of our U.S. federal and certain state deferred tax assets including federal research credits. The tax benefit was partially offset by the re-measurement of deferred taxes due to the 2017 Tax Act and income taxes for profits generated in foreign jurisdictions by wholly-owned subsidiaries.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tables set forth selected consolidated statements of operations data for each of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r>
      <w:tr>
        <w:trPr>
          <w:trHeight w:val="224"/>
        </w:trPr>
        <w:tc>
          <w:tcPr>
            <w:tcW w:w="6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ind w:left="10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80"/>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230,828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197,925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164,284</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14"/>
                <w:szCs w:val="14"/>
                <w:color w:val="auto"/>
                <w:vertAlign w:val="superscript"/>
              </w:rPr>
              <w:t>(1)</w:t>
            </w:r>
          </w:p>
        </w:tc>
        <w:tc>
          <w:tcPr>
            <w:tcW w:w="360" w:type="dxa"/>
            <w:vAlign w:val="bottom"/>
            <w:tcBorders>
              <w:bottom w:val="single" w:sz="8" w:color="231F20"/>
            </w:tcBorders>
          </w:tcPr>
          <w:p>
            <w:pPr>
              <w:spacing w:after="0"/>
              <w:rPr>
                <w:sz w:val="22"/>
                <w:szCs w:val="22"/>
                <w:color w:val="auto"/>
              </w:rPr>
            </w:pPr>
          </w:p>
        </w:tc>
        <w:tc>
          <w:tcPr>
            <w:tcW w:w="11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51,580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43,128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auto"/>
              </w:rPr>
              <w:t>34,327</w:t>
            </w:r>
          </w:p>
        </w:tc>
      </w:tr>
      <w:tr>
        <w:trPr>
          <w:trHeight w:val="257"/>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179,248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154,797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129,957</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14"/>
                <w:szCs w:val="14"/>
                <w:color w:val="auto"/>
                <w:vertAlign w:val="superscript"/>
              </w:rPr>
              <w:t>(1)</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42,816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36,591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30,438</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14"/>
                <w:szCs w:val="14"/>
                <w:color w:val="auto"/>
                <w:vertAlign w:val="superscript"/>
              </w:rPr>
              <w:t>(1)</w:t>
            </w:r>
          </w:p>
        </w:tc>
        <w:tc>
          <w:tcPr>
            <w:tcW w:w="3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63,855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58,985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50,397</w:t>
            </w:r>
          </w:p>
        </w:tc>
      </w:tr>
      <w:tr>
        <w:trPr>
          <w:trHeight w:val="273"/>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14"/>
                <w:szCs w:val="14"/>
                <w:color w:val="auto"/>
                <w:vertAlign w:val="superscript"/>
              </w:rPr>
              <w:t>(1)</w:t>
            </w:r>
          </w:p>
        </w:tc>
        <w:tc>
          <w:tcPr>
            <w:tcW w:w="360" w:type="dxa"/>
            <w:vAlign w:val="bottom"/>
            <w:tcBorders>
              <w:bottom w:val="single" w:sz="8" w:color="231F20"/>
            </w:tcBorders>
            <w:shd w:val="clear" w:color="auto" w:fill="CCEEFF"/>
          </w:tcPr>
          <w:p>
            <w:pPr>
              <w:spacing w:after="0"/>
              <w:rPr>
                <w:sz w:val="23"/>
                <w:szCs w:val="23"/>
                <w:color w:val="auto"/>
              </w:rPr>
            </w:pPr>
          </w:p>
        </w:tc>
        <w:tc>
          <w:tcPr>
            <w:tcW w:w="11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auto"/>
              </w:rPr>
              <w:t>35,334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231F20"/>
            </w:tcBorders>
            <w:shd w:val="clear" w:color="auto" w:fill="CCEEFF"/>
          </w:tcPr>
          <w:p>
            <w:pPr>
              <w:spacing w:after="0"/>
              <w:rPr>
                <w:sz w:val="23"/>
                <w:szCs w:val="23"/>
                <w:color w:val="auto"/>
              </w:rPr>
            </w:pPr>
          </w:p>
        </w:tc>
        <w:tc>
          <w:tcPr>
            <w:tcW w:w="112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auto"/>
              </w:rPr>
              <w:t>29,114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231F20"/>
            </w:tcBorders>
            <w:shd w:val="clear" w:color="auto" w:fill="CCEEFF"/>
          </w:tcPr>
          <w:p>
            <w:pPr>
              <w:spacing w:after="0"/>
              <w:rPr>
                <w:sz w:val="23"/>
                <w:szCs w:val="23"/>
                <w:color w:val="auto"/>
              </w:rPr>
            </w:pPr>
          </w:p>
        </w:tc>
        <w:tc>
          <w:tcPr>
            <w:tcW w:w="112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auto"/>
              </w:rPr>
              <w:t>24,316</w:t>
            </w:r>
          </w:p>
        </w:tc>
      </w:tr>
      <w:tr>
        <w:trPr>
          <w:trHeight w:val="250"/>
        </w:trPr>
        <w:tc>
          <w:tcPr>
            <w:tcW w:w="67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142,005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124,690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105,151</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37,243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30,107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24,806</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2,135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39,378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30,429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24,520</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11,205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8,655</w:t>
            </w: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40,440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19,224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15,865</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Includes stock-based compensation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22"/>
        </w:trPr>
        <w:tc>
          <w:tcPr>
            <w:tcW w:w="6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8"/>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1,858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1,250</w:t>
            </w:r>
          </w:p>
        </w:tc>
      </w:tr>
      <w:tr>
        <w:trPr>
          <w:trHeight w:val="260"/>
        </w:trPr>
        <w:tc>
          <w:tcPr>
            <w:tcW w:w="674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5,944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5,678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4,936</w:t>
            </w:r>
          </w:p>
        </w:tc>
      </w:tr>
      <w:tr>
        <w:trPr>
          <w:trHeight w:val="28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4,755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4,870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3,867</w:t>
            </w:r>
          </w:p>
        </w:tc>
      </w:tr>
      <w:tr>
        <w:trPr>
          <w:trHeight w:val="264"/>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14,103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7,743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7,441</w:t>
            </w:r>
          </w:p>
        </w:tc>
      </w:tr>
      <w:tr>
        <w:trPr>
          <w:trHeight w:val="24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stock-based compensation</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26,961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20,149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17,494</w:t>
            </w: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80" w:firstLine="405"/>
        <w:spacing w:after="0" w:line="262" w:lineRule="auto"/>
        <w:rPr>
          <w:sz w:val="20"/>
          <w:szCs w:val="20"/>
          <w:color w:val="auto"/>
        </w:rPr>
      </w:pPr>
      <w:r>
        <w:rPr>
          <w:rFonts w:ascii="Arial" w:cs="Arial" w:eastAsia="Arial" w:hAnsi="Arial"/>
          <w:sz w:val="18"/>
          <w:szCs w:val="18"/>
          <w:color w:val="231F20"/>
        </w:rPr>
        <w:t>The following table sets forth selected consolidated statements of operations data for each of the periods presented as a percentage of revenues.</w:t>
      </w:r>
    </w:p>
    <w:p>
      <w:pPr>
        <w:spacing w:after="0" w:line="152" w:lineRule="exact"/>
        <w:rPr>
          <w:sz w:val="20"/>
          <w:szCs w:val="20"/>
          <w:color w:val="auto"/>
        </w:rPr>
      </w:pPr>
    </w:p>
    <w:p>
      <w:pPr>
        <w:ind w:left="80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3155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r>
      <w:tr>
        <w:trPr>
          <w:trHeight w:val="257"/>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64"/>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w:t>
            </w:r>
          </w:p>
        </w:tc>
      </w:tr>
      <w:tr>
        <w:trPr>
          <w:trHeight w:val="257"/>
        </w:trPr>
        <w:tc>
          <w:tcPr>
            <w:tcW w:w="75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79</w:t>
            </w:r>
          </w:p>
        </w:tc>
      </w:tr>
      <w:tr>
        <w:trPr>
          <w:trHeight w:val="260"/>
        </w:trPr>
        <w:tc>
          <w:tcPr>
            <w:tcW w:w="756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75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r>
      <w:tr>
        <w:trPr>
          <w:trHeight w:val="260"/>
        </w:trPr>
        <w:tc>
          <w:tcPr>
            <w:tcW w:w="756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60" w:type="dxa"/>
            <w:vAlign w:val="bottom"/>
          </w:tcPr>
          <w:p>
            <w:pPr>
              <w:jc w:val="right"/>
              <w:ind w:right="15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31</w:t>
            </w:r>
          </w:p>
        </w:tc>
      </w:tr>
      <w:tr>
        <w:trPr>
          <w:trHeight w:val="273"/>
        </w:trPr>
        <w:tc>
          <w:tcPr>
            <w:tcW w:w="65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r>
      <w:tr>
        <w:trPr>
          <w:trHeight w:val="250"/>
        </w:trPr>
        <w:tc>
          <w:tcPr>
            <w:tcW w:w="65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64</w:t>
            </w:r>
          </w:p>
        </w:tc>
      </w:tr>
      <w:tr>
        <w:trPr>
          <w:trHeight w:val="257"/>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r>
      <w:tr>
        <w:trPr>
          <w:trHeight w:val="264"/>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w:t>
            </w:r>
          </w:p>
        </w:tc>
      </w:tr>
      <w:tr>
        <w:trPr>
          <w:trHeight w:val="257"/>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r>
      <w:tr>
        <w:trPr>
          <w:trHeight w:val="264"/>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w:t>
            </w:r>
          </w:p>
        </w:tc>
      </w:tr>
      <w:tr>
        <w:trPr>
          <w:trHeight w:val="240"/>
        </w:trPr>
        <w:tc>
          <w:tcPr>
            <w:tcW w:w="7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Years Ended December 31, 2017 and 2016</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left="559"/>
              <w:spacing w:after="0"/>
              <w:rPr>
                <w:sz w:val="20"/>
                <w:szCs w:val="20"/>
                <w:color w:val="auto"/>
              </w:rPr>
            </w:pPr>
            <w:r>
              <w:rPr>
                <w:rFonts w:ascii="Arial" w:cs="Arial" w:eastAsia="Arial" w:hAnsi="Arial"/>
                <w:sz w:val="16"/>
                <w:szCs w:val="16"/>
                <w:b w:val="1"/>
                <w:bCs w:val="1"/>
                <w:color w:val="auto"/>
                <w:w w:val="99"/>
              </w:rPr>
              <w:t>Year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6"/>
                <w:szCs w:val="16"/>
                <w:b w:val="1"/>
                <w:bCs w:val="1"/>
                <w:color w:val="auto"/>
                <w:w w:val="99"/>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60" w:type="dxa"/>
            <w:vAlign w:val="bottom"/>
            <w:gridSpan w:val="5"/>
          </w:tcPr>
          <w:p>
            <w:pPr>
              <w:jc w:val="right"/>
              <w:ind w:right="63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230,828</w:t>
            </w:r>
          </w:p>
        </w:tc>
        <w:tc>
          <w:tcPr>
            <w:tcW w:w="6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197,925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32,903</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bl>
    <w:p>
      <w:pPr>
        <w:spacing w:after="0" w:line="21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Revenues increased $32.9 million in 2017 compared to 2016. Revenues from customers existing at or prior to December 31, 2016 grew by $21.5 million to $219.4 million during 2017. Subscriptions from new customers added in 2017 contributed $11.4 million to the increase in revenues. Of the total increase of $ 32.9 million, $22.9 million was from customers in the United States and the remaining $10.0 million was from customers in foreign countries. We expect revenue growth from existing and new customers to continue. The growth in revenues reflects the continued demand for our solutions.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99"/>
              </w:rPr>
              <w:t>Year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51,580</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43,128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8,452</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60"/>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6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Cost of revenues increased </w:t>
      </w:r>
      <w:r>
        <w:rPr>
          <w:rFonts w:ascii="Arial" w:cs="Arial" w:eastAsia="Arial" w:hAnsi="Arial"/>
          <w:sz w:val="18"/>
          <w:szCs w:val="18"/>
          <w:color w:val="000000"/>
        </w:rPr>
        <w:t>$8.5 million</w:t>
      </w:r>
      <w:r>
        <w:rPr>
          <w:rFonts w:ascii="Arial" w:cs="Arial" w:eastAsia="Arial" w:hAnsi="Arial"/>
          <w:sz w:val="18"/>
          <w:szCs w:val="18"/>
          <w:color w:val="231F20"/>
        </w:rPr>
        <w:t xml:space="preserve"> in </w:t>
      </w:r>
      <w:r>
        <w:rPr>
          <w:rFonts w:ascii="Arial" w:cs="Arial" w:eastAsia="Arial" w:hAnsi="Arial"/>
          <w:sz w:val="18"/>
          <w:szCs w:val="18"/>
          <w:color w:val="000000"/>
        </w:rPr>
        <w:t>2017</w:t>
      </w:r>
      <w:r>
        <w:rPr>
          <w:rFonts w:ascii="Arial" w:cs="Arial" w:eastAsia="Arial" w:hAnsi="Arial"/>
          <w:sz w:val="18"/>
          <w:szCs w:val="18"/>
          <w:color w:val="231F20"/>
        </w:rPr>
        <w:t xml:space="preserve"> compared to </w:t>
      </w:r>
      <w:r>
        <w:rPr>
          <w:rFonts w:ascii="Arial" w:cs="Arial" w:eastAsia="Arial" w:hAnsi="Arial"/>
          <w:sz w:val="18"/>
          <w:szCs w:val="18"/>
          <w:color w:val="000000"/>
        </w:rPr>
        <w:t>2016</w:t>
      </w:r>
      <w:r>
        <w:rPr>
          <w:rFonts w:ascii="Arial" w:cs="Arial" w:eastAsia="Arial" w:hAnsi="Arial"/>
          <w:sz w:val="18"/>
          <w:szCs w:val="18"/>
          <w:color w:val="231F20"/>
        </w:rPr>
        <w:t>, primarily due to an increase in personnel expenses of $4.1 million, driven by the increase in the number of employees to support the continued growth of our business; a $2.8 million increase in depreciation expense related to additional computer hardware and software; a $0.5 million increase in amortization expense related to acquired technology resulting from our business acquisitions; increased data center costs of $0.5 million; and increased consulting services and third-party software license maintenance expense of $0.2 million each as our business continues to grow.</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141" w:right="239" w:bottom="1440" w:gutter="0" w:footer="0" w:header="0"/>
          <w:type w:val="continuous"/>
        </w:sectPr>
      </w:pPr>
    </w:p>
    <w:bookmarkStart w:id="48" w:name="page49"/>
    <w:bookmarkEnd w:id="4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99"/>
              </w:rPr>
              <w:t>Year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42,816</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36,591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6,225</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3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Research and development expenses increased $6.2 million in 2017 compared to 2016, primarily due to an increase in personnel expenses of $5.7 million, driven by additional employees hired to support the growth of our business; and increased related facilities costs and expenses of $1.0 million to support our research and development activities. These increases were partially offset by lower consulting services of $ 0.4 million. We continue to significantly invest in and expand our research and development teams to continuously improve our platform and existing solutions, as well as develop new solutions and capabilities.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99"/>
              </w:rPr>
              <w:t>Year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63,855</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58,985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4,870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3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Sales and marketing expenses increased $4.9 million in 2017 compared to 2016, primarily due to an increase in personnel expenses of $3.8 million, driven by the increase in the number of employees to support the growth of our business; and increased marketing expenses of $1.2 million, including lead generation expense.</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2"/>
          </w:tcPr>
          <w:p>
            <w:pPr>
              <w:jc w:val="center"/>
              <w:ind w:left="579"/>
              <w:spacing w:after="0"/>
              <w:rPr>
                <w:sz w:val="20"/>
                <w:szCs w:val="20"/>
                <w:color w:val="auto"/>
              </w:rPr>
            </w:pPr>
            <w:r>
              <w:rPr>
                <w:rFonts w:ascii="Arial" w:cs="Arial" w:eastAsia="Arial" w:hAnsi="Arial"/>
                <w:sz w:val="16"/>
                <w:szCs w:val="16"/>
                <w:b w:val="1"/>
                <w:bCs w:val="1"/>
                <w:color w:val="auto"/>
                <w:w w:val="99"/>
              </w:rPr>
              <w:t>Year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left="599"/>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0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760" w:type="dxa"/>
            <w:vAlign w:val="bottom"/>
            <w:gridSpan w:val="5"/>
          </w:tcPr>
          <w:p>
            <w:pPr>
              <w:jc w:val="right"/>
              <w:ind w:right="69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35,334</w:t>
            </w:r>
          </w:p>
        </w:tc>
        <w:tc>
          <w:tcPr>
            <w:tcW w:w="6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29,114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6,220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51"/>
        </w:trPr>
        <w:tc>
          <w:tcPr>
            <w:tcW w:w="50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w:t>
            </w: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3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General and administrative expenses increased </w:t>
      </w:r>
      <w:r>
        <w:rPr>
          <w:rFonts w:ascii="Arial" w:cs="Arial" w:eastAsia="Arial" w:hAnsi="Arial"/>
          <w:sz w:val="18"/>
          <w:szCs w:val="18"/>
          <w:color w:val="000000"/>
        </w:rPr>
        <w:t>$6.2 million</w:t>
      </w:r>
      <w:r>
        <w:rPr>
          <w:rFonts w:ascii="Arial" w:cs="Arial" w:eastAsia="Arial" w:hAnsi="Arial"/>
          <w:sz w:val="18"/>
          <w:szCs w:val="18"/>
          <w:color w:val="231F20"/>
        </w:rPr>
        <w:t xml:space="preserve"> in </w:t>
      </w:r>
      <w:r>
        <w:rPr>
          <w:rFonts w:ascii="Arial" w:cs="Arial" w:eastAsia="Arial" w:hAnsi="Arial"/>
          <w:sz w:val="18"/>
          <w:szCs w:val="18"/>
          <w:color w:val="000000"/>
        </w:rPr>
        <w:t>2017</w:t>
      </w:r>
      <w:r>
        <w:rPr>
          <w:rFonts w:ascii="Arial" w:cs="Arial" w:eastAsia="Arial" w:hAnsi="Arial"/>
          <w:sz w:val="18"/>
          <w:szCs w:val="18"/>
          <w:color w:val="231F20"/>
        </w:rPr>
        <w:t xml:space="preserve"> compared to </w:t>
      </w:r>
      <w:r>
        <w:rPr>
          <w:rFonts w:ascii="Arial" w:cs="Arial" w:eastAsia="Arial" w:hAnsi="Arial"/>
          <w:sz w:val="18"/>
          <w:szCs w:val="18"/>
          <w:color w:val="000000"/>
        </w:rPr>
        <w:t>2016</w:t>
      </w:r>
      <w:r>
        <w:rPr>
          <w:rFonts w:ascii="Arial" w:cs="Arial" w:eastAsia="Arial" w:hAnsi="Arial"/>
          <w:sz w:val="18"/>
          <w:szCs w:val="18"/>
          <w:color w:val="231F20"/>
        </w:rPr>
        <w:t>, primarily driven by an increase in personnel expenses of $7.4 million, principally due to higher executive stock-based compensation and the addition of new employees to support the growth of our business. The increase was partially offset by lower legal fees of $1.4 million.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Total 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2"/>
          </w:tcPr>
          <w:p>
            <w:pPr>
              <w:jc w:val="center"/>
              <w:ind w:left="139"/>
              <w:spacing w:after="0"/>
              <w:rPr>
                <w:sz w:val="20"/>
                <w:szCs w:val="20"/>
                <w:color w:val="auto"/>
              </w:rPr>
            </w:pPr>
            <w:r>
              <w:rPr>
                <w:rFonts w:ascii="Arial" w:cs="Arial" w:eastAsia="Arial" w:hAnsi="Arial"/>
                <w:sz w:val="16"/>
                <w:szCs w:val="16"/>
                <w:b w:val="1"/>
                <w:bCs w:val="1"/>
                <w:color w:val="auto"/>
                <w:w w:val="99"/>
              </w:rPr>
              <w:t>Year 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5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left="139"/>
              <w:spacing w:after="0"/>
              <w:rPr>
                <w:sz w:val="20"/>
                <w:szCs w:val="20"/>
                <w:color w:val="auto"/>
              </w:rPr>
            </w:pPr>
            <w:r>
              <w:rPr>
                <w:rFonts w:ascii="Arial" w:cs="Arial" w:eastAsia="Arial" w:hAnsi="Arial"/>
                <w:sz w:val="16"/>
                <w:szCs w:val="16"/>
                <w:b w:val="1"/>
                <w:bCs w:val="1"/>
                <w:color w:val="auto"/>
                <w:w w:val="99"/>
              </w:rPr>
              <w:t>December 31,</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tcPr>
          <w:p>
            <w:pPr>
              <w:spacing w:after="0"/>
              <w:rPr>
                <w:sz w:val="24"/>
                <w:szCs w:val="24"/>
                <w:color w:val="auto"/>
              </w:rPr>
            </w:pPr>
          </w:p>
        </w:tc>
      </w:tr>
      <w:tr>
        <w:trPr>
          <w:trHeight w:val="264"/>
        </w:trPr>
        <w:tc>
          <w:tcPr>
            <w:tcW w:w="53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r>
      <w:tr>
        <w:trPr>
          <w:trHeight w:val="247"/>
        </w:trPr>
        <w:tc>
          <w:tcPr>
            <w:tcW w:w="5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000" w:type="dxa"/>
            <w:vAlign w:val="bottom"/>
          </w:tcPr>
          <w:p>
            <w:pPr>
              <w:spacing w:after="0"/>
              <w:rPr>
                <w:sz w:val="21"/>
                <w:szCs w:val="21"/>
                <w:color w:val="auto"/>
              </w:rPr>
            </w:pPr>
          </w:p>
        </w:tc>
      </w:tr>
      <w:tr>
        <w:trPr>
          <w:trHeight w:val="228"/>
        </w:trPr>
        <w:tc>
          <w:tcPr>
            <w:tcW w:w="5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other income (expense), net</w:t>
            </w:r>
          </w:p>
        </w:tc>
        <w:tc>
          <w:tcPr>
            <w:tcW w:w="1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4"/>
        </w:trPr>
        <w:tc>
          <w:tcPr>
            <w:tcW w:w="5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2,135</w:t>
            </w:r>
          </w:p>
        </w:tc>
        <w:tc>
          <w:tcPr>
            <w:tcW w:w="100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1,813</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r>
      <w:tr>
        <w:trPr>
          <w:trHeight w:val="251"/>
        </w:trPr>
        <w:tc>
          <w:tcPr>
            <w:tcW w:w="5660" w:type="dxa"/>
            <w:vAlign w:val="bottom"/>
            <w:gridSpan w:val="2"/>
          </w:tcPr>
          <w:p>
            <w:pPr>
              <w:ind w:left="40"/>
              <w:spacing w:after="0"/>
              <w:rPr>
                <w:sz w:val="20"/>
                <w:szCs w:val="20"/>
                <w:color w:val="auto"/>
              </w:rPr>
            </w:pPr>
            <w:r>
              <w:rPr>
                <w:rFonts w:ascii="Arial" w:cs="Arial" w:eastAsia="Arial" w:hAnsi="Arial"/>
                <w:sz w:val="16"/>
                <w:szCs w:val="16"/>
                <w:color w:val="auto"/>
              </w:rPr>
              <w:t>Percentage of revenues</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23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Total other income (expense), net, increased $1.8 million in 2017 compared to 2016, primarily due to an increase in interest income as our cash and investment balances increased year over year.</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(Benefit from) Provision for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3"/>
        </w:trPr>
        <w:tc>
          <w:tcPr>
            <w:tcW w:w="5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1020" w:type="dxa"/>
            <w:vAlign w:val="bottom"/>
            <w:tcBorders>
              <w:bottom w:val="single" w:sz="8" w:color="auto"/>
            </w:tcBorders>
          </w:tcPr>
          <w:p>
            <w:pPr>
              <w:spacing w:after="0"/>
              <w:rPr>
                <w:sz w:val="24"/>
                <w:szCs w:val="24"/>
                <w:color w:val="auto"/>
              </w:rPr>
            </w:pPr>
          </w:p>
        </w:tc>
      </w:tr>
      <w:tr>
        <w:trPr>
          <w:trHeight w:val="264"/>
        </w:trPr>
        <w:tc>
          <w:tcPr>
            <w:tcW w:w="52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47"/>
        </w:trPr>
        <w:tc>
          <w:tcPr>
            <w:tcW w:w="5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58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1020" w:type="dxa"/>
            <w:vAlign w:val="bottom"/>
          </w:tcPr>
          <w:p>
            <w:pPr>
              <w:spacing w:after="0"/>
              <w:rPr>
                <w:sz w:val="21"/>
                <w:szCs w:val="21"/>
                <w:color w:val="auto"/>
              </w:rPr>
            </w:pPr>
          </w:p>
        </w:tc>
      </w:tr>
      <w:tr>
        <w:trPr>
          <w:trHeight w:val="280"/>
        </w:trPr>
        <w:tc>
          <w:tcPr>
            <w:tcW w:w="5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(1,062)</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11,205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(12,267)</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51"/>
        </w:trPr>
        <w:tc>
          <w:tcPr>
            <w:tcW w:w="52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3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recorded an income tax benefit of $1.1 million in 2017 as compared to an income tax provision of $11.2 million in 2016. This was primarily due to the favorable impact of excess tax benefits from stock-based compensation of $27.1 million due to the adoption of A</w:t>
      </w:r>
      <w:r>
        <w:rPr>
          <w:rFonts w:ascii="Arial" w:cs="Arial" w:eastAsia="Arial" w:hAnsi="Arial"/>
          <w:sz w:val="18"/>
          <w:szCs w:val="18"/>
          <w:color w:val="231F20"/>
        </w:rPr>
        <w:t>SU</w:t>
      </w:r>
      <w:r>
        <w:rPr>
          <w:rFonts w:ascii="Arial" w:cs="Arial" w:eastAsia="Arial" w:hAnsi="Arial"/>
          <w:sz w:val="18"/>
          <w:szCs w:val="18"/>
          <w:color w:val="auto"/>
        </w:rPr>
        <w:t xml:space="preserve"> 2016-09 in 2017. This benefit was partially offset by $10.4 million of expense recorded for the re-measuring of deferred tax assets and liabilities due to the decrease in the federal rate from 35% to 21% resulting from the Tax Cuts and Jobs Act, enacted into law on December 22, 2017.</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2016 and 2015</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left="559"/>
              <w:spacing w:after="0"/>
              <w:rPr>
                <w:sz w:val="20"/>
                <w:szCs w:val="20"/>
                <w:color w:val="auto"/>
              </w:rPr>
            </w:pPr>
            <w:r>
              <w:rPr>
                <w:rFonts w:ascii="Arial" w:cs="Arial" w:eastAsia="Arial" w:hAnsi="Arial"/>
                <w:sz w:val="16"/>
                <w:szCs w:val="16"/>
                <w:b w:val="1"/>
                <w:bCs w:val="1"/>
                <w:color w:val="auto"/>
                <w:w w:val="99"/>
              </w:rPr>
              <w:t>Year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83"/>
        </w:trPr>
        <w:tc>
          <w:tcPr>
            <w:tcW w:w="5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spacing w:after="0"/>
              <w:rPr>
                <w:sz w:val="24"/>
                <w:szCs w:val="24"/>
                <w:color w:val="auto"/>
              </w:rPr>
            </w:pPr>
          </w:p>
        </w:tc>
      </w:tr>
      <w:tr>
        <w:trPr>
          <w:trHeight w:val="264"/>
        </w:trPr>
        <w:tc>
          <w:tcPr>
            <w:tcW w:w="5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r>
      <w:tr>
        <w:trPr>
          <w:trHeight w:val="247"/>
        </w:trPr>
        <w:tc>
          <w:tcPr>
            <w:tcW w:w="5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700" w:type="dxa"/>
            <w:vAlign w:val="bottom"/>
            <w:gridSpan w:val="5"/>
          </w:tcPr>
          <w:p>
            <w:pPr>
              <w:jc w:val="right"/>
              <w:ind w:right="599"/>
              <w:spacing w:after="0"/>
              <w:rPr>
                <w:sz w:val="20"/>
                <w:szCs w:val="20"/>
                <w:color w:val="auto"/>
              </w:rPr>
            </w:pPr>
            <w:r>
              <w:rPr>
                <w:rFonts w:ascii="Arial" w:cs="Arial" w:eastAsia="Arial" w:hAnsi="Arial"/>
                <w:sz w:val="16"/>
                <w:szCs w:val="16"/>
                <w:b w:val="1"/>
                <w:bCs w:val="1"/>
                <w:color w:val="auto"/>
              </w:rPr>
              <w:t>(in thousands, except percentages)</w:t>
            </w:r>
          </w:p>
        </w:tc>
        <w:tc>
          <w:tcPr>
            <w:tcW w:w="1080" w:type="dxa"/>
            <w:vAlign w:val="bottom"/>
          </w:tcPr>
          <w:p>
            <w:pPr>
              <w:spacing w:after="0"/>
              <w:rPr>
                <w:sz w:val="21"/>
                <w:szCs w:val="21"/>
                <w:color w:val="auto"/>
              </w:rPr>
            </w:pPr>
          </w:p>
        </w:tc>
      </w:tr>
      <w:tr>
        <w:trPr>
          <w:trHeight w:val="28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197,925</w:t>
            </w:r>
          </w:p>
        </w:tc>
        <w:tc>
          <w:tcPr>
            <w:tcW w:w="6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164,284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33,641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bl>
    <w:p>
      <w:pPr>
        <w:spacing w:after="0" w:line="16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Revenues increased $33.6 million in 2016 compared to 2015. Revenues from customers existing at or prior to December 31, 2015 grew by $20.4 million to $184.7 million during 2016</w:t>
      </w:r>
      <w:r>
        <w:rPr>
          <w:rFonts w:ascii="Arial" w:cs="Arial" w:eastAsia="Arial" w:hAnsi="Arial"/>
          <w:sz w:val="18"/>
          <w:szCs w:val="18"/>
          <w:color w:val="231F20"/>
        </w:rPr>
        <w:t>.</w:t>
      </w:r>
      <w:r>
        <w:rPr>
          <w:rFonts w:ascii="Arial" w:cs="Arial" w:eastAsia="Arial" w:hAnsi="Arial"/>
          <w:sz w:val="18"/>
          <w:szCs w:val="18"/>
          <w:color w:val="auto"/>
        </w:rPr>
        <w:t xml:space="preserve"> Subscriptions from new customers added in 2016 contributed $13.2 million to the increase in revenues. Of the total increase of 33.6 million, $24.4 million was from customers in the United States and the remaining $9.3 million was from customers in foreign countries. The growth in revenues reflects the continued demand for our solutions.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43,128</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34,327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8,801</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60"/>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5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16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Cost of revenues increased $8.8 million in 2016 compared to 2015, primarily due to an increase in personnel expenses of $2.7 million to support the continued growth of our business; a $2.2 million increase in depreciation expenses related to additional computer hardware and software; an increase in third-party software maintenance expense of $2.1 million; increased data center and equipment repair and maintenance of $0.5 million; increased overhead costs of $0.5 million; and increased temporary services of $0.2 million as we continued to grow.</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36,591</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30,438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6,153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18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Research and development expenses increased $6.2 million in 2016 compared to 2015, primarily due to an increase in personnel expenses of $4.9 million, driven by the increase in the number of employees; increased temporary services of $0.5 million; and increased overhead costs of $0.5 million we continued to grow. We continue to significantly invest in and expand our research and development teams to continuously improve our platform and existing solutions, as well as develop new solutions and capabilities.</w:t>
      </w:r>
    </w:p>
    <w:p>
      <w:pPr>
        <w:spacing w:after="0" w:line="20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3"/>
        </w:trPr>
        <w:tc>
          <w:tcPr>
            <w:tcW w:w="54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spacing w:after="0"/>
              <w:rPr>
                <w:sz w:val="24"/>
                <w:szCs w:val="24"/>
                <w:color w:val="auto"/>
              </w:rPr>
            </w:pPr>
          </w:p>
        </w:tc>
      </w:tr>
      <w:tr>
        <w:trPr>
          <w:trHeight w:val="264"/>
        </w:trPr>
        <w:tc>
          <w:tcPr>
            <w:tcW w:w="54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r>
      <w:tr>
        <w:trPr>
          <w:trHeight w:val="247"/>
        </w:trPr>
        <w:tc>
          <w:tcPr>
            <w:tcW w:w="5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8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80"/>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58,985</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50,397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8,588</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51"/>
        </w:trPr>
        <w:tc>
          <w:tcPr>
            <w:tcW w:w="54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w:t>
            </w: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18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Sales and marketing expenses increased $8.6 million in 2016 compared to 2015, primarily due to an increase in personnel expenses of $5.2 million. principally due to the increase in the number of employees; increased marketing expenses of $2.1 million, primarily trade show, lead generation and branding expenses; and increased software license and maintenance fees of $0.9 million.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w w:val="99"/>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r>
      <w:tr>
        <w:trPr>
          <w:trHeight w:val="247"/>
        </w:trPr>
        <w:tc>
          <w:tcPr>
            <w:tcW w:w="5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29,114</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24,316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4,798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51"/>
        </w:trPr>
        <w:tc>
          <w:tcPr>
            <w:tcW w:w="53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18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General and administrative expenses increased $4.8 million in 2016 compared to 2015, primarily driven by increased legal, accounting, consulting and temporary services of $2.8 million; increased personnel expenses of $2.4 million, primarily due to additional employees to support the growth of our business; $0.7 million of a non-recurring expense in 2016 related to the remittance of payroll taxes from fiscal year 2013 through May 2016; and a $0.3 million increase in dues and subscriptions. These increases were partially offset by $0.7 million of lower allocated costs for certain information technology expenses and by lower bad debt expense of $0.7 million.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Total 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w w:val="99"/>
              </w:rPr>
              <w:t>Year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83"/>
        </w:trPr>
        <w:tc>
          <w:tcPr>
            <w:tcW w:w="52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79"/>
              <w:spacing w:after="0"/>
              <w:rPr>
                <w:sz w:val="20"/>
                <w:szCs w:val="20"/>
                <w:color w:val="auto"/>
              </w:rPr>
            </w:pPr>
            <w:r>
              <w:rPr>
                <w:rFonts w:ascii="Arial" w:cs="Arial" w:eastAsia="Arial" w:hAnsi="Arial"/>
                <w:sz w:val="16"/>
                <w:szCs w:val="16"/>
                <w:b w:val="1"/>
                <w:bCs w:val="1"/>
                <w:color w:val="auto"/>
              </w:rPr>
              <w:t>December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108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r>
      <w:tr>
        <w:trPr>
          <w:trHeight w:val="247"/>
        </w:trPr>
        <w:tc>
          <w:tcPr>
            <w:tcW w:w="5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58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auto"/>
              </w:rPr>
              <w:t>(in thousands, except percentages)</w:t>
            </w:r>
          </w:p>
        </w:tc>
        <w:tc>
          <w:tcPr>
            <w:tcW w:w="108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other income (expense), net</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322</w:t>
            </w:r>
          </w:p>
        </w:tc>
        <w:tc>
          <w:tcPr>
            <w:tcW w:w="9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96"/>
              </w:rPr>
              <w:t>(286)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608</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51"/>
        </w:trPr>
        <w:tc>
          <w:tcPr>
            <w:tcW w:w="52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40" w:type="dxa"/>
            <w:vAlign w:val="bottom"/>
          </w:tcPr>
          <w:p>
            <w:pPr>
              <w:spacing w:after="0"/>
              <w:rPr>
                <w:sz w:val="21"/>
                <w:szCs w:val="21"/>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0%</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181"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Total other income (expense), net increased $0.6 million in 2016 compared to 2015, primarily due to an increase in investment and interest income and lower foreign exchange losses.</w:t>
      </w: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w w:val="99"/>
              </w:rPr>
              <w:t>Year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83"/>
        </w:trPr>
        <w:tc>
          <w:tcPr>
            <w:tcW w:w="5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1040" w:type="dxa"/>
            <w:vAlign w:val="bottom"/>
            <w:tcBorders>
              <w:bottom w:val="single" w:sz="8" w:color="auto"/>
            </w:tcBorders>
          </w:tcPr>
          <w:p>
            <w:pPr>
              <w:spacing w:after="0"/>
              <w:rPr>
                <w:sz w:val="24"/>
                <w:szCs w:val="24"/>
                <w:color w:val="auto"/>
              </w:rPr>
            </w:pPr>
          </w:p>
        </w:tc>
      </w:tr>
      <w:tr>
        <w:trPr>
          <w:trHeight w:val="264"/>
        </w:trPr>
        <w:tc>
          <w:tcPr>
            <w:tcW w:w="5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r>
      <w:tr>
        <w:trPr>
          <w:trHeight w:val="247"/>
        </w:trPr>
        <w:tc>
          <w:tcPr>
            <w:tcW w:w="5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20" w:type="dxa"/>
            <w:vAlign w:val="bottom"/>
            <w:gridSpan w:val="5"/>
          </w:tcPr>
          <w:p>
            <w:pPr>
              <w:jc w:val="right"/>
              <w:ind w:right="519"/>
              <w:spacing w:after="0"/>
              <w:rPr>
                <w:sz w:val="20"/>
                <w:szCs w:val="20"/>
                <w:color w:val="auto"/>
              </w:rPr>
            </w:pPr>
            <w:r>
              <w:rPr>
                <w:rFonts w:ascii="Arial" w:cs="Arial" w:eastAsia="Arial" w:hAnsi="Arial"/>
                <w:sz w:val="16"/>
                <w:szCs w:val="16"/>
                <w:b w:val="1"/>
                <w:bCs w:val="1"/>
                <w:color w:val="auto"/>
              </w:rPr>
              <w:t>(in thousands, except percentages)</w:t>
            </w:r>
          </w:p>
        </w:tc>
        <w:tc>
          <w:tcPr>
            <w:tcW w:w="1040" w:type="dxa"/>
            <w:vAlign w:val="bottom"/>
          </w:tcPr>
          <w:p>
            <w:pPr>
              <w:spacing w:after="0"/>
              <w:rPr>
                <w:sz w:val="21"/>
                <w:szCs w:val="21"/>
                <w:color w:val="auto"/>
              </w:rPr>
            </w:pP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11,205</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8,655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2,550</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51"/>
        </w:trPr>
        <w:tc>
          <w:tcPr>
            <w:tcW w:w="53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181"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The increase in the provision is primarily due to the significant increase in income before tax of $30.4 million in 2016 compared to $24.5 million in 2015.</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December 31, 2017</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$355.6</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including</w:t>
      </w:r>
      <w:r>
        <w:rPr>
          <w:rFonts w:ascii="Arial" w:cs="Arial" w:eastAsia="Arial" w:hAnsi="Arial"/>
          <w:sz w:val="18"/>
          <w:szCs w:val="18"/>
          <w:color w:val="000000"/>
        </w:rPr>
        <w:t xml:space="preserve"> $7.5 million </w:t>
      </w:r>
      <w:r>
        <w:rPr>
          <w:rFonts w:ascii="Arial" w:cs="Arial" w:eastAsia="Arial" w:hAnsi="Arial"/>
          <w:sz w:val="18"/>
          <w:szCs w:val="18"/>
          <w:color w:val="231F20"/>
        </w:rPr>
        <w:t>held outside of the United States by our foreign subsidiaries. We do not anticipate that we will need funds</w:t>
      </w:r>
      <w:r>
        <w:rPr>
          <w:rFonts w:ascii="Arial" w:cs="Arial" w:eastAsia="Arial" w:hAnsi="Arial"/>
          <w:sz w:val="18"/>
          <w:szCs w:val="18"/>
          <w:color w:val="000000"/>
        </w:rPr>
        <w:t xml:space="preserve"> </w:t>
      </w:r>
      <w:r>
        <w:rPr>
          <w:rFonts w:ascii="Arial" w:cs="Arial" w:eastAsia="Arial" w:hAnsi="Arial"/>
          <w:sz w:val="18"/>
          <w:szCs w:val="18"/>
          <w:color w:val="231F20"/>
        </w:rPr>
        <w:t>generated from foreign operations to fund our domestic operations. However, if we repatriate these funds, we could be subject to foreign withholding taxes.</w:t>
      </w:r>
    </w:p>
    <w:p>
      <w:pPr>
        <w:spacing w:after="0" w:line="20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We have experienced positive cash flows from operations during the </w:t>
      </w:r>
      <w:r>
        <w:rPr>
          <w:rFonts w:ascii="Arial" w:cs="Arial" w:eastAsia="Arial" w:hAnsi="Arial"/>
          <w:sz w:val="18"/>
          <w:szCs w:val="18"/>
          <w:color w:val="000000"/>
        </w:rPr>
        <w:t>years ended December 31, 2017, 2016 and 2015</w:t>
      </w:r>
      <w:r>
        <w:rPr>
          <w:rFonts w:ascii="Arial" w:cs="Arial" w:eastAsia="Arial" w:hAnsi="Arial"/>
          <w:sz w:val="18"/>
          <w:szCs w:val="18"/>
          <w:color w:val="231F20"/>
        </w:rPr>
        <w:t xml:space="preserve">, respectively. We believe our existing cash, cash equivalents, short-term and long-term investments, and cash from operations will be sufficient to fund our operations for at least the next twelve months. We expect to spend approximately $23.0 to $28.0 million through December 31, </w:t>
      </w:r>
      <w:r>
        <w:rPr>
          <w:rFonts w:ascii="Arial" w:cs="Arial" w:eastAsia="Arial" w:hAnsi="Arial"/>
          <w:sz w:val="18"/>
          <w:szCs w:val="18"/>
          <w:color w:val="000000"/>
        </w:rPr>
        <w:t>2018</w:t>
      </w:r>
      <w:r>
        <w:rPr>
          <w:rFonts w:ascii="Arial" w:cs="Arial" w:eastAsia="Arial" w:hAnsi="Arial"/>
          <w:sz w:val="18"/>
          <w:szCs w:val="18"/>
          <w:color w:val="231F20"/>
        </w:rPr>
        <w:t xml:space="preserve"> for capital expenditures, primarily related to infrastructure to support the anticipated growth in our business. Our future capital requirements will depend on many factors, including our rate of revenue growth, the expansion of our sales and marketing activities, the timing, type and extent of our spending on research and development efforts, international expansion and investment in data centers. We may also seek to invest in or acquire complementary businesses or technologies.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24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r>
      <w:tr>
        <w:trPr>
          <w:trHeight w:val="264"/>
        </w:trPr>
        <w:tc>
          <w:tcPr>
            <w:tcW w:w="7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r>
      <w:tr>
        <w:trPr>
          <w:trHeight w:val="247"/>
        </w:trPr>
        <w:tc>
          <w:tcPr>
            <w:tcW w:w="7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80"/>
        </w:trPr>
        <w:tc>
          <w:tcPr>
            <w:tcW w:w="7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107,646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68,110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65,960</w:t>
            </w:r>
          </w:p>
        </w:tc>
      </w:tr>
      <w:tr>
        <w:trPr>
          <w:trHeight w:val="260"/>
        </w:trPr>
        <w:tc>
          <w:tcPr>
            <w:tcW w:w="710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(118,195)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(96,490)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(61,348)</w:t>
            </w:r>
          </w:p>
        </w:tc>
      </w:tr>
      <w:tr>
        <w:trPr>
          <w:trHeight w:val="273"/>
        </w:trPr>
        <w:tc>
          <w:tcPr>
            <w:tcW w:w="7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financing activities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10,403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23,419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10,582</w:t>
            </w:r>
          </w:p>
        </w:tc>
      </w:tr>
      <w:tr>
        <w:trPr>
          <w:trHeight w:val="240"/>
        </w:trPr>
        <w:tc>
          <w:tcPr>
            <w:tcW w:w="710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(4,961)</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15,194</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24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In </w:t>
      </w:r>
      <w:r>
        <w:rPr>
          <w:rFonts w:ascii="Arial" w:cs="Arial" w:eastAsia="Arial" w:hAnsi="Arial"/>
          <w:sz w:val="18"/>
          <w:szCs w:val="18"/>
          <w:color w:val="000000"/>
        </w:rPr>
        <w:t>2017</w:t>
      </w:r>
      <w:r>
        <w:rPr>
          <w:rFonts w:ascii="Arial" w:cs="Arial" w:eastAsia="Arial" w:hAnsi="Arial"/>
          <w:sz w:val="18"/>
          <w:szCs w:val="18"/>
          <w:color w:val="231F20"/>
        </w:rPr>
        <w:t xml:space="preserve">, cash provided by operating activities of </w:t>
      </w:r>
      <w:r>
        <w:rPr>
          <w:rFonts w:ascii="Arial" w:cs="Arial" w:eastAsia="Arial" w:hAnsi="Arial"/>
          <w:sz w:val="18"/>
          <w:szCs w:val="18"/>
          <w:color w:val="000000"/>
        </w:rPr>
        <w:t>$107.6 million was primarily due to $40.4 million of net income, as adjusted by increases</w:t>
      </w:r>
      <w:r>
        <w:rPr>
          <w:rFonts w:ascii="Arial" w:cs="Arial" w:eastAsia="Arial" w:hAnsi="Arial"/>
          <w:sz w:val="18"/>
          <w:szCs w:val="18"/>
          <w:color w:val="231F20"/>
        </w:rPr>
        <w:t xml:space="preserve"> </w:t>
      </w:r>
      <w:r>
        <w:rPr>
          <w:rFonts w:ascii="Arial" w:cs="Arial" w:eastAsia="Arial" w:hAnsi="Arial"/>
          <w:sz w:val="18"/>
          <w:szCs w:val="18"/>
          <w:color w:val="000000"/>
        </w:rPr>
        <w:t>in deferred revenues of $29.8 million</w:t>
      </w:r>
      <w:r>
        <w:rPr>
          <w:rFonts w:ascii="Arial" w:cs="Arial" w:eastAsia="Arial" w:hAnsi="Arial"/>
          <w:sz w:val="18"/>
          <w:szCs w:val="18"/>
          <w:color w:val="231F20"/>
        </w:rPr>
        <w:t>, attributable to our continued growth in sales; non-cash items including depreciation and amortization</w:t>
      </w:r>
      <w:r>
        <w:rPr>
          <w:rFonts w:ascii="Arial" w:cs="Arial" w:eastAsia="Arial" w:hAnsi="Arial"/>
          <w:sz w:val="18"/>
          <w:szCs w:val="18"/>
          <w:color w:val="000000"/>
        </w:rPr>
        <w:t xml:space="preserve"> </w:t>
      </w:r>
      <w:r>
        <w:rPr>
          <w:rFonts w:ascii="Arial" w:cs="Arial" w:eastAsia="Arial" w:hAnsi="Arial"/>
          <w:sz w:val="18"/>
          <w:szCs w:val="18"/>
          <w:color w:val="231F20"/>
        </w:rPr>
        <w:t xml:space="preserve">expense of </w:t>
      </w:r>
      <w:r>
        <w:rPr>
          <w:rFonts w:ascii="Arial" w:cs="Arial" w:eastAsia="Arial" w:hAnsi="Arial"/>
          <w:sz w:val="18"/>
          <w:szCs w:val="18"/>
          <w:color w:val="000000"/>
        </w:rPr>
        <w:t>$20.6 million and</w:t>
      </w:r>
      <w:r>
        <w:rPr>
          <w:rFonts w:ascii="Arial" w:cs="Arial" w:eastAsia="Arial" w:hAnsi="Arial"/>
          <w:sz w:val="18"/>
          <w:szCs w:val="18"/>
          <w:color w:val="231F20"/>
        </w:rPr>
        <w:t xml:space="preserve"> stock-based compensation expense of </w:t>
      </w:r>
      <w:r>
        <w:rPr>
          <w:rFonts w:ascii="Arial" w:cs="Arial" w:eastAsia="Arial" w:hAnsi="Arial"/>
          <w:sz w:val="18"/>
          <w:szCs w:val="18"/>
          <w:color w:val="000000"/>
        </w:rPr>
        <w:t>$27.0 million; and an increase in other noncurrent liabilities of $7.3 million,</w:t>
      </w:r>
      <w:r>
        <w:rPr>
          <w:rFonts w:ascii="Arial" w:cs="Arial" w:eastAsia="Arial" w:hAnsi="Arial"/>
          <w:sz w:val="18"/>
          <w:szCs w:val="18"/>
          <w:color w:val="231F20"/>
        </w:rPr>
        <w:t xml:space="preserve"> </w:t>
      </w:r>
      <w:r>
        <w:rPr>
          <w:rFonts w:ascii="Arial" w:cs="Arial" w:eastAsia="Arial" w:hAnsi="Arial"/>
          <w:sz w:val="18"/>
          <w:szCs w:val="18"/>
          <w:color w:val="000000"/>
        </w:rPr>
        <w:t>primarily attributable to deferred rent relating to our office facility</w:t>
      </w:r>
      <w:r>
        <w:rPr>
          <w:rFonts w:ascii="Arial" w:cs="Arial" w:eastAsia="Arial" w:hAnsi="Arial"/>
          <w:sz w:val="18"/>
          <w:szCs w:val="18"/>
          <w:color w:val="231F20"/>
        </w:rPr>
        <w:t>. These increases were partially offset by an increase in accounts receivable of</w:t>
      </w:r>
      <w:r>
        <w:rPr>
          <w:rFonts w:ascii="Arial" w:cs="Arial" w:eastAsia="Arial" w:hAnsi="Arial"/>
          <w:sz w:val="18"/>
          <w:szCs w:val="18"/>
          <w:color w:val="000000"/>
        </w:rPr>
        <w:t xml:space="preserve"> $18.0 million due to the timing of customer payments.</w:t>
      </w:r>
    </w:p>
    <w:p>
      <w:pPr>
        <w:spacing w:after="0" w:line="20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2016, cash flows from operating activities of $68.1 million resulted primarily from our net income of approximately $19.2 million, as adjusted by increases in deferred revenues of $17.9 million</w:t>
      </w:r>
      <w:r>
        <w:rPr>
          <w:rFonts w:ascii="Arial" w:cs="Arial" w:eastAsia="Arial" w:hAnsi="Arial"/>
          <w:sz w:val="18"/>
          <w:szCs w:val="18"/>
          <w:color w:val="231F20"/>
        </w:rPr>
        <w:t xml:space="preserve">, attributable to our continued growth in sales; accrued liabilities of $9.7 million; non-cash items including depreciation and amortization expense of </w:t>
      </w:r>
      <w:r>
        <w:rPr>
          <w:rFonts w:ascii="Arial" w:cs="Arial" w:eastAsia="Arial" w:hAnsi="Arial"/>
          <w:sz w:val="18"/>
          <w:szCs w:val="18"/>
          <w:color w:val="000000"/>
        </w:rPr>
        <w:t>$ 17.0 million; and</w:t>
      </w:r>
      <w:r>
        <w:rPr>
          <w:rFonts w:ascii="Arial" w:cs="Arial" w:eastAsia="Arial" w:hAnsi="Arial"/>
          <w:sz w:val="18"/>
          <w:szCs w:val="18"/>
          <w:color w:val="231F20"/>
        </w:rPr>
        <w:t xml:space="preserve"> stock-based compensation expense of </w:t>
      </w:r>
      <w:r>
        <w:rPr>
          <w:rFonts w:ascii="Arial" w:cs="Arial" w:eastAsia="Arial" w:hAnsi="Arial"/>
          <w:sz w:val="18"/>
          <w:szCs w:val="18"/>
          <w:color w:val="000000"/>
        </w:rPr>
        <w:t>$20.1 million</w:t>
      </w:r>
      <w:r>
        <w:rPr>
          <w:rFonts w:ascii="Arial" w:cs="Arial" w:eastAsia="Arial" w:hAnsi="Arial"/>
          <w:sz w:val="18"/>
          <w:szCs w:val="18"/>
          <w:color w:val="231F20"/>
        </w:rPr>
        <w:t xml:space="preserve">. These increases were partially offset by the non-cash effect of excess tax benefits from stock based compensation of $8.7 million, an increase in prepaid expenses and other assets of $2.1 million and an increase in accounts receivable of </w:t>
      </w:r>
      <w:r>
        <w:rPr>
          <w:rFonts w:ascii="Arial" w:cs="Arial" w:eastAsia="Arial" w:hAnsi="Arial"/>
          <w:sz w:val="18"/>
          <w:szCs w:val="18"/>
          <w:color w:val="000000"/>
        </w:rPr>
        <w:t>$4.9 million.</w:t>
      </w:r>
    </w:p>
    <w:p>
      <w:pPr>
        <w:spacing w:after="0" w:line="20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2015, cash flows from operating activities of $66.0 million resulted primarily from our net income of approximately $15.9 million, as adjusted by an increase in deferred revenues of $21.4 million, attributable to our continued growth; an increase in subscriptions exceeding one year; and non-cash items including depreciation and amortization expense of $14.4 million, stock-based compensation expense of $17.5 million </w:t>
      </w:r>
      <w:r>
        <w:rPr>
          <w:rFonts w:ascii="Arial" w:cs="Arial" w:eastAsia="Arial" w:hAnsi="Arial"/>
          <w:sz w:val="18"/>
          <w:szCs w:val="18"/>
          <w:color w:val="231F20"/>
        </w:rPr>
        <w:t>and net utilization of deferred income taxes of $6.6</w:t>
      </w:r>
      <w:r>
        <w:rPr>
          <w:rFonts w:ascii="Arial" w:cs="Arial" w:eastAsia="Arial" w:hAnsi="Arial"/>
          <w:sz w:val="18"/>
          <w:szCs w:val="18"/>
          <w:color w:val="auto"/>
        </w:rPr>
        <w:t xml:space="preserve"> million. These increases were partially offset by an increase in accounts receivable of $10.2 million.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24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2017, cash used in investing activities of $118.2 million was primarily attributable to net purchases of investments of $67.9 million and net cash paid in connection with our acquisitions of Nevis Networks (India) Private Limited (Nevis) and Defensative, LLC (NetWatcher) of $12.5 million. Additionally, $37.8 million of cash was used for capital expenditures, including the buildout of our new headquarters facility, computer hardware and software for our data centers to support our growth and development, and to purchase physical scanner appliances and computer hardware provided to certain customers as part of their subscriptions.</w:t>
      </w:r>
    </w:p>
    <w:p>
      <w:pPr>
        <w:spacing w:after="0" w:line="20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2016, cash used in investing activities of $96.5 million was primarily attributable to net purchases of investments of $73.2 million, arising from cash provided from operating activities. Additionally, $23.2 million of cash was used for capital expenditures, including computer hardware and software for our data centers to support our growth and development, and to purchase physical scanner appliances and computer hardware provided to certain customers as part of their subscriptions.</w:t>
      </w:r>
    </w:p>
    <w:p>
      <w:pPr>
        <w:spacing w:after="0" w:line="20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2015, cash used in investing activities of $61.3 million was primarily attributable to $20.1 million of cash for capital expenditures, including computer hardware and software for our data centers to support our growth and development, and to purchase physical scanner appliances and computer hardware provided to certain customers as part of their subscriptions. Additionally, there were also net purchases of investments of $41.2 million, arising from cash provided from operating activities.</w:t>
      </w:r>
    </w:p>
    <w:p>
      <w:pPr>
        <w:spacing w:after="0" w:line="3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24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In 2017, cash provided by financing activities of $10.4 million was primarily attributable to $31.3 million of proceeds from the exercise of stock options, offset by employee payroll taxes paid related to net share settlement of equity awards of $20.9 million.</w:t>
      </w:r>
    </w:p>
    <w:p>
      <w:pPr>
        <w:spacing w:after="0" w:line="19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In 2016, cash provided by financing activities of $23.4 million was primarily attributable to $15.2 million of proceeds from the exercise of stock options and $8.7 million of excess tax benefits from stock based compensation.</w:t>
      </w:r>
    </w:p>
    <w:p>
      <w:pPr>
        <w:spacing w:after="0" w:line="19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In 2015, cash provided by financing activities of $10.6 million was primarily attributable to $10.1 million of proceeds from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1"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Our principal commitments consist of obligations under our outstanding leases for office space, third-party data centers and office equipment. The following table summarizes our contractual cash obligations at December 31, 2017 and the effect such obligations are expected to have on our liquidity and cash flows in future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Payment Due by Period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98"/>
        </w:trPr>
        <w:tc>
          <w:tcPr>
            <w:tcW w:w="4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center"/>
              <w:ind w:right="139"/>
              <w:spacing w:after="0"/>
              <w:rPr>
                <w:sz w:val="20"/>
                <w:szCs w:val="20"/>
                <w:color w:val="auto"/>
              </w:rPr>
            </w:pPr>
            <w:r>
              <w:rPr>
                <w:rFonts w:ascii="Arial" w:cs="Arial" w:eastAsia="Arial" w:hAnsi="Arial"/>
                <w:sz w:val="16"/>
                <w:szCs w:val="16"/>
                <w:b w:val="1"/>
                <w:bCs w:val="1"/>
                <w:color w:val="auto"/>
              </w:rPr>
              <w:t>Less Than</w:t>
            </w:r>
          </w:p>
        </w:tc>
        <w:tc>
          <w:tcPr>
            <w:tcW w:w="380" w:type="dxa"/>
            <w:vAlign w:val="bottom"/>
          </w:tcPr>
          <w:p>
            <w:pPr>
              <w:spacing w:after="0"/>
              <w:rPr>
                <w:sz w:val="17"/>
                <w:szCs w:val="17"/>
                <w:color w:val="auto"/>
              </w:rPr>
            </w:pPr>
          </w:p>
        </w:tc>
        <w:tc>
          <w:tcPr>
            <w:tcW w:w="1080" w:type="dxa"/>
            <w:vAlign w:val="bottom"/>
          </w:tcPr>
          <w:p>
            <w:pPr>
              <w:jc w:val="right"/>
              <w:ind w:right="499"/>
              <w:spacing w:after="0"/>
              <w:rPr>
                <w:sz w:val="20"/>
                <w:szCs w:val="20"/>
                <w:color w:val="auto"/>
              </w:rPr>
            </w:pPr>
            <w:r>
              <w:rPr>
                <w:rFonts w:ascii="Arial" w:cs="Arial" w:eastAsia="Arial" w:hAnsi="Arial"/>
                <w:sz w:val="16"/>
                <w:szCs w:val="16"/>
                <w:b w:val="1"/>
                <w:bCs w:val="1"/>
                <w:color w:val="auto"/>
              </w:rPr>
              <w:t>1-3</w:t>
            </w:r>
          </w:p>
        </w:tc>
        <w:tc>
          <w:tcPr>
            <w:tcW w:w="380" w:type="dxa"/>
            <w:vAlign w:val="bottom"/>
          </w:tcPr>
          <w:p>
            <w:pPr>
              <w:spacing w:after="0"/>
              <w:rPr>
                <w:sz w:val="17"/>
                <w:szCs w:val="17"/>
                <w:color w:val="auto"/>
              </w:rPr>
            </w:pPr>
          </w:p>
        </w:tc>
        <w:tc>
          <w:tcPr>
            <w:tcW w:w="1080" w:type="dxa"/>
            <w:vAlign w:val="bottom"/>
          </w:tcPr>
          <w:p>
            <w:pPr>
              <w:jc w:val="right"/>
              <w:ind w:right="499"/>
              <w:spacing w:after="0"/>
              <w:rPr>
                <w:sz w:val="20"/>
                <w:szCs w:val="20"/>
                <w:color w:val="auto"/>
              </w:rPr>
            </w:pPr>
            <w:r>
              <w:rPr>
                <w:rFonts w:ascii="Arial" w:cs="Arial" w:eastAsia="Arial" w:hAnsi="Arial"/>
                <w:sz w:val="16"/>
                <w:szCs w:val="16"/>
                <w:b w:val="1"/>
                <w:bCs w:val="1"/>
                <w:color w:val="auto"/>
              </w:rPr>
              <w:t>3-5</w:t>
            </w:r>
          </w:p>
        </w:tc>
        <w:tc>
          <w:tcPr>
            <w:tcW w:w="260" w:type="dxa"/>
            <w:vAlign w:val="bottom"/>
          </w:tcPr>
          <w:p>
            <w:pPr>
              <w:spacing w:after="0"/>
              <w:rPr>
                <w:sz w:val="17"/>
                <w:szCs w:val="17"/>
                <w:color w:val="auto"/>
              </w:rPr>
            </w:pPr>
          </w:p>
        </w:tc>
        <w:tc>
          <w:tcPr>
            <w:tcW w:w="1180" w:type="dxa"/>
            <w:vAlign w:val="bottom"/>
          </w:tcPr>
          <w:p>
            <w:pPr>
              <w:jc w:val="center"/>
              <w:ind w:right="99"/>
              <w:spacing w:after="0"/>
              <w:rPr>
                <w:sz w:val="20"/>
                <w:szCs w:val="20"/>
                <w:color w:val="auto"/>
              </w:rPr>
            </w:pPr>
            <w:r>
              <w:rPr>
                <w:rFonts w:ascii="Arial" w:cs="Arial" w:eastAsia="Arial" w:hAnsi="Arial"/>
                <w:sz w:val="16"/>
                <w:szCs w:val="16"/>
                <w:b w:val="1"/>
                <w:bCs w:val="1"/>
                <w:color w:val="auto"/>
              </w:rPr>
              <w:t>More than 5</w:t>
            </w:r>
          </w:p>
        </w:tc>
      </w:tr>
      <w:tr>
        <w:trPr>
          <w:trHeight w:val="228"/>
        </w:trPr>
        <w:tc>
          <w:tcPr>
            <w:tcW w:w="410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9"/>
              </w:rPr>
              <w:t>1 Year</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6"/>
              </w:rPr>
              <w:t>Years</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Years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Years</w:t>
            </w:r>
          </w:p>
        </w:tc>
      </w:tr>
      <w:tr>
        <w:trPr>
          <w:trHeight w:val="260"/>
        </w:trPr>
        <w:tc>
          <w:tcPr>
            <w:tcW w:w="4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40" w:type="dxa"/>
            <w:vAlign w:val="bottom"/>
            <w:gridSpan w:val="3"/>
          </w:tcPr>
          <w:p>
            <w:pPr>
              <w:ind w:left="6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0"/>
        </w:trPr>
        <w:tc>
          <w:tcPr>
            <w:tcW w:w="4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48,896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6,893</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11,199</w:t>
            </w:r>
          </w:p>
        </w:tc>
        <w:tc>
          <w:tcPr>
            <w:tcW w:w="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8,804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22,000</w:t>
            </w:r>
          </w:p>
        </w:tc>
      </w:tr>
    </w:tbl>
    <w:p>
      <w:pPr>
        <w:spacing w:after="0" w:line="21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October 14, 2016, we entered into a lease agreement (included in the table above) for our new headquarters office facility. The lease payments commence on May 1, 2018 and the lease has a ten-year term through April 2028. The total commitment of $38.6 million is payable monthly with escalating rental payments throughout the lease term. We took possession of the facility on May 1, 2017, completed construction of the facility and moved into the facility in November 2017.</w:t>
      </w:r>
    </w:p>
    <w:p>
      <w:pPr>
        <w:spacing w:after="0" w:line="204"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In connection with this lease, we have provided the landlord with a $1.2 million standby letter of credit (classified as restricted cash) to secure our obligations through the end of the lease term.</w:t>
      </w:r>
    </w:p>
    <w:p>
      <w:pPr>
        <w:spacing w:after="0" w:line="19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Operating lease obligations represent our obligations to make payments under the lease agreements for our facilities, data centers, and office equipment leases. During the year ended December 31, 2017, we made regular payments on our operating lease obligations of $4.4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24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47"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See Note 1 to the consolidated financial statements in Part II, Item 8 of this Annual Report on Form10-K for a discussion of recent accounting pronouncements.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1"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believe that of our significant accounting policies, which are described in the notes to our consolidated financial statements, the following accounting policies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For further information on all of our significant accounting policies, see Note 1 - The Company and Summary of Significant Accounting Policies in the accompanying notes to the consolidated financial statements included in Part II, Item 8, "Financial Statements and Supplementary Data" of this Annual Report on Form 10-K.</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 year renewable subscriptions though some customers do enter into subscriptions with longer terms.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0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 xml:space="preserve">Subscriptions for unlimited scans and certain limited scan arrangements with firm expiration dates are recognized ratably over the period in which the services are performed, generally one year. We recognize revenues for certain other limited scan arrangements, where expiration dates can be extended, on an as-used basis. We recognize the subscription of physical scanner appliances and other computer equipment as revenues ratably over the period of the subscription, which is commensurate with the term of the related subscription. Because the customer’s access to our cloud solutions are delivered at the same time or within close proximity to the delivery of physical scanner appliances and the terms are commensurate for these services and equipment, we consider these elements as a single unit of accounting recognized ratably over the subscription term. Physical equipment (scanners and private cloud platforms) are accounted for as operating leases and revenue is recognized over the subscription term. Costs of shipping and handling charges associated with physical scanner appliances and other computer equipment are included in cost </w:t>
      </w:r>
      <w:r>
        <w:rPr>
          <w:rFonts w:ascii="Arial" w:cs="Arial" w:eastAsia="Arial" w:hAnsi="Arial"/>
          <w:sz w:val="18"/>
          <w:szCs w:val="18"/>
          <w:color w:val="231F20"/>
        </w:rPr>
        <w:t>of revenues.</w:t>
      </w:r>
    </w:p>
    <w:p>
      <w:pPr>
        <w:spacing w:after="0" w:line="10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Deferred </w:t>
      </w:r>
      <w:r>
        <w:rPr>
          <w:rFonts w:ascii="Arial" w:cs="Arial" w:eastAsia="Arial" w:hAnsi="Arial"/>
          <w:sz w:val="18"/>
          <w:szCs w:val="18"/>
          <w:color w:val="231F20"/>
        </w:rPr>
        <w:t>r</w:t>
      </w:r>
      <w:r>
        <w:rPr>
          <w:rFonts w:ascii="Arial" w:cs="Arial" w:eastAsia="Arial" w:hAnsi="Arial"/>
          <w:sz w:val="18"/>
          <w:szCs w:val="18"/>
          <w:color w:val="auto"/>
        </w:rPr>
        <w:t>evenues consist of revenues billed or received that will be recognized in the future under subscriptions existing at the balance sheet date.</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80"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are subject to income taxes in the United States as well as other tax jurisdictions in which we conduct business. Earnings from our non-U.S. activities are subject to local income tax and may also be subject to U.S. income tax.</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Income tax expense or benefit is recognized for the amount of taxes payable or refundable for the current year, and for deferred tax assets and liabilities for the tax consequences of events that have been recognized in an entity’s financial statements or tax returns. We must make significant assumptions, judgments and estimates to determine our current provision for (benefit from) income taxes, our deferred tax assets and liabilities, and any valuation allowance to be recorded against our deferred tax assets. Our judgments, assumptions and estimates relating to the current provision for (benefit from) income taxes include the geographic mix and amount of income (loss), our interpretation of current tax laws, and possible outcomes of current and future audits conducted by foreign and domestic tax authorities. Our judgments also include anticipating the tax positions we will record in the financial statements before actually preparing and filing the tax returns. Our estimates and assumptions may differ from the actual results as reflected in our income tax returns and we record the required adjustments when they are identified or resolved. Changes in our business, tax laws or our interpretation of tax laws, and developments in current and future tax audits, could significantly impact the amounts provided for income taxes in our results of operations, financial position, or cash flows.</w:t>
      </w:r>
    </w:p>
    <w:p>
      <w:pPr>
        <w:spacing w:after="0" w:line="7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Deferred tax assets and liabilities are recognized for the estimated future tax consequences attributable to tax benefit carry-forwards and to differences between the financial statement amounts of assets and liabilities and their respective tax basis. We regularly review our deferred tax assets for recoverability and establish a valuation allowance if it is more likely than not that some portion or all of the deferred tax assets will not be realized. To make this assessment, we take into account predictions of the amount and category of taxable income from various sources and all available positive and negative evidence about these possible sources of taxable income. The weight given to the potential effect of negative and positive evidence is commensurate with the extent to which the strength of the evidence can be objectively verified.</w:t>
      </w:r>
    </w:p>
    <w:p>
      <w:pPr>
        <w:spacing w:after="0" w:line="2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Based on the analysis of positive and negative factors noted above, we do not have a valuation allowance against U.S. federal and certain state deferred tax assets. We believe it is more likely than not that our California deferred tax assets will not be realized because the income attributed to California is not expected to be sufficient to recognize these deferred tax assets. Accordingly, we continue to record a valuation allowance as of December 31, 2017 for our California deferred tax assets. If, in the future, we determine that these deferred tax assets are more likely than not to be realized, a release of all or part, of the related valuation allowance could result in an income tax benefit in the period such determination is made.</w:t>
      </w:r>
    </w:p>
    <w:p>
      <w:pPr>
        <w:spacing w:after="0" w:line="15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We recognize an income tax expense or benefit with respect to uncertain tax positions in our financial statements that we judge is more likely than not to be sustained solely on its technical merits in a tax audit, including resolution of any related appeals or litigation processes. To make this judgment, we must interpret complex and sometimes ambiguous tax laws, regulations and administrative practices. If an income tax position meets the more likely than not recognition threshold, then we must measure the amount of the tax benefit to be recognized by determining the largest amount of tax benefit that has a greater than a 50% likelihood of being realized upon effective settlement with a taxing authority that has full knowledge of all of the relevant facts. It is inherently difficult and subjective to estimate such amounts, as this requires us to determine the probability of various possible settlement outcomes. To determine if a tax position is effectively settled after a tax examination has been completed, we must also estimate the likelihood that another taxing authority could review the respective tax position. We must also determine when it is reasonably possible that the amount of unrecognized tax benefits will significantly increase or decrease in the 12 months after each fiscal year-end. These judgments are difficult because a taxing authority may change its behavior as a result of our disclosures in our financial statements. We must reevaluate our income tax positions on a quarterly basis to consider factors such as changes in facts or circumstances, changes in tax law, effectively settled issues under audit, the potential for interest and penalties, and new audit activity. Such a change in recognition or measurement would result in recognition of a tax benefit or an additional charge to the tax provision.</w:t>
      </w:r>
    </w:p>
    <w:p>
      <w:pPr>
        <w:spacing w:after="0" w:line="15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On December 22, 2017, the 2017 Tax Act was enacted into law. The new legislation contains several key tax provisions that impact the Company, including the reduction of the corporate income tax rate from 35% to 21% effective January 1, 2018 and a variety of other changes, such as a one-time repatriation tax on accumulated foreign earnings (transition tax), acceleration of business asset expensing, and reduction in the amount of executive pay that could qualify as a tax deduction, among others. We have estimated our provision for income taxes in accordance with the 2017 Tax Act and guidance available as of the date of this filing and as a result have recorded $10.4 million as additional income tax expense due to the re-measurement of certain deferred tax assets and liabilities as a result in the reduction of the federal tax rate. No amount related to the one-time transition tax on the mandatory deemed repatriation of foreign earnings was recorded due to cumulative foreign losses of our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On December 22, 2017,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2017 Tax Act. In accordance with SAB 118, we have determined that the $10.4 million of the deferred tax expense recorded in connection with the re-measurement of certain deferred tax assets and liabilities and the zero amount of transition tax on the mandatory deemed repatriation of foreign earnings were provisional amounts and reasonable estimates at December 31, 2017. A comprehensive analysis of the newly introduced provisions for Global Intangible Low Tax Income (“GILTI”), for which additional guidance is expected from the U.S. Internal Revenue Service, is required to finalize the amounts of our deferred tax assets and liabilities, and a detailed analysis of historical foreign earnings and the potential correlative adjustments will be performed to verify the transitional tax does not apply. Subsequent adjustments resulting from the additional work referred to above will be recorded to current tax expense in the quarter of 2018 when the analysis is complete.</w:t>
      </w:r>
    </w:p>
    <w:p>
      <w:pPr>
        <w:spacing w:after="0" w:line="158"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As a result of the adoption of ASU 2016-09 on January 1, 2017, the Company recorded a cumulative effect adjustment to increase retained earnings by $7.7 million with a corresponding increase to deferred tax assets for the federal and state net operating losses and federal research credits attributable to excess tax benefits from stock-based compensation which had not been previously recognized. All excess tax benefits and deficiencies in the current and future periods will be recognized as income tax expense in the Company’s Consolidated Statement of Operations in the reporting period in which they occur. This will result in increased volatility in the Company’s effective tax rate. For the year ended December 31, 2017, the Company recognized a benefit of $27.1 million related to excess tax benefits.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recognize the fair value of our employee stock options and restricted stock units over the requisite service period for those awards ultimately expected to vest. The fair value of each option is estimated on date of grant using the Black-Scholes-Merton option pricing model and the fair value of each restricted stock unit is based on the fair value of our stock on the date of grant. Forfeitures are estimated on the date of grant and revised if actual or expected forfeiture activity differs materially from original estimates.</w:t>
      </w:r>
    </w:p>
    <w:p>
      <w:pPr>
        <w:spacing w:after="0" w:line="15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Determining the appropriate fair value model and calculating the fair value of employee stock options requires the use of highly subjective assumptions, including the expected life of the stock option and stock price volatility. The assumptions used in calculating the fair value of employee stock options represent management’s best estimates, but the estimates involve inherent uncertainties and the application of management’s judgment. As a result, if factors change and we use different assumptions, our stock-based compensation expense could be materially different in the future.</w:t>
      </w:r>
    </w:p>
    <w:p>
      <w:pPr>
        <w:spacing w:after="0" w:line="15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also record compensation representing the fair value of stock options granted to non-employees. Stock-based non-employee compensation is recognized over the vesting periods of the options. The value of options granted to non-employees is periodically re-measured as they vest over a performance period.</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our financial instruments, including cash and certain cash equivalents, accounts receivable, accounts payable, and other current liabilities, the carrying amounts approximate their fair value due to the relatively short maturity of these balances.</w:t>
      </w:r>
    </w:p>
    <w:p>
      <w:pPr>
        <w:spacing w:after="0" w:line="20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measure and report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Our financial instruments consist of assets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 xml:space="preserve">fixed-income U.S. government agency securities, commercial paper, corporate bonds, asset-backed securities and derivative 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 valued using observable</w:t>
      </w:r>
      <w:r>
        <w:rPr>
          <w:rFonts w:ascii="Arial" w:cs="Arial" w:eastAsia="Arial" w:hAnsi="Arial"/>
          <w:sz w:val="18"/>
          <w:szCs w:val="18"/>
          <w:color w:val="000000"/>
        </w:rPr>
        <w:t xml:space="preserve"> </w:t>
      </w:r>
      <w:r>
        <w:rPr>
          <w:rFonts w:ascii="Arial" w:cs="Arial" w:eastAsia="Arial" w:hAnsi="Arial"/>
          <w:sz w:val="18"/>
          <w:szCs w:val="18"/>
          <w:color w:val="231F20"/>
        </w:rPr>
        <w:t>inputs.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1"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6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4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results of operations and cash flows have been and will continue to be subject to fluctuations because of changes in foreign currency exchange rates, particularly changes in exchange rates between the U.S. dollar and the Euro, British Pound, and Indian Rupee,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20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Derivative financial instruments are utilized by the Company to reduce foreign currency exchange risks. We use foreign currency forward contracts to partially mitigate the impact of fluctuations in cash and accounts receivable balances denominated in Euros and British Pounds.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have $355.6 million in cash, cash equivalents and short-term and long-term investments at December 31, 2017. Cash and cash equivalents include cash held in banks, highly liquid money market funds, U.S. government agency securities, and commercial paper. Investments consist of fixed-income U.S. government agency securities, corporate bonds, asset-backed securities and commercial paper. We determine the appropriate balance sheet classification of our investments at the time of purchase and reevaluate such designation at each balance sheet date. We classify our investments as either short-term or long-term based on each instrument's underlying contractual maturity date.</w:t>
      </w:r>
    </w:p>
    <w:p>
      <w:pPr>
        <w:spacing w:after="0" w:line="20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1"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3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231F20"/>
        </w:rPr>
        <w:t>INDEX TO CONSOLIDATED FINANCIAL STATEMENTS</w:t>
      </w:r>
    </w:p>
    <w:p>
      <w:pPr>
        <w:spacing w:after="0" w:line="203" w:lineRule="exact"/>
        <w:rPr>
          <w:sz w:val="20"/>
          <w:szCs w:val="20"/>
          <w:color w:val="auto"/>
        </w:rPr>
      </w:pPr>
    </w:p>
    <w:tbl>
      <w:tblPr>
        <w:tblLayout w:type="fixed"/>
        <w:tblInd w:w="380" w:type="dxa"/>
        <w:tblCellMar>
          <w:top w:w="0" w:type="dxa"/>
          <w:left w:w="0" w:type="dxa"/>
          <w:bottom w:w="0" w:type="dxa"/>
          <w:right w:w="0" w:type="dxa"/>
        </w:tblCellMar>
      </w:tblPr>
      <w:tr>
        <w:trPr>
          <w:trHeight w:val="239"/>
        </w:trPr>
        <w:tc>
          <w:tcPr>
            <w:tcW w:w="4400" w:type="dxa"/>
            <w:vAlign w:val="bottom"/>
          </w:tcPr>
          <w:p>
            <w:pPr>
              <w:spacing w:after="0"/>
              <w:rPr>
                <w:sz w:val="20"/>
                <w:szCs w:val="20"/>
                <w:color w:val="auto"/>
              </w:rPr>
            </w:pPr>
          </w:p>
        </w:tc>
        <w:tc>
          <w:tcPr>
            <w:tcW w:w="6300" w:type="dxa"/>
            <w:vAlign w:val="bottom"/>
            <w:gridSpan w:val="4"/>
          </w:tcPr>
          <w:p>
            <w:pPr>
              <w:jc w:val="center"/>
              <w:ind w:right="4440"/>
              <w:spacing w:after="0"/>
              <w:rPr>
                <w:sz w:val="20"/>
                <w:szCs w:val="20"/>
                <w:color w:val="auto"/>
              </w:rPr>
            </w:pPr>
            <w:r>
              <w:rPr>
                <w:rFonts w:ascii="Arial" w:cs="Arial" w:eastAsia="Arial" w:hAnsi="Arial"/>
                <w:sz w:val="18"/>
                <w:szCs w:val="18"/>
                <w:b w:val="1"/>
                <w:bCs w:val="1"/>
                <w:color w:val="auto"/>
                <w:w w:val="98"/>
              </w:rPr>
              <w:t>Table of Contents</w:t>
            </w:r>
          </w:p>
        </w:tc>
      </w:tr>
      <w:tr>
        <w:trPr>
          <w:trHeight w:val="588"/>
        </w:trPr>
        <w:tc>
          <w:tcPr>
            <w:tcW w:w="44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rPr>
              <w:t>Page</w:t>
            </w:r>
          </w:p>
        </w:tc>
      </w:tr>
      <w:tr>
        <w:trPr>
          <w:trHeight w:val="189"/>
        </w:trPr>
        <w:tc>
          <w:tcPr>
            <w:tcW w:w="4400" w:type="dxa"/>
            <w:vAlign w:val="bottom"/>
          </w:tcPr>
          <w:p>
            <w:pPr>
              <w:spacing w:after="0"/>
              <w:rPr>
                <w:sz w:val="20"/>
                <w:szCs w:val="20"/>
                <w:color w:val="auto"/>
              </w:rPr>
            </w:pPr>
            <w:r>
              <w:rPr>
                <w:rFonts w:ascii="Arial" w:cs="Arial" w:eastAsia="Arial" w:hAnsi="Arial"/>
                <w:sz w:val="16"/>
                <w:szCs w:val="16"/>
                <w:color w:val="auto"/>
              </w:rPr>
              <w:t>Reports of Independent Registered Public Accounting Firm</w:t>
            </w:r>
          </w:p>
        </w:tc>
        <w:tc>
          <w:tcPr>
            <w:tcW w:w="5640" w:type="dxa"/>
            <w:vAlign w:val="bottom"/>
            <w:gridSpan w:val="3"/>
          </w:tcPr>
          <w:p>
            <w:pPr>
              <w:jc w:val="center"/>
              <w:ind w:left="5377"/>
              <w:spacing w:after="0"/>
              <w:rPr>
                <w:rFonts w:ascii="Arial" w:cs="Arial" w:eastAsia="Arial" w:hAnsi="Arial"/>
                <w:sz w:val="16"/>
                <w:szCs w:val="16"/>
                <w:color w:val="0000EE"/>
              </w:rPr>
            </w:pPr>
            <w:hyperlink w:anchor="page62">
              <w:r>
                <w:rPr>
                  <w:rFonts w:ascii="Arial" w:cs="Arial" w:eastAsia="Arial" w:hAnsi="Arial"/>
                  <w:sz w:val="16"/>
                  <w:szCs w:val="16"/>
                  <w:color w:val="0000EE"/>
                </w:rPr>
                <w:t>61</w:t>
              </w:r>
            </w:hyperlink>
          </w:p>
        </w:tc>
        <w:tc>
          <w:tcPr>
            <w:tcW w:w="660" w:type="dxa"/>
            <w:vAlign w:val="bottom"/>
          </w:tcPr>
          <w:p>
            <w:pPr>
              <w:spacing w:after="0"/>
              <w:rPr>
                <w:sz w:val="16"/>
                <w:szCs w:val="16"/>
                <w:color w:val="auto"/>
              </w:rPr>
            </w:pPr>
          </w:p>
        </w:tc>
      </w:tr>
      <w:tr>
        <w:trPr>
          <w:trHeight w:val="20"/>
        </w:trPr>
        <w:tc>
          <w:tcPr>
            <w:tcW w:w="440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color w:val="auto"/>
              </w:rPr>
              <w:t>Consolidated Balance Sheets</w:t>
            </w:r>
          </w:p>
        </w:tc>
        <w:tc>
          <w:tcPr>
            <w:tcW w:w="5640" w:type="dxa"/>
            <w:vAlign w:val="bottom"/>
            <w:gridSpan w:val="3"/>
          </w:tcPr>
          <w:p>
            <w:pPr>
              <w:jc w:val="center"/>
              <w:ind w:left="5377"/>
              <w:spacing w:after="0"/>
              <w:rPr>
                <w:rFonts w:ascii="Arial" w:cs="Arial" w:eastAsia="Arial" w:hAnsi="Arial"/>
                <w:sz w:val="16"/>
                <w:szCs w:val="16"/>
                <w:color w:val="0000EE"/>
              </w:rPr>
            </w:pPr>
            <w:hyperlink w:anchor="page64">
              <w:r>
                <w:rPr>
                  <w:rFonts w:ascii="Arial" w:cs="Arial" w:eastAsia="Arial" w:hAnsi="Arial"/>
                  <w:sz w:val="16"/>
                  <w:szCs w:val="16"/>
                  <w:color w:val="0000EE"/>
                </w:rPr>
                <w:t>63</w:t>
              </w:r>
            </w:hyperlink>
          </w:p>
        </w:tc>
        <w:tc>
          <w:tcPr>
            <w:tcW w:w="6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color w:val="auto"/>
              </w:rPr>
              <w:t>Consolidated Statements of Operations</w:t>
            </w:r>
          </w:p>
        </w:tc>
        <w:tc>
          <w:tcPr>
            <w:tcW w:w="5640" w:type="dxa"/>
            <w:vAlign w:val="bottom"/>
            <w:gridSpan w:val="3"/>
          </w:tcPr>
          <w:p>
            <w:pPr>
              <w:jc w:val="center"/>
              <w:ind w:left="5377"/>
              <w:spacing w:after="0"/>
              <w:rPr>
                <w:rFonts w:ascii="Arial" w:cs="Arial" w:eastAsia="Arial" w:hAnsi="Arial"/>
                <w:sz w:val="16"/>
                <w:szCs w:val="16"/>
                <w:color w:val="0000EE"/>
              </w:rPr>
            </w:pPr>
            <w:hyperlink w:anchor="page65">
              <w:r>
                <w:rPr>
                  <w:rFonts w:ascii="Arial" w:cs="Arial" w:eastAsia="Arial" w:hAnsi="Arial"/>
                  <w:sz w:val="16"/>
                  <w:szCs w:val="16"/>
                  <w:color w:val="0000EE"/>
                </w:rPr>
                <w:t>64</w:t>
              </w:r>
            </w:hyperlink>
          </w:p>
        </w:tc>
        <w:tc>
          <w:tcPr>
            <w:tcW w:w="6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color w:val="auto"/>
              </w:rPr>
              <w:t>Consolidated Statements of Comprehensive Income</w:t>
            </w:r>
          </w:p>
        </w:tc>
        <w:tc>
          <w:tcPr>
            <w:tcW w:w="5640" w:type="dxa"/>
            <w:vAlign w:val="bottom"/>
            <w:gridSpan w:val="3"/>
          </w:tcPr>
          <w:p>
            <w:pPr>
              <w:jc w:val="center"/>
              <w:ind w:left="5377"/>
              <w:spacing w:after="0"/>
              <w:rPr>
                <w:rFonts w:ascii="Arial" w:cs="Arial" w:eastAsia="Arial" w:hAnsi="Arial"/>
                <w:sz w:val="16"/>
                <w:szCs w:val="16"/>
                <w:color w:val="0000EE"/>
              </w:rPr>
            </w:pPr>
            <w:hyperlink w:anchor="page66">
              <w:r>
                <w:rPr>
                  <w:rFonts w:ascii="Arial" w:cs="Arial" w:eastAsia="Arial" w:hAnsi="Arial"/>
                  <w:sz w:val="16"/>
                  <w:szCs w:val="16"/>
                  <w:color w:val="0000EE"/>
                </w:rPr>
                <w:t>65</w:t>
              </w:r>
            </w:hyperlink>
          </w:p>
        </w:tc>
        <w:tc>
          <w:tcPr>
            <w:tcW w:w="6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color w:val="auto"/>
              </w:rPr>
              <w:t>Consolidated Statements of Cash Flows</w:t>
            </w:r>
          </w:p>
        </w:tc>
        <w:tc>
          <w:tcPr>
            <w:tcW w:w="5640" w:type="dxa"/>
            <w:vAlign w:val="bottom"/>
            <w:gridSpan w:val="3"/>
          </w:tcPr>
          <w:p>
            <w:pPr>
              <w:jc w:val="center"/>
              <w:ind w:left="5377"/>
              <w:spacing w:after="0"/>
              <w:rPr>
                <w:rFonts w:ascii="Arial" w:cs="Arial" w:eastAsia="Arial" w:hAnsi="Arial"/>
                <w:sz w:val="16"/>
                <w:szCs w:val="16"/>
                <w:color w:val="0000EE"/>
              </w:rPr>
            </w:pPr>
            <w:hyperlink w:anchor="page67">
              <w:r>
                <w:rPr>
                  <w:rFonts w:ascii="Arial" w:cs="Arial" w:eastAsia="Arial" w:hAnsi="Arial"/>
                  <w:sz w:val="16"/>
                  <w:szCs w:val="16"/>
                  <w:color w:val="0000EE"/>
                </w:rPr>
                <w:t>66</w:t>
              </w:r>
            </w:hyperlink>
          </w:p>
        </w:tc>
        <w:tc>
          <w:tcPr>
            <w:tcW w:w="6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color w:val="auto"/>
              </w:rPr>
              <w:t>Consolidated Statements of Stockholders' Equity</w:t>
            </w:r>
          </w:p>
        </w:tc>
        <w:tc>
          <w:tcPr>
            <w:tcW w:w="5640" w:type="dxa"/>
            <w:vAlign w:val="bottom"/>
            <w:gridSpan w:val="3"/>
          </w:tcPr>
          <w:p>
            <w:pPr>
              <w:jc w:val="center"/>
              <w:ind w:left="5377"/>
              <w:spacing w:after="0"/>
              <w:rPr>
                <w:rFonts w:ascii="Arial" w:cs="Arial" w:eastAsia="Arial" w:hAnsi="Arial"/>
                <w:sz w:val="16"/>
                <w:szCs w:val="16"/>
                <w:color w:val="0000EE"/>
              </w:rPr>
            </w:pPr>
            <w:hyperlink w:anchor="page68">
              <w:r>
                <w:rPr>
                  <w:rFonts w:ascii="Arial" w:cs="Arial" w:eastAsia="Arial" w:hAnsi="Arial"/>
                  <w:sz w:val="16"/>
                  <w:szCs w:val="16"/>
                  <w:color w:val="0000EE"/>
                </w:rPr>
                <w:t>67</w:t>
              </w:r>
            </w:hyperlink>
          </w:p>
        </w:tc>
        <w:tc>
          <w:tcPr>
            <w:tcW w:w="66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6"/>
                <w:szCs w:val="16"/>
                <w:color w:val="auto"/>
              </w:rPr>
              <w:t>Notes to Consolidated Financial Statements</w:t>
            </w:r>
          </w:p>
        </w:tc>
        <w:tc>
          <w:tcPr>
            <w:tcW w:w="5640" w:type="dxa"/>
            <w:vAlign w:val="bottom"/>
            <w:gridSpan w:val="3"/>
          </w:tcPr>
          <w:p>
            <w:pPr>
              <w:jc w:val="center"/>
              <w:ind w:left="5377"/>
              <w:spacing w:after="0"/>
              <w:rPr>
                <w:rFonts w:ascii="Arial" w:cs="Arial" w:eastAsia="Arial" w:hAnsi="Arial"/>
                <w:sz w:val="16"/>
                <w:szCs w:val="16"/>
                <w:color w:val="0000EE"/>
              </w:rPr>
            </w:pPr>
            <w:hyperlink w:anchor="page69">
              <w:r>
                <w:rPr>
                  <w:rFonts w:ascii="Arial" w:cs="Arial" w:eastAsia="Arial" w:hAnsi="Arial"/>
                  <w:sz w:val="16"/>
                  <w:szCs w:val="16"/>
                  <w:color w:val="0000EE"/>
                </w:rPr>
                <w:t>68</w:t>
              </w:r>
            </w:hyperlink>
          </w:p>
        </w:tc>
        <w:tc>
          <w:tcPr>
            <w:tcW w:w="660" w:type="dxa"/>
            <w:vAlign w:val="bottom"/>
          </w:tcPr>
          <w:p>
            <w:pPr>
              <w:spacing w:after="0"/>
              <w:rPr>
                <w:sz w:val="19"/>
                <w:szCs w:val="19"/>
                <w:color w:val="auto"/>
              </w:rPr>
            </w:pPr>
          </w:p>
        </w:tc>
      </w:tr>
      <w:tr>
        <w:trPr>
          <w:trHeight w:val="925"/>
        </w:trPr>
        <w:tc>
          <w:tcPr>
            <w:tcW w:w="4400" w:type="dxa"/>
            <w:vAlign w:val="bottom"/>
          </w:tcPr>
          <w:p>
            <w:pPr>
              <w:spacing w:after="0"/>
              <w:rPr>
                <w:sz w:val="24"/>
                <w:szCs w:val="24"/>
                <w:color w:val="auto"/>
              </w:rPr>
            </w:pPr>
          </w:p>
        </w:tc>
        <w:tc>
          <w:tcPr>
            <w:tcW w:w="4800" w:type="dxa"/>
            <w:vAlign w:val="bottom"/>
          </w:tcPr>
          <w:p>
            <w:pPr>
              <w:jc w:val="right"/>
              <w:ind w:right="3677"/>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080"/>
          </w:cols>
          <w:pgMar w:left="240" w:top="141" w:right="57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Qualys, Inc.</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auto"/>
        </w:rPr>
        <w:t>Opinion on the financial statements</w:t>
      </w:r>
    </w:p>
    <w:p>
      <w:pPr>
        <w:spacing w:after="0" w:line="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Qualys, Inc. (a Delaware corporation) and subsidiaries (the “Company”) as of December 31, 2017 and 2016, the related consolidated statements of operations, comprehensive income, changes in stockholders’ equity, and cash flows for each of the three years in the period ended December 31, 2017, and the related notes and financial statement schedule listed in the index appearing under Item 15(a)(2)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the 2013 </w:t>
      </w:r>
      <w:r>
        <w:rPr>
          <w:rFonts w:ascii="Arial" w:cs="Arial" w:eastAsia="Arial" w:hAnsi="Arial"/>
          <w:sz w:val="18"/>
          <w:szCs w:val="18"/>
          <w:i w:val="1"/>
          <w:iCs w:val="1"/>
          <w:color w:val="auto"/>
        </w:rPr>
        <w:t xml:space="preserve">Internal Control-Integrated Framework </w:t>
      </w:r>
      <w:r>
        <w:rPr>
          <w:rFonts w:ascii="Arial" w:cs="Arial" w:eastAsia="Arial" w:hAnsi="Arial"/>
          <w:sz w:val="18"/>
          <w:szCs w:val="18"/>
          <w:color w:val="auto"/>
        </w:rPr>
        <w:t>issued by the Committee of Sponsoring Organizations of the Treadway Commission (“COSO”),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23, 2018 expressed unqualified opinion.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Basis for opinion</w:t>
      </w:r>
    </w:p>
    <w:p>
      <w:pPr>
        <w:spacing w:after="0" w:line="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2018</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1"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Qualys, Inc.</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Opinion on internal control over financial reporting</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have audited the internal control over financial reporting of Qualys, Inc. (a Delaware corporation) and subsidiaries (the “Company”) as of December 31, 2017,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the 2013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2017, and our report dated February 23, 2018 expressed an unqualified opinion on those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Basis for opinion</w:t>
      </w:r>
    </w:p>
    <w:p>
      <w:pPr>
        <w:spacing w:after="0" w:line="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Definition and limitations of internal control over financial reporting</w:t>
      </w:r>
    </w:p>
    <w:p>
      <w:pPr>
        <w:spacing w:after="0" w:line="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1"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28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51"/>
        </w:trPr>
        <w:tc>
          <w:tcPr>
            <w:tcW w:w="836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86,591</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86,737</w:t>
            </w:r>
          </w:p>
        </w:tc>
      </w:tr>
      <w:tr>
        <w:trPr>
          <w:trHeight w:val="276"/>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investments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201,823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157,119</w:t>
            </w: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Accounts receivable, net of allowance of $816 and $702 at December 31, 2017 and 2016, respectively</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64,412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47,024</w:t>
            </w:r>
          </w:p>
        </w:tc>
      </w:tr>
      <w:tr>
        <w:trPr>
          <w:trHeight w:val="27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16,524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9,808</w:t>
            </w:r>
          </w:p>
        </w:tc>
      </w:tr>
      <w:tr>
        <w:trPr>
          <w:trHeight w:val="250"/>
        </w:trPr>
        <w:tc>
          <w:tcPr>
            <w:tcW w:w="836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369,350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300,688</w:t>
            </w: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investments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67,224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45,725</w:t>
            </w: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58,557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39,401</w:t>
            </w: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assets,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16,590</w:t>
            </w: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12,401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987</w:t>
            </w: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1,200</w:t>
            </w:r>
          </w:p>
        </w:tc>
      </w:tr>
      <w:tr>
        <w:trPr>
          <w:trHeight w:val="270"/>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2,178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2,096</w:t>
            </w:r>
          </w:p>
        </w:tc>
      </w:tr>
      <w:tr>
        <w:trPr>
          <w:trHeight w:val="283"/>
        </w:trPr>
        <w:tc>
          <w:tcPr>
            <w:tcW w:w="83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537,525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407,004</w:t>
            </w:r>
          </w:p>
        </w:tc>
      </w:tr>
      <w:tr>
        <w:trPr>
          <w:trHeight w:val="251"/>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2,051</w:t>
            </w: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Accrued liabilities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21,444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13,317</w:t>
            </w:r>
          </w:p>
        </w:tc>
      </w:tr>
      <w:tr>
        <w:trPr>
          <w:trHeight w:val="27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 current</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143,186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114,964</w:t>
            </w:r>
          </w:p>
        </w:tc>
      </w:tr>
      <w:tr>
        <w:trPr>
          <w:trHeight w:val="250"/>
        </w:trPr>
        <w:tc>
          <w:tcPr>
            <w:tcW w:w="836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165,774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130,332</w:t>
            </w: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revenues, noncurrent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15,528</w:t>
            </w:r>
          </w:p>
        </w:tc>
      </w:tr>
      <w:tr>
        <w:trPr>
          <w:trHeight w:val="26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11,071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2,731</w:t>
            </w:r>
          </w:p>
        </w:tc>
      </w:tr>
      <w:tr>
        <w:trPr>
          <w:trHeight w:val="256"/>
        </w:trPr>
        <w:tc>
          <w:tcPr>
            <w:tcW w:w="83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193,981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148,591</w:t>
            </w:r>
          </w:p>
        </w:tc>
      </w:tr>
      <w:tr>
        <w:trPr>
          <w:trHeight w:val="264"/>
        </w:trPr>
        <w:tc>
          <w:tcPr>
            <w:tcW w:w="8360" w:type="dxa"/>
            <w:vAlign w:val="bottom"/>
          </w:tcPr>
          <w:p>
            <w:pPr>
              <w:ind w:left="40"/>
              <w:spacing w:after="0"/>
              <w:rPr>
                <w:sz w:val="20"/>
                <w:szCs w:val="20"/>
                <w:color w:val="auto"/>
              </w:rPr>
            </w:pPr>
            <w:r>
              <w:rPr>
                <w:rFonts w:ascii="Arial" w:cs="Arial" w:eastAsia="Arial" w:hAnsi="Arial"/>
                <w:sz w:val="14"/>
                <w:szCs w:val="14"/>
                <w:color w:val="auto"/>
              </w:rPr>
              <w:t>Commitments and contingencies (Note 6)</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6"/>
        </w:trPr>
        <w:tc>
          <w:tcPr>
            <w:tcW w:w="8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194"/>
        </w:trPr>
        <w:tc>
          <w:tcPr>
            <w:tcW w:w="8360" w:type="dxa"/>
            <w:vAlign w:val="bottom"/>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December 31, 2017</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78"/>
        </w:trPr>
        <w:tc>
          <w:tcPr>
            <w:tcW w:w="8360" w:type="dxa"/>
            <w:vAlign w:val="bottom"/>
          </w:tcPr>
          <w:p>
            <w:pPr>
              <w:ind w:left="520"/>
              <w:spacing w:after="0"/>
              <w:rPr>
                <w:sz w:val="20"/>
                <w:szCs w:val="20"/>
                <w:color w:val="auto"/>
              </w:rPr>
            </w:pPr>
            <w:r>
              <w:rPr>
                <w:rFonts w:ascii="Arial" w:cs="Arial" w:eastAsia="Arial" w:hAnsi="Arial"/>
                <w:sz w:val="14"/>
                <w:szCs w:val="14"/>
                <w:color w:val="auto"/>
              </w:rPr>
              <w:t>and 2016</w:t>
            </w:r>
          </w:p>
        </w:tc>
        <w:tc>
          <w:tcPr>
            <w:tcW w:w="18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 $0.001 par value; 1,000,000,000 shares authorized, 38,598,117 and 35,841,001 shares issued and</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84"/>
        </w:trPr>
        <w:tc>
          <w:tcPr>
            <w:tcW w:w="83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outstanding at December 31, 2017 and 2016, respectively</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r>
      <w:tr>
        <w:trPr>
          <w:trHeight w:val="264"/>
        </w:trPr>
        <w:tc>
          <w:tcPr>
            <w:tcW w:w="836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304,155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266,794</w:t>
            </w:r>
          </w:p>
        </w:tc>
      </w:tr>
      <w:tr>
        <w:trPr>
          <w:trHeight w:val="276"/>
        </w:trPr>
        <w:tc>
          <w:tcPr>
            <w:tcW w:w="8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r>
      <w:tr>
        <w:trPr>
          <w:trHeight w:val="264"/>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Retained earnings (deficit)</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39,924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(8,261)</w:t>
            </w:r>
          </w:p>
        </w:tc>
      </w:tr>
      <w:tr>
        <w:trPr>
          <w:trHeight w:val="250"/>
        </w:trPr>
        <w:tc>
          <w:tcPr>
            <w:tcW w:w="83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343,544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258,413</w:t>
            </w:r>
          </w:p>
        </w:tc>
      </w:tr>
      <w:tr>
        <w:trPr>
          <w:trHeight w:val="243"/>
        </w:trPr>
        <w:tc>
          <w:tcPr>
            <w:tcW w:w="836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537,525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407,004</w:t>
            </w: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41"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230,828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197,925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164,284</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0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51,580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43,128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34,327</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179,248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154,797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129,957</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42,816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36,591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30,438</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63,855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58,985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50,397</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231F20"/>
            </w:tcBorders>
            <w:shd w:val="clear" w:color="auto" w:fill="CCEEFF"/>
          </w:tcPr>
          <w:p>
            <w:pPr>
              <w:spacing w:after="0"/>
              <w:rPr>
                <w:sz w:val="23"/>
                <w:szCs w:val="23"/>
                <w:color w:val="auto"/>
              </w:rPr>
            </w:pPr>
          </w:p>
        </w:tc>
        <w:tc>
          <w:tcPr>
            <w:tcW w:w="98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35,334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29,114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24,316</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142,005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124,690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105,151</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37,243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30,107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24,806</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2,674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expense, net</w:t>
            </w:r>
          </w:p>
        </w:tc>
        <w:tc>
          <w:tcPr>
            <w:tcW w:w="300" w:type="dxa"/>
            <w:vAlign w:val="bottom"/>
            <w:tcBorders>
              <w:bottom w:val="single" w:sz="8" w:color="231F20"/>
            </w:tcBorders>
            <w:shd w:val="clear" w:color="auto" w:fill="CCEEFF"/>
          </w:tcPr>
          <w:p>
            <w:pPr>
              <w:spacing w:after="0"/>
              <w:rPr>
                <w:sz w:val="23"/>
                <w:szCs w:val="23"/>
                <w:color w:val="auto"/>
              </w:rPr>
            </w:pPr>
          </w:p>
        </w:tc>
        <w:tc>
          <w:tcPr>
            <w:tcW w:w="980" w:type="dxa"/>
            <w:vAlign w:val="bottom"/>
            <w:tcBorders>
              <w:bottom w:val="single" w:sz="8" w:color="231F20"/>
            </w:tcBorders>
            <w:shd w:val="clear" w:color="auto" w:fill="CCEEFF"/>
          </w:tcPr>
          <w:p>
            <w:pPr>
              <w:jc w:val="right"/>
              <w:ind w:right="8"/>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(972)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30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2,135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9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322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39,378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30,429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24,520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(Benefit from) provision for income taxes</w:t>
            </w:r>
          </w:p>
        </w:tc>
        <w:tc>
          <w:tcPr>
            <w:tcW w:w="300" w:type="dxa"/>
            <w:vAlign w:val="bottom"/>
            <w:tcBorders>
              <w:bottom w:val="single" w:sz="8" w:color="231F20"/>
            </w:tcBorders>
          </w:tcPr>
          <w:p>
            <w:pPr>
              <w:spacing w:after="0"/>
              <w:rPr>
                <w:sz w:val="22"/>
                <w:szCs w:val="22"/>
                <w:color w:val="auto"/>
              </w:rPr>
            </w:pPr>
          </w:p>
        </w:tc>
        <w:tc>
          <w:tcPr>
            <w:tcW w:w="980" w:type="dxa"/>
            <w:vAlign w:val="bottom"/>
            <w:tcBorders>
              <w:bottom w:val="single" w:sz="8" w:color="231F20"/>
            </w:tcBorders>
          </w:tcPr>
          <w:p>
            <w:pPr>
              <w:jc w:val="right"/>
              <w:ind w:right="8"/>
              <w:spacing w:after="0"/>
              <w:rPr>
                <w:sz w:val="20"/>
                <w:szCs w:val="20"/>
                <w:color w:val="auto"/>
              </w:rPr>
            </w:pPr>
            <w:r>
              <w:rPr>
                <w:rFonts w:ascii="Arial" w:cs="Arial" w:eastAsia="Arial" w:hAnsi="Arial"/>
                <w:sz w:val="14"/>
                <w:szCs w:val="14"/>
                <w:color w:val="auto"/>
              </w:rPr>
              <w:t>(1,062)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11,205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8,655</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15,865</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4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251"/>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37,443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35,247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34,050</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40,071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38,369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38,184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41"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40,440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19,224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15,865</w:t>
            </w:r>
          </w:p>
        </w:tc>
        <w:tc>
          <w:tcPr>
            <w:tcW w:w="0" w:type="dxa"/>
            <w:vAlign w:val="bottom"/>
          </w:tcPr>
          <w:p>
            <w:pPr>
              <w:spacing w:after="0"/>
              <w:rPr>
                <w:sz w:val="1"/>
                <w:szCs w:val="1"/>
                <w:color w:val="auto"/>
              </w:rPr>
            </w:pPr>
          </w:p>
        </w:tc>
      </w:tr>
      <w:tr>
        <w:trPr>
          <w:trHeight w:val="264"/>
        </w:trPr>
        <w:tc>
          <w:tcPr>
            <w:tcW w:w="7440" w:type="dxa"/>
            <w:vAlign w:val="bottom"/>
          </w:tcPr>
          <w:p>
            <w:pPr>
              <w:ind w:left="120"/>
              <w:spacing w:after="0"/>
              <w:rPr>
                <w:sz w:val="20"/>
                <w:szCs w:val="20"/>
                <w:color w:val="auto"/>
              </w:rPr>
            </w:pPr>
            <w:r>
              <w:rPr>
                <w:rFonts w:ascii="Arial" w:cs="Arial" w:eastAsia="Arial" w:hAnsi="Arial"/>
                <w:sz w:val="14"/>
                <w:szCs w:val="14"/>
                <w:color w:val="231F20"/>
              </w:rPr>
              <w:t>Available-for-sale investments: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60"/>
              <w:spacing w:after="0"/>
              <w:rPr>
                <w:sz w:val="20"/>
                <w:szCs w:val="20"/>
                <w:color w:val="auto"/>
              </w:rPr>
            </w:pPr>
            <w:r>
              <w:rPr>
                <w:rFonts w:ascii="Arial" w:cs="Arial" w:eastAsia="Arial" w:hAnsi="Arial"/>
                <w:sz w:val="14"/>
                <w:szCs w:val="14"/>
                <w:color w:val="231F20"/>
              </w:rPr>
              <w:t>Change in net unrealized loss on investments, net of tax</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231F20"/>
              </w:rPr>
              <w:t>Less: reclassification adjustment for net realized gain (loss) included in net income, net of tax</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 income, net of tax</w:t>
            </w:r>
          </w:p>
        </w:tc>
        <w:tc>
          <w:tcPr>
            <w:tcW w:w="30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68"/>
        </w:trPr>
        <w:tc>
          <w:tcPr>
            <w:tcW w:w="74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40,022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19,279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15,644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41"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40,440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19,224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15,865</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 expense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20,636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16,994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14,360</w:t>
            </w:r>
          </w:p>
        </w:tc>
        <w:tc>
          <w:tcPr>
            <w:tcW w:w="0" w:type="dxa"/>
            <w:vAlign w:val="bottom"/>
          </w:tcPr>
          <w:p>
            <w:pPr>
              <w:spacing w:after="0"/>
              <w:rPr>
                <w:sz w:val="1"/>
                <w:szCs w:val="1"/>
                <w:color w:val="auto"/>
              </w:rPr>
            </w:pP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Bad debt expense</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26,961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20,149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17,494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Excess tax benefits from stock-based compensation</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Impairment of intangible assets</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(10,414)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6,564</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Excess tax benefits included in deferred tax assets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7,696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(17,966)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(10,183)</w:t>
            </w:r>
          </w:p>
        </w:tc>
        <w:tc>
          <w:tcPr>
            <w:tcW w:w="0" w:type="dxa"/>
            <w:vAlign w:val="bottom"/>
          </w:tcPr>
          <w:p>
            <w:pPr>
              <w:spacing w:after="0"/>
              <w:rPr>
                <w:sz w:val="1"/>
                <w:szCs w:val="1"/>
                <w:color w:val="auto"/>
              </w:rPr>
            </w:pP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Restricted cash</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(1,220)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(3,293)</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Accrued liabilities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9,696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3,339</w:t>
            </w:r>
          </w:p>
        </w:tc>
        <w:tc>
          <w:tcPr>
            <w:tcW w:w="0" w:type="dxa"/>
            <w:vAlign w:val="bottom"/>
          </w:tcPr>
          <w:p>
            <w:pPr>
              <w:spacing w:after="0"/>
              <w:rPr>
                <w:sz w:val="1"/>
                <w:szCs w:val="1"/>
                <w:color w:val="auto"/>
              </w:rPr>
            </w:pPr>
          </w:p>
        </w:tc>
      </w:tr>
      <w:tr>
        <w:trPr>
          <w:trHeight w:val="264"/>
        </w:trPr>
        <w:tc>
          <w:tcPr>
            <w:tcW w:w="7440" w:type="dxa"/>
            <w:vAlign w:val="bottom"/>
          </w:tcPr>
          <w:p>
            <w:pPr>
              <w:ind w:left="720"/>
              <w:spacing w:after="0"/>
              <w:rPr>
                <w:sz w:val="20"/>
                <w:szCs w:val="20"/>
                <w:color w:val="auto"/>
              </w:rPr>
            </w:pPr>
            <w:r>
              <w:rPr>
                <w:rFonts w:ascii="Arial" w:cs="Arial" w:eastAsia="Arial" w:hAnsi="Arial"/>
                <w:sz w:val="14"/>
                <w:szCs w:val="14"/>
                <w:color w:val="auto"/>
              </w:rPr>
              <w:t>Deferred revenues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29,830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17,903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21,378</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7,343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1,455</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107,646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68,110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65,960</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Purchases of investments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(299,891)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(222,953)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(146,707)</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Sales and maturities of investments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231,996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149,708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105,509</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Purchases of property and equipment</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(37,818)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(23,245)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(20,051)</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Business acquisitions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(12,482)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Capitalized software development costs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56"/>
        </w:trPr>
        <w:tc>
          <w:tcPr>
            <w:tcW w:w="744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(118,195)</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(96,490)</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(61,348)</w:t>
            </w:r>
          </w:p>
        </w:tc>
        <w:tc>
          <w:tcPr>
            <w:tcW w:w="0" w:type="dxa"/>
            <w:vAlign w:val="bottom"/>
          </w:tcPr>
          <w:p>
            <w:pPr>
              <w:spacing w:after="0"/>
              <w:rPr>
                <w:sz w:val="1"/>
                <w:szCs w:val="1"/>
                <w:color w:val="auto"/>
              </w:rPr>
            </w:pPr>
          </w:p>
        </w:tc>
      </w:tr>
      <w:tr>
        <w:trPr>
          <w:trHeight w:val="258"/>
        </w:trPr>
        <w:tc>
          <w:tcPr>
            <w:tcW w:w="744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31,327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15,157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10,095</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Excess tax benefits from stock-based compensation</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8,700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(20,924)</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financing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10,403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23,419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10,582</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15,194</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86,737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91,698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76,504</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86,591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86,737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91,698</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4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interest expense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Cash paid for income taxes, net of refunds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1,584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280"/>
              <w:spacing w:after="0"/>
              <w:rPr>
                <w:sz w:val="20"/>
                <w:szCs w:val="20"/>
                <w:color w:val="auto"/>
              </w:rPr>
            </w:pPr>
            <w:r>
              <w:rPr>
                <w:rFonts w:ascii="Arial" w:cs="Arial" w:eastAsia="Arial" w:hAnsi="Arial"/>
                <w:sz w:val="14"/>
                <w:szCs w:val="14"/>
                <w:color w:val="auto"/>
              </w:rPr>
              <w:t>Business acquisitions recorded in Intangible Assets and Accrued liabilities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 recorded in accounts payable and accrued liabilities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7440" w:type="dxa"/>
            <w:vAlign w:val="bottom"/>
          </w:tcPr>
          <w:p>
            <w:pPr>
              <w:ind w:left="280"/>
              <w:spacing w:after="0"/>
              <w:rPr>
                <w:sz w:val="20"/>
                <w:szCs w:val="20"/>
                <w:color w:val="auto"/>
              </w:rPr>
            </w:pPr>
            <w:r>
              <w:rPr>
                <w:rFonts w:ascii="Arial" w:cs="Arial" w:eastAsia="Arial" w:hAnsi="Arial"/>
                <w:sz w:val="14"/>
                <w:szCs w:val="14"/>
                <w:color w:val="auto"/>
              </w:rPr>
              <w:t>Vesting of early exercised common stock options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141" w:right="239" w:bottom="1440" w:gutter="0" w:footer="0" w:header="0"/>
          <w:type w:val="continuous"/>
        </w:sectPr>
      </w:pPr>
    </w:p>
    <w:bookmarkStart w:id="67" w:name="page68"/>
    <w:bookmarkEnd w:id="6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Qualys, Inc.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Pr>
          <w:p>
            <w:pPr>
              <w:spacing w:after="0"/>
              <w:rPr>
                <w:sz w:val="13"/>
                <w:szCs w:val="13"/>
                <w:color w:val="auto"/>
              </w:rPr>
            </w:pPr>
          </w:p>
        </w:tc>
        <w:tc>
          <w:tcPr>
            <w:tcW w:w="1280" w:type="dxa"/>
            <w:vAlign w:val="bottom"/>
            <w:gridSpan w:val="3"/>
            <w:vMerge w:val="restart"/>
          </w:tcPr>
          <w:p>
            <w:pPr>
              <w:ind w:left="340"/>
              <w:spacing w:after="0"/>
              <w:rPr>
                <w:sz w:val="20"/>
                <w:szCs w:val="20"/>
                <w:color w:val="auto"/>
              </w:rPr>
            </w:pPr>
            <w:r>
              <w:rPr>
                <w:rFonts w:ascii="Arial" w:cs="Arial" w:eastAsia="Arial" w:hAnsi="Arial"/>
                <w:sz w:val="13"/>
                <w:szCs w:val="13"/>
                <w:b w:val="1"/>
                <w:bCs w:val="1"/>
                <w:color w:val="auto"/>
                <w:w w:val="96"/>
              </w:rPr>
              <w:t>Common Stock</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380" w:type="dxa"/>
            <w:vAlign w:val="bottom"/>
          </w:tcPr>
          <w:p>
            <w:pPr>
              <w:spacing w:after="0"/>
              <w:rPr>
                <w:sz w:val="12"/>
                <w:szCs w:val="12"/>
                <w:color w:val="auto"/>
              </w:rPr>
            </w:pPr>
          </w:p>
        </w:tc>
        <w:tc>
          <w:tcPr>
            <w:tcW w:w="1280" w:type="dxa"/>
            <w:vAlign w:val="bottom"/>
            <w:tcBorders>
              <w:bottom w:val="single" w:sz="8" w:color="auto"/>
            </w:tcBorders>
            <w:gridSpan w:val="3"/>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8"/>
              </w:rPr>
              <w:t>Retained</w:t>
            </w:r>
          </w:p>
        </w:tc>
        <w:tc>
          <w:tcPr>
            <w:tcW w:w="220" w:type="dxa"/>
            <w:vAlign w:val="bottom"/>
          </w:tcPr>
          <w:p>
            <w:pPr>
              <w:spacing w:after="0"/>
              <w:rPr>
                <w:sz w:val="12"/>
                <w:szCs w:val="12"/>
                <w:color w:val="auto"/>
              </w:rPr>
            </w:pPr>
          </w:p>
        </w:tc>
        <w:tc>
          <w:tcPr>
            <w:tcW w:w="800" w:type="dxa"/>
            <w:vAlign w:val="bottom"/>
          </w:tcPr>
          <w:p>
            <w:pPr>
              <w:jc w:val="center"/>
              <w:ind w:right="149"/>
              <w:spacing w:after="0" w:line="144"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07"/>
        </w:trPr>
        <w:tc>
          <w:tcPr>
            <w:tcW w:w="5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tcPr>
          <w:p>
            <w:pPr>
              <w:jc w:val="center"/>
              <w:ind w:right="260"/>
              <w:spacing w:after="0" w:line="107" w:lineRule="exact"/>
              <w:rPr>
                <w:sz w:val="20"/>
                <w:szCs w:val="20"/>
                <w:color w:val="auto"/>
              </w:rPr>
            </w:pPr>
            <w:r>
              <w:rPr>
                <w:rFonts w:ascii="Arial" w:cs="Arial" w:eastAsia="Arial" w:hAnsi="Arial"/>
                <w:sz w:val="12"/>
                <w:szCs w:val="12"/>
                <w:b w:val="1"/>
                <w:bCs w:val="1"/>
                <w:color w:val="auto"/>
              </w:rPr>
              <w:t>Paid-In</w:t>
            </w:r>
          </w:p>
        </w:tc>
        <w:tc>
          <w:tcPr>
            <w:tcW w:w="1120" w:type="dxa"/>
            <w:vAlign w:val="bottom"/>
            <w:gridSpan w:val="3"/>
          </w:tcPr>
          <w:p>
            <w:pPr>
              <w:jc w:val="center"/>
              <w:ind w:right="100"/>
              <w:spacing w:after="0" w:line="107" w:lineRule="exact"/>
              <w:rPr>
                <w:sz w:val="20"/>
                <w:szCs w:val="20"/>
                <w:color w:val="auto"/>
              </w:rPr>
            </w:pPr>
            <w:r>
              <w:rPr>
                <w:rFonts w:ascii="Arial" w:cs="Arial" w:eastAsia="Arial" w:hAnsi="Arial"/>
                <w:sz w:val="12"/>
                <w:szCs w:val="12"/>
                <w:b w:val="1"/>
                <w:bCs w:val="1"/>
                <w:color w:val="auto"/>
              </w:rPr>
              <w:t>Comprehensive</w:t>
            </w:r>
          </w:p>
        </w:tc>
        <w:tc>
          <w:tcPr>
            <w:tcW w:w="180" w:type="dxa"/>
            <w:vAlign w:val="bottom"/>
          </w:tcPr>
          <w:p>
            <w:pPr>
              <w:spacing w:after="0"/>
              <w:rPr>
                <w:sz w:val="9"/>
                <w:szCs w:val="9"/>
                <w:color w:val="auto"/>
              </w:rPr>
            </w:pPr>
          </w:p>
        </w:tc>
        <w:tc>
          <w:tcPr>
            <w:tcW w:w="940" w:type="dxa"/>
            <w:vAlign w:val="bottom"/>
            <w:gridSpan w:val="2"/>
          </w:tcPr>
          <w:p>
            <w:pPr>
              <w:jc w:val="center"/>
              <w:ind w:right="260"/>
              <w:spacing w:after="0" w:line="107" w:lineRule="exact"/>
              <w:rPr>
                <w:sz w:val="20"/>
                <w:szCs w:val="20"/>
                <w:color w:val="auto"/>
              </w:rPr>
            </w:pPr>
            <w:r>
              <w:rPr>
                <w:rFonts w:ascii="Arial" w:cs="Arial" w:eastAsia="Arial" w:hAnsi="Arial"/>
                <w:sz w:val="12"/>
                <w:szCs w:val="12"/>
                <w:b w:val="1"/>
                <w:bCs w:val="1"/>
                <w:color w:val="auto"/>
              </w:rPr>
              <w:t>earnings</w:t>
            </w:r>
          </w:p>
        </w:tc>
        <w:tc>
          <w:tcPr>
            <w:tcW w:w="102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78"/>
        </w:trPr>
        <w:tc>
          <w:tcPr>
            <w:tcW w:w="5380" w:type="dxa"/>
            <w:vAlign w:val="bottom"/>
          </w:tcPr>
          <w:p>
            <w:pPr>
              <w:spacing w:after="0"/>
              <w:rPr>
                <w:sz w:val="15"/>
                <w:szCs w:val="15"/>
                <w:color w:val="auto"/>
              </w:rPr>
            </w:pPr>
          </w:p>
        </w:tc>
        <w:tc>
          <w:tcPr>
            <w:tcW w:w="100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66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1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Income (Loss)</w:t>
            </w:r>
          </w:p>
        </w:tc>
        <w:tc>
          <w:tcPr>
            <w:tcW w:w="18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(deficit)</w:t>
            </w:r>
          </w:p>
        </w:tc>
        <w:tc>
          <w:tcPr>
            <w:tcW w:w="220" w:type="dxa"/>
            <w:vAlign w:val="bottom"/>
          </w:tcPr>
          <w:p>
            <w:pPr>
              <w:spacing w:after="0"/>
              <w:rPr>
                <w:sz w:val="15"/>
                <w:szCs w:val="15"/>
                <w:color w:val="auto"/>
              </w:rPr>
            </w:pPr>
          </w:p>
        </w:tc>
        <w:tc>
          <w:tcPr>
            <w:tcW w:w="800" w:type="dxa"/>
            <w:vAlign w:val="bottom"/>
          </w:tcPr>
          <w:p>
            <w:pPr>
              <w:jc w:val="center"/>
              <w:ind w:right="149"/>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91"/>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December 31, 2014</w:t>
            </w:r>
          </w:p>
        </w:tc>
        <w:tc>
          <w:tcPr>
            <w:tcW w:w="9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33,594,285</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9"/>
              </w:rPr>
              <w:t>34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195,133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(43,350)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151,827</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15,865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15,865</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loss, net of tax</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807,846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10,095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10,095</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12,500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280"/>
              <w:spacing w:after="0"/>
              <w:rPr>
                <w:sz w:val="20"/>
                <w:szCs w:val="20"/>
                <w:color w:val="auto"/>
              </w:rPr>
            </w:pPr>
            <w:r>
              <w:rPr>
                <w:rFonts w:ascii="Arial" w:cs="Arial" w:eastAsia="Arial" w:hAnsi="Arial"/>
                <w:sz w:val="14"/>
                <w:szCs w:val="14"/>
                <w:color w:val="auto"/>
              </w:rPr>
              <w:t>Vesting of early exercised common stock options</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benefits from stock-based compensation</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17,494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17,494</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3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b w:val="1"/>
                <w:bCs w:val="1"/>
                <w:color w:val="auto"/>
              </w:rPr>
              <w:t>Balances at December 31, 2015</w:t>
            </w:r>
          </w:p>
        </w:tc>
        <w:tc>
          <w:tcPr>
            <w:tcW w:w="9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34,414,631</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89"/>
              </w:rPr>
              <w:t>34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223,228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(27,485)</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195,566</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Net income</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19,224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19,224</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income, net of tax</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1,399,157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15,155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15,157</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25,213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280"/>
              <w:spacing w:after="0"/>
              <w:rPr>
                <w:sz w:val="20"/>
                <w:szCs w:val="20"/>
                <w:color w:val="auto"/>
              </w:rPr>
            </w:pPr>
            <w:r>
              <w:rPr>
                <w:rFonts w:ascii="Arial" w:cs="Arial" w:eastAsia="Arial" w:hAnsi="Arial"/>
                <w:sz w:val="14"/>
                <w:szCs w:val="14"/>
                <w:color w:val="auto"/>
              </w:rPr>
              <w:t>Issuance of common stock in exchange for services</w:t>
            </w: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benefits from stock-based compensation</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8,700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8,700</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20,123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20,123</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Balances at December 31, 2016</w:t>
            </w:r>
          </w:p>
        </w:tc>
        <w:tc>
          <w:tcPr>
            <w:tcW w:w="9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35,841,001</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89"/>
              </w:rPr>
              <w:t>36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266,794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(8,261)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258,413</w:t>
            </w:r>
          </w:p>
        </w:tc>
        <w:tc>
          <w:tcPr>
            <w:tcW w:w="0" w:type="dxa"/>
            <w:vAlign w:val="bottom"/>
          </w:tcPr>
          <w:p>
            <w:pPr>
              <w:spacing w:after="0"/>
              <w:rPr>
                <w:sz w:val="1"/>
                <w:szCs w:val="1"/>
                <w:color w:val="auto"/>
              </w:rPr>
            </w:pPr>
          </w:p>
        </w:tc>
      </w:tr>
      <w:tr>
        <w:trPr>
          <w:trHeight w:val="60"/>
        </w:trPr>
        <w:tc>
          <w:tcPr>
            <w:tcW w:w="538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Cumulative effect of a change in accounting principle related to stock-based</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compensation</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7,745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7,745</w:t>
            </w:r>
          </w:p>
        </w:tc>
        <w:tc>
          <w:tcPr>
            <w:tcW w:w="0" w:type="dxa"/>
            <w:vAlign w:val="bottom"/>
          </w:tcPr>
          <w:p>
            <w:pPr>
              <w:spacing w:after="0"/>
              <w:rPr>
                <w:sz w:val="1"/>
                <w:szCs w:val="1"/>
                <w:color w:val="auto"/>
              </w:rPr>
            </w:pPr>
          </w:p>
        </w:tc>
      </w:tr>
      <w:tr>
        <w:trPr>
          <w:trHeight w:val="204"/>
        </w:trPr>
        <w:tc>
          <w:tcPr>
            <w:tcW w:w="538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vMerge w:val="restart"/>
          </w:tcPr>
          <w:p>
            <w:pPr>
              <w:jc w:val="right"/>
              <w:ind w:right="29"/>
              <w:spacing w:after="0"/>
              <w:rPr>
                <w:sz w:val="20"/>
                <w:szCs w:val="20"/>
                <w:color w:val="auto"/>
              </w:rPr>
            </w:pPr>
            <w:r>
              <w:rPr>
                <w:rFonts w:ascii="Arial" w:cs="Arial" w:eastAsia="Arial" w:hAnsi="Arial"/>
                <w:sz w:val="14"/>
                <w:szCs w:val="14"/>
                <w:color w:val="auto"/>
              </w:rPr>
              <w:t>40,440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40,440</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loss, net of tax</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2,997,095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right"/>
              <w:ind w:right="49"/>
              <w:spacing w:after="0"/>
              <w:rPr>
                <w:sz w:val="20"/>
                <w:szCs w:val="20"/>
                <w:color w:val="auto"/>
              </w:rPr>
            </w:pPr>
            <w:r>
              <w:rPr>
                <w:rFonts w:ascii="Arial" w:cs="Arial" w:eastAsia="Arial" w:hAnsi="Arial"/>
                <w:sz w:val="14"/>
                <w:szCs w:val="14"/>
                <w:color w:val="auto"/>
              </w:rPr>
              <w:t>31,324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31,327</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217,111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380" w:type="dxa"/>
            <w:vAlign w:val="bottom"/>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900" w:type="dxa"/>
            <w:vAlign w:val="bottom"/>
            <w:vMerge w:val="restart"/>
          </w:tcPr>
          <w:p>
            <w:pPr>
              <w:jc w:val="right"/>
              <w:ind w:right="9"/>
              <w:spacing w:after="0"/>
              <w:rPr>
                <w:sz w:val="20"/>
                <w:szCs w:val="20"/>
                <w:color w:val="auto"/>
              </w:rPr>
            </w:pPr>
            <w:r>
              <w:rPr>
                <w:rFonts w:ascii="Arial" w:cs="Arial" w:eastAsia="Arial" w:hAnsi="Arial"/>
                <w:sz w:val="14"/>
                <w:szCs w:val="14"/>
                <w:color w:val="auto"/>
              </w:rPr>
              <w:t>(457,090)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(20,924)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(20,924)</w:t>
            </w:r>
          </w:p>
        </w:tc>
        <w:tc>
          <w:tcPr>
            <w:tcW w:w="0" w:type="dxa"/>
            <w:vAlign w:val="bottom"/>
          </w:tcPr>
          <w:p>
            <w:pPr>
              <w:spacing w:after="0"/>
              <w:rPr>
                <w:sz w:val="1"/>
                <w:szCs w:val="1"/>
                <w:color w:val="auto"/>
              </w:rPr>
            </w:pPr>
          </w:p>
        </w:tc>
      </w:tr>
      <w:tr>
        <w:trPr>
          <w:trHeight w:val="60"/>
        </w:trPr>
        <w:tc>
          <w:tcPr>
            <w:tcW w:w="53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26,961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26,961</w:t>
            </w:r>
          </w:p>
        </w:tc>
        <w:tc>
          <w:tcPr>
            <w:tcW w:w="0" w:type="dxa"/>
            <w:vAlign w:val="bottom"/>
          </w:tcPr>
          <w:p>
            <w:pPr>
              <w:spacing w:after="0"/>
              <w:rPr>
                <w:sz w:val="1"/>
                <w:szCs w:val="1"/>
                <w:color w:val="auto"/>
              </w:rPr>
            </w:pPr>
          </w:p>
        </w:tc>
      </w:tr>
      <w:tr>
        <w:trPr>
          <w:trHeight w:val="66"/>
        </w:trPr>
        <w:tc>
          <w:tcPr>
            <w:tcW w:w="538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Balances at December 31, 2017</w:t>
            </w:r>
          </w:p>
        </w:tc>
        <w:tc>
          <w:tcPr>
            <w:tcW w:w="9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38,598,117</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89"/>
              </w:rPr>
              <w:t>39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304,155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39,924</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343,544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4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The Company and Summary of Significant Accounting Policies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Qualys, Inc. (the “Company”, "we", "us", "our") was incorporated in the state of Delaware on December 30, 1999. The Company is headquartered in Foster City, California and has majority-owned subsidiaries throughout the world. The Company is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accompanying consolidated financial statements and footnotes have been prepared by the Company in accordance with accounting principles generally accepted in the United States (“U.S. GAAP”) as well as the instructions to Form 10-K and the rules and regulations of the U.S. Securities and Exchange Commission ("SEC"). In the opinion of management, the accompanying consolidated financial statements include all adjustments necessary for the fair presentation of the Company’s consolidated financial position, results of operations and cash flows for the periods presented. The accompanying consolidated financial statements include the accounts of the Company and its majority-owned subsidiaries. All significant intercompany transactions and balances have been eliminated upon consolidation.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Reclassification</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 reclassified certain information technology expenses across the functions that benefit from their support. In 2016, the Company reclassified $3.0 million out of general and administrative expenses. Of this amount the Company reclassified $0.7 million to cost of revenues, $1.3 million to research and development and $1.0 million to sales and marketing. In 2015, the Company reclassified $2.3 million out of general and administrative expenses. Of this amount the Company reclassified $0.5 million to cost of revenues, $1.0 million to research and development and $0.8 million to sales and marketing.</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certain estimates and assumptions that affect the reported amounts of assets and liabilities and disclosure of assets and liabilities at the date of the consolidated financial statements and the reported results of operations during the reporting period. The Company’s management regularly assesses these estimates, which primarily affect revenue recognition, the valuation of accounts receivable, goodwill and intangible assets, stock-based compensation and the provision for income taxes. Actual results could differ from those estimates and such differences may be material to the accompanying consolidated financial statements.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9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Credit risk with respect to accounts receivable is dispersed due to the large number of customers. Collateral is not required for accounts receivable. The Company maintains an allowance for potential credit losses based upon the expected collectability of accounts receivable. The Company writes off its receivables once collection efforts are unsuccessful. As of December 31, 2017 and 2016, </w:t>
      </w:r>
      <w:r>
        <w:rPr>
          <w:rFonts w:ascii="Arial" w:cs="Arial" w:eastAsia="Arial" w:hAnsi="Arial"/>
          <w:sz w:val="18"/>
          <w:szCs w:val="18"/>
          <w:color w:val="000000"/>
        </w:rPr>
        <w:t>no</w:t>
      </w:r>
      <w:r>
        <w:rPr>
          <w:rFonts w:ascii="Arial" w:cs="Arial" w:eastAsia="Arial" w:hAnsi="Arial"/>
          <w:sz w:val="18"/>
          <w:szCs w:val="18"/>
          <w:color w:val="231F20"/>
        </w:rPr>
        <w:t xml:space="preserve"> customer or channel partner accounted for more than </w:t>
      </w:r>
      <w:r>
        <w:rPr>
          <w:rFonts w:ascii="Arial" w:cs="Arial" w:eastAsia="Arial" w:hAnsi="Arial"/>
          <w:sz w:val="18"/>
          <w:szCs w:val="18"/>
          <w:color w:val="000000"/>
        </w:rPr>
        <w:t>10%</w:t>
      </w:r>
      <w:r>
        <w:rPr>
          <w:rFonts w:ascii="Arial" w:cs="Arial" w:eastAsia="Arial" w:hAnsi="Arial"/>
          <w:sz w:val="18"/>
          <w:szCs w:val="18"/>
          <w:color w:val="231F20"/>
        </w:rPr>
        <w:t xml:space="preserve"> of the Company's revenues and accounts receivable balance.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33"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Cash Equivalents, Short-Term and Long-Term Investments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Cash and cash equivalents include cash held in banks, highly liquid money market funds, commercial paper, and fixed-income U.S. government agency securities, all with original maturities of three months or less when acquired. </w:t>
      </w:r>
      <w:r>
        <w:rPr>
          <w:rFonts w:ascii="Arial" w:cs="Arial" w:eastAsia="Arial" w:hAnsi="Arial"/>
          <w:sz w:val="18"/>
          <w:szCs w:val="18"/>
          <w:color w:val="000000"/>
        </w:rPr>
        <w:t>The Company’s investments consist of</w:t>
      </w:r>
      <w:r>
        <w:rPr>
          <w:rFonts w:ascii="Arial" w:cs="Arial" w:eastAsia="Arial" w:hAnsi="Arial"/>
          <w:sz w:val="18"/>
          <w:szCs w:val="18"/>
          <w:color w:val="231F20"/>
        </w:rPr>
        <w:t xml:space="preserve"> fixed-income U.S. government agency securities, corporate bonds, asset-backed securities and commercial paper. Management determines the appropriate classification of the Company's investments at the time of purchase and reevaluates such designation at each balance sheet date.</w:t>
      </w:r>
    </w:p>
    <w:p>
      <w:pPr>
        <w:spacing w:after="0" w:line="312"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 classifies its investments as either short-term or long-term based on each instrument's underlying contractual maturity date.</w:t>
      </w:r>
    </w:p>
    <w:p>
      <w:pPr>
        <w:spacing w:after="0" w:line="22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Cash equivalents are stated at cost, which approximates fair market value. Short-term and long-term investments are classified as available-for-sale and are carried at fair value. Unrealized gains and losses in fair value are reported in other comprehensive income (loss). When the available-for-sale securities are sold, cost is based on the specific </w:t>
      </w:r>
      <w:r>
        <w:rPr>
          <w:rFonts w:ascii="Arial" w:cs="Arial" w:eastAsia="Arial" w:hAnsi="Arial"/>
          <w:sz w:val="18"/>
          <w:szCs w:val="18"/>
          <w:color w:val="000000"/>
        </w:rPr>
        <w:t>identification method, and the realized gains and losses are</w:t>
      </w:r>
      <w:r>
        <w:rPr>
          <w:rFonts w:ascii="Arial" w:cs="Arial" w:eastAsia="Arial" w:hAnsi="Arial"/>
          <w:sz w:val="18"/>
          <w:szCs w:val="18"/>
          <w:color w:val="231F20"/>
        </w:rPr>
        <w:t xml:space="preserve"> </w:t>
      </w:r>
      <w:r>
        <w:rPr>
          <w:rFonts w:ascii="Arial" w:cs="Arial" w:eastAsia="Arial" w:hAnsi="Arial"/>
          <w:sz w:val="18"/>
          <w:szCs w:val="18"/>
          <w:color w:val="000000"/>
        </w:rPr>
        <w:t>included in other income (expense) in the consolidated statements of operations. Short-term and long-term investments are reviewed quarterly for impairment that is deemed to be other-than-temporary. An investment is considered other-than-temporarily impaired when its fair value is below its amortized cost and (1) there is an intent to sell the security, (2) it is “more likely than not” that the security will be sold before recovery of its amortized cost basis or (3) the present value of expected cash flows from the investment is not expected to recover the entire amortized cost basis. Declines in value that are considered to be other-than-temporary and adjustments to amortized cost for the amortization of premiums and the accretion of discounts are recorded in other income (expense). Interest and dividends are recorded in interest income as earned.</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Accounts Receivable</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Accounts receivable are recorded at the invoiced amount and do not bear interest. The allowance for doubtful accounts represents the Company’s best estimate of the amount of probable credit losses and is determined based on a review of existing accounts receivable by aging category to identify significant customers or invoices with collectability issues. For those invoices not specifically reviewed, the reserve is calculated based on the age of the receivable and historical write-offs.</w:t>
      </w:r>
    </w:p>
    <w:p>
      <w:pPr>
        <w:spacing w:after="0" w:line="20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Any change in the assumptions used in analyzing a specific account receivable may result in an additional provision for doubtful accounts being recognized in the period in which the change occurs. When the Company ultimately concludes that a receivable is uncollectible, the balance is written off against the allowance for doubtful accounts. Payments subsequently received on such receivables are credited back to the allowance for doubtful accounts.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Property and equipment are stated at cost less accumulated depreciation and amortization. Depreciation is computed using the straight-line method over the estimated useful lives of the assets, which range from </w:t>
      </w:r>
      <w:r>
        <w:rPr>
          <w:rFonts w:ascii="Arial" w:cs="Arial" w:eastAsia="Arial" w:hAnsi="Arial"/>
          <w:sz w:val="18"/>
          <w:szCs w:val="18"/>
          <w:color w:val="000000"/>
        </w:rPr>
        <w:t>three</w:t>
      </w:r>
      <w:r>
        <w:rPr>
          <w:rFonts w:ascii="Arial" w:cs="Arial" w:eastAsia="Arial" w:hAnsi="Arial"/>
          <w:sz w:val="18"/>
          <w:szCs w:val="18"/>
          <w:color w:val="231F20"/>
        </w:rPr>
        <w:t xml:space="preserve"> to </w:t>
      </w:r>
      <w:r>
        <w:rPr>
          <w:rFonts w:ascii="Arial" w:cs="Arial" w:eastAsia="Arial" w:hAnsi="Arial"/>
          <w:sz w:val="18"/>
          <w:szCs w:val="18"/>
          <w:color w:val="000000"/>
        </w:rPr>
        <w:t>five</w:t>
      </w:r>
      <w:r>
        <w:rPr>
          <w:rFonts w:ascii="Arial" w:cs="Arial" w:eastAsia="Arial" w:hAnsi="Arial"/>
          <w:sz w:val="18"/>
          <w:szCs w:val="18"/>
          <w:color w:val="231F20"/>
        </w:rPr>
        <w:t xml:space="preserve"> years. Leasehold improvements are amortized on a straight-line basis over the lesser of the estimated useful life of the asset or the lease term.</w:t>
      </w:r>
    </w:p>
    <w:p>
      <w:pPr>
        <w:spacing w:after="0" w:line="9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The Company purchases physical scanner appliances and other computer equipment that are provided to customers on a subscription basis. This equipment is recorded within property and equipment on the accompanying consolidated balance sheet, and the depreciation is recorded to cost of revenues over an estimated useful life of </w:t>
      </w:r>
      <w:r>
        <w:rPr>
          <w:rFonts w:ascii="Arial" w:cs="Arial" w:eastAsia="Arial" w:hAnsi="Arial"/>
          <w:sz w:val="18"/>
          <w:szCs w:val="18"/>
          <w:color w:val="000000"/>
        </w:rPr>
        <w:t>three</w:t>
      </w:r>
      <w:r>
        <w:rPr>
          <w:rFonts w:ascii="Arial" w:cs="Arial" w:eastAsia="Arial" w:hAnsi="Arial"/>
          <w:sz w:val="18"/>
          <w:szCs w:val="18"/>
          <w:color w:val="231F20"/>
        </w:rPr>
        <w:t xml:space="preserve"> years.</w:t>
      </w:r>
    </w:p>
    <w:p>
      <w:pPr>
        <w:spacing w:after="0" w:line="20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Upon retirement or disposal, the cost of assets and the related accumulated depreciation are removed from the accounts and any resulting gain or loss is reflected in the consolidated statements of operations. Repairs and maintenance that do not extend the life of an asset are expensed as incurred and major improvements are capitalized as property and equipment.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33"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On certain of our operating lease agreements, the Company may receive rent free periods or escalating rent payments over the terms of the leases. The Company recognizes rent expense under these agreements on a straight-line basis over the term of the lease, starting when the Company takes possession of the property from the landlord. The Company records the difference between the recognized rent expense and the amounts payable under the lease as a short-term or long-term deferred rent liability. When the Company receives tenant allowances upon entering into certain leases, the Company records the allowances as an offset to short-term or long-term deferred rent liability and amortizes them using the straight-line method as a reduction to rent expense over the term of the lease.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Impairment of Long-Lived Assets</w:t>
      </w:r>
    </w:p>
    <w:p>
      <w:pPr>
        <w:spacing w:after="0" w:line="247"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231F20"/>
        </w:rPr>
        <w:t>The Company evaluates its long-lived assets, which consist of property and equipment, and intangible assets subject to amortization, for indicators of possible impairment when events or changes in circumstances indicate the carrying amount of an asset may not be recoverable. Impairment exists if the carrying amounts of such assets exceed the estimates of future undiscounted cash flows expected to be generated by such assets. Should an impairment exist, the impairment loss would be measured based on the excess carrying value of the asset over the asset’s estimated fair value. In each of 2017, 2016 and 2015, the Company had no impairment of long-lived assets.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Goodwill and Intangible Assets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Goodwill represents the excess of the purchase price over the fair value of the net tangible and identifiable intangible assets acquired in a business combination and is not subject to amortization. Goodwill and other intangible assets with indefinite lives are not amortized, but tested for impairment annually or if certain circumstances indicate a possible impairment may exist. These tests are performed at the reporting unit level. The Company’s operations are organized as one reporting unit.</w:t>
      </w:r>
    </w:p>
    <w:p>
      <w:pPr>
        <w:spacing w:after="0" w:line="20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In testing for a potential impairment of goodwill, the Company first performs a qualitative assessment of its reporting unit to determine if it is more likely than not (a more than 50% likelihood) that the fair value of the reporting unit is less than its carrying amount. If the fair value is not considered to be less than the carrying amount, no further evaluation is necessary. The Company performed the annual qualitative assessment for the year ended </w:t>
      </w:r>
      <w:r>
        <w:rPr>
          <w:rFonts w:ascii="Arial" w:cs="Arial" w:eastAsia="Arial" w:hAnsi="Arial"/>
          <w:sz w:val="18"/>
          <w:szCs w:val="18"/>
          <w:color w:val="000000"/>
        </w:rPr>
        <w:t>December 31, 2017</w:t>
      </w:r>
      <w:r>
        <w:rPr>
          <w:rFonts w:ascii="Arial" w:cs="Arial" w:eastAsia="Arial" w:hAnsi="Arial"/>
          <w:sz w:val="18"/>
          <w:szCs w:val="18"/>
          <w:color w:val="231F20"/>
        </w:rPr>
        <w:t xml:space="preserve"> and concluded there was no potential impairment of goodwill.</w:t>
      </w:r>
    </w:p>
    <w:p>
      <w:pPr>
        <w:spacing w:after="0" w:line="20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In testing for a potential impairment of intangible assets with indefinite lives that are not subject to amortization, the Company first performs a qualitative assessment to determine if it is more likely than not (a more than 50% likelihood) that the fair value of the indefinite-lived intangible assets is less than the carrying amount. If the fair value is not considered to be less than the carrying amount, no further evaluation is necessary. The Company performed the annual qualitative assessment in 2017 and concluded that as of </w:t>
      </w:r>
      <w:r>
        <w:rPr>
          <w:rFonts w:ascii="Arial" w:cs="Arial" w:eastAsia="Arial" w:hAnsi="Arial"/>
          <w:sz w:val="18"/>
          <w:szCs w:val="18"/>
          <w:color w:val="000000"/>
        </w:rPr>
        <w:t>December 31, 2017</w:t>
      </w:r>
      <w:r>
        <w:rPr>
          <w:rFonts w:ascii="Arial" w:cs="Arial" w:eastAsia="Arial" w:hAnsi="Arial"/>
          <w:sz w:val="18"/>
          <w:szCs w:val="18"/>
          <w:color w:val="231F20"/>
        </w:rPr>
        <w:t>, there was no potential impairment of the indefinite-lived intangible assets.</w:t>
      </w:r>
    </w:p>
    <w:p>
      <w:pPr>
        <w:spacing w:after="0" w:line="206"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If the qualitative assessment indicates there is more than a 50% likelihood that the fair value is less than the carrying amount of the reporting unit or the intangible asset, the Company would perform a two-step test. In the first step, the carrying value of the reporting unit or intangible asset is compared to its estimated fair value. If the estimated fair value is less than the carrying value, then potential impairment exists. In the second step, for goodwill, the Company calculates the amount of any impairment by determining the implied fair value of goodwill using a hypothetical purchase price allocation, similar to that which would be applied if it were an acquisition and the purchase price was equivalent to fair value as calculated in the first step. Impairment is equivalent to any excess of goodwill carrying value over its implied fair value. For indefinite-lived intangible assets, the Company performs the currently prescribed quantitative impairment test by comparing the fair value of the indefinite-lived intangible asset with its carrying value. In 2015, the Company determined there was an impairment of certain indefinite-lived intangible assets and recorded a write-off of $0.3 million recorded in other expense, net.</w:t>
      </w:r>
    </w:p>
    <w:p>
      <w:pPr>
        <w:spacing w:after="0" w:line="21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Certain other intangible assets acquired are amortized over their estimated useful lives and tested for impairment if certain circumstances indicate an impairment may exist. The Company’s intangible assets are comprised primarily of existing technology, patent license, and non-competition agreements and are amortized over periods ranging from </w:t>
      </w:r>
      <w:r>
        <w:rPr>
          <w:rFonts w:ascii="Arial" w:cs="Arial" w:eastAsia="Arial" w:hAnsi="Arial"/>
          <w:sz w:val="18"/>
          <w:szCs w:val="18"/>
          <w:color w:val="000000"/>
        </w:rPr>
        <w:t>three</w:t>
      </w:r>
      <w:r>
        <w:rPr>
          <w:rFonts w:ascii="Arial" w:cs="Arial" w:eastAsia="Arial" w:hAnsi="Arial"/>
          <w:sz w:val="18"/>
          <w:szCs w:val="18"/>
          <w:color w:val="231F20"/>
        </w:rPr>
        <w:t xml:space="preserve"> to </w:t>
      </w:r>
      <w:r>
        <w:rPr>
          <w:rFonts w:ascii="Arial" w:cs="Arial" w:eastAsia="Arial" w:hAnsi="Arial"/>
          <w:sz w:val="18"/>
          <w:szCs w:val="18"/>
          <w:color w:val="000000"/>
        </w:rPr>
        <w:t>fourteen</w:t>
      </w:r>
      <w:r>
        <w:rPr>
          <w:rFonts w:ascii="Arial" w:cs="Arial" w:eastAsia="Arial" w:hAnsi="Arial"/>
          <w:sz w:val="18"/>
          <w:szCs w:val="18"/>
          <w:color w:val="231F20"/>
        </w:rPr>
        <w:t xml:space="preserve"> years on a straight-line basis. As of December 31, 2017, the Company has not written down any of these intangible assets as a result of impairment.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33"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Software Development Costs</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The Company capitalizes qualifying software costs developed for internal use. These costs include internal costs, such as payroll and benefits of those employees directly associated with the development of the software, and other consulting expenses. Total capitalized development costs and the related accumulated amortization were </w:t>
      </w:r>
      <w:r>
        <w:rPr>
          <w:rFonts w:ascii="Arial" w:cs="Arial" w:eastAsia="Arial" w:hAnsi="Arial"/>
          <w:sz w:val="18"/>
          <w:szCs w:val="18"/>
          <w:color w:val="000000"/>
        </w:rPr>
        <w:t>$0.4 million</w:t>
      </w:r>
      <w:r>
        <w:rPr>
          <w:rFonts w:ascii="Arial" w:cs="Arial" w:eastAsia="Arial" w:hAnsi="Arial"/>
          <w:sz w:val="18"/>
          <w:szCs w:val="18"/>
          <w:color w:val="231F20"/>
        </w:rPr>
        <w:t xml:space="preserve"> each at both </w:t>
      </w:r>
      <w:r>
        <w:rPr>
          <w:rFonts w:ascii="Arial" w:cs="Arial" w:eastAsia="Arial" w:hAnsi="Arial"/>
          <w:sz w:val="18"/>
          <w:szCs w:val="18"/>
          <w:color w:val="000000"/>
        </w:rPr>
        <w:t>December 31, 2017 and 2016.</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Business Combinations</w:t>
      </w:r>
    </w:p>
    <w:p>
      <w:pPr>
        <w:spacing w:after="0" w:line="31"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8"/>
          <w:szCs w:val="18"/>
          <w:color w:val="231F20"/>
        </w:rPr>
        <w:t>We apply the provisions of ASC 805, Business Combinations, in accounting for our acquisitions. It requires us to recognize separately from goodwill the assets acquired and the liabilities assumed at their acquisition date fair values. Goodwill as of the acquisition date is measured as the excess of consideration transferred over the net of the acquisition date fair values of the assets acquired and the liabilities assumed. While we use our best estimates and assumptions to accurately value assets acquired and liabilities assumed at the acquisition date as well as any contingent consideration, where applicable,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operations.</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in the consolidated balance sheets. Gains and losses resulting from currency exchange rate movements on these forward contracts are recognized in other income (expense) in the accompanying consolidated statements of operations in the period in which the exchange rates change and offset the foreign currency gains and losses on the underlying exposure being hedged. The Company does not enter into derivative financial instruments for trading or speculative purposes.</w:t>
      </w:r>
    </w:p>
    <w:p>
      <w:pPr>
        <w:spacing w:after="0" w:line="20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December 31, 2017</w:t>
      </w:r>
      <w:r>
        <w:rPr>
          <w:rFonts w:ascii="Arial" w:cs="Arial" w:eastAsia="Arial" w:hAnsi="Arial"/>
          <w:sz w:val="18"/>
          <w:szCs w:val="18"/>
          <w:color w:val="231F20"/>
        </w:rPr>
        <w:t xml:space="preserve">, the Company had </w:t>
      </w:r>
      <w:r>
        <w:rPr>
          <w:rFonts w:ascii="Arial" w:cs="Arial" w:eastAsia="Arial" w:hAnsi="Arial"/>
          <w:sz w:val="18"/>
          <w:szCs w:val="18"/>
          <w:color w:val="000000"/>
        </w:rPr>
        <w:t>two</w:t>
      </w:r>
      <w:r>
        <w:rPr>
          <w:rFonts w:ascii="Arial" w:cs="Arial" w:eastAsia="Arial" w:hAnsi="Arial"/>
          <w:sz w:val="18"/>
          <w:szCs w:val="18"/>
          <w:color w:val="231F20"/>
        </w:rPr>
        <w:t xml:space="preserve"> outstanding forward contracts with notional amounts of 7.0 million </w:t>
      </w:r>
      <w:r>
        <w:rPr>
          <w:rFonts w:ascii="Arial" w:cs="Arial" w:eastAsia="Arial" w:hAnsi="Arial"/>
          <w:sz w:val="18"/>
          <w:szCs w:val="18"/>
          <w:color w:val="000000"/>
        </w:rPr>
        <w:t>Euros</w:t>
      </w:r>
      <w:r>
        <w:rPr>
          <w:rFonts w:ascii="Arial" w:cs="Arial" w:eastAsia="Arial" w:hAnsi="Arial"/>
          <w:sz w:val="18"/>
          <w:szCs w:val="18"/>
          <w:color w:val="231F20"/>
        </w:rPr>
        <w:t xml:space="preserve"> and 4.8 million British Pounds, respectively, both with the expiry date of January 31, 2018</w:t>
      </w:r>
      <w:r>
        <w:rPr>
          <w:rFonts w:ascii="Arial" w:cs="Arial" w:eastAsia="Arial" w:hAnsi="Arial"/>
          <w:sz w:val="18"/>
          <w:szCs w:val="18"/>
          <w:color w:val="000000"/>
        </w:rPr>
        <w:t>.</w:t>
      </w:r>
      <w:r>
        <w:rPr>
          <w:rFonts w:ascii="Arial" w:cs="Arial" w:eastAsia="Arial" w:hAnsi="Arial"/>
          <w:sz w:val="18"/>
          <w:szCs w:val="18"/>
          <w:color w:val="231F20"/>
        </w:rPr>
        <w:t xml:space="preserve"> At </w:t>
      </w:r>
      <w:r>
        <w:rPr>
          <w:rFonts w:ascii="Arial" w:cs="Arial" w:eastAsia="Arial" w:hAnsi="Arial"/>
          <w:sz w:val="18"/>
          <w:szCs w:val="18"/>
          <w:color w:val="000000"/>
        </w:rPr>
        <w:t>December 31, 2016</w:t>
      </w:r>
      <w:r>
        <w:rPr>
          <w:rFonts w:ascii="Arial" w:cs="Arial" w:eastAsia="Arial" w:hAnsi="Arial"/>
          <w:sz w:val="18"/>
          <w:szCs w:val="18"/>
          <w:color w:val="231F20"/>
        </w:rPr>
        <w:t xml:space="preserve">, the Company had </w:t>
      </w:r>
      <w:r>
        <w:rPr>
          <w:rFonts w:ascii="Arial" w:cs="Arial" w:eastAsia="Arial" w:hAnsi="Arial"/>
          <w:sz w:val="18"/>
          <w:szCs w:val="18"/>
          <w:color w:val="000000"/>
        </w:rPr>
        <w:t>two</w:t>
      </w:r>
      <w:r>
        <w:rPr>
          <w:rFonts w:ascii="Arial" w:cs="Arial" w:eastAsia="Arial" w:hAnsi="Arial"/>
          <w:sz w:val="18"/>
          <w:szCs w:val="18"/>
          <w:color w:val="231F20"/>
        </w:rPr>
        <w:t xml:space="preserve"> outstanding forward contracts with notional amounts of 7.6 million Euros and 4.6 million British Pounds, which expired on February 2, 2017</w:t>
      </w:r>
      <w:r>
        <w:rPr>
          <w:rFonts w:ascii="Arial" w:cs="Arial" w:eastAsia="Arial" w:hAnsi="Arial"/>
          <w:sz w:val="18"/>
          <w:szCs w:val="18"/>
          <w:color w:val="000000"/>
        </w:rPr>
        <w:t>.</w:t>
      </w:r>
      <w:r>
        <w:rPr>
          <w:rFonts w:ascii="Arial" w:cs="Arial" w:eastAsia="Arial" w:hAnsi="Arial"/>
          <w:sz w:val="18"/>
          <w:szCs w:val="18"/>
          <w:color w:val="231F20"/>
        </w:rPr>
        <w:t xml:space="preserve"> These forward contracts were entered into as of December 29, 2017 and December 30, 2016, respectively, and had a fair value of </w:t>
      </w:r>
      <w:r>
        <w:rPr>
          <w:rFonts w:ascii="Arial" w:cs="Arial" w:eastAsia="Arial" w:hAnsi="Arial"/>
          <w:sz w:val="18"/>
          <w:szCs w:val="18"/>
          <w:color w:val="000000"/>
        </w:rPr>
        <w:t>$0</w:t>
      </w:r>
      <w:r>
        <w:rPr>
          <w:rFonts w:ascii="Arial" w:cs="Arial" w:eastAsia="Arial" w:hAnsi="Arial"/>
          <w:sz w:val="18"/>
          <w:szCs w:val="18"/>
          <w:color w:val="231F20"/>
        </w:rPr>
        <w:t xml:space="preserve"> at both December 31, 2017 and 2016. These derivatives did not meet the criteria to be designated as hedges. These instruments were valued using Level 2 inputs.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gains (losses) recognized from forward contracts and other foreign currency transactions: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r>
      <w:tr>
        <w:trPr>
          <w:trHeight w:val="264"/>
        </w:trPr>
        <w:tc>
          <w:tcPr>
            <w:tcW w:w="66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2015</w:t>
            </w:r>
          </w:p>
        </w:tc>
      </w:tr>
      <w:tr>
        <w:trPr>
          <w:trHeight w:val="243"/>
        </w:trPr>
        <w:tc>
          <w:tcPr>
            <w:tcW w:w="6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gain from forward contracts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608</w:t>
            </w:r>
          </w:p>
        </w:tc>
      </w:tr>
      <w:tr>
        <w:trPr>
          <w:trHeight w:val="264"/>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foreign currency transaction gains (losses)</w:t>
            </w:r>
          </w:p>
        </w:tc>
        <w:tc>
          <w:tcPr>
            <w:tcW w:w="9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(1,052)</w:t>
            </w: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foreign exchange loss, net</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recognizes the fair value of its employee stock options and restricted stock units (RSUs) over the requisite service period for those awards ultimately expected to vest. The fair value of each option is estimated on date of grant using the Black-Scholes-Merton option pricing model and the fair value of each restricted stock unit is based on the fair value of the Company's stock on the date of grant. Forfeitures are estimated on the date of grant and revised if actual or expected forfeiture activity differs materially from original estimates.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33"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Option grants to non-employees are accounted for at the fair value of the equity instrument issued, as calculated using the Black-Scholes-Merton option-pricing model and the expense is recognized over the vesting periods of the options. The value of options granted to non-employees is re-measured as they vest over a performance period.</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 Recognition</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The Company derives revenues from subscriptions that require customers to pay a fee in order to access the Company’s cloud solutions. Customers generally enter into one year renewable subscriptions though some customers do enter into subscriptions with longer terms. The subscription fee entitles the customer to an unlimited number of scans for a specified number of networked devices or web applications and, if requested by a customer as part of their subscription, a specified number of physical or virtual scanner appliances. The Company’s physical and virtual scanner appliances are requested by certain customers as part of their subscriptions in order to scan IT infrastructures within their firewalls and do not function without, and are not sold separately from, subscriptions for the Company’s solutions. </w:t>
      </w:r>
      <w:r>
        <w:rPr>
          <w:rFonts w:ascii="Arial" w:cs="Arial" w:eastAsia="Arial" w:hAnsi="Arial"/>
          <w:sz w:val="18"/>
          <w:szCs w:val="18"/>
          <w:color w:val="000000"/>
        </w:rPr>
        <w:t>In some limited cases, the</w:t>
      </w:r>
      <w:r>
        <w:rPr>
          <w:rFonts w:ascii="Arial" w:cs="Arial" w:eastAsia="Arial" w:hAnsi="Arial"/>
          <w:sz w:val="18"/>
          <w:szCs w:val="18"/>
          <w:color w:val="231F20"/>
        </w:rPr>
        <w:t xml:space="preserve"> </w:t>
      </w:r>
      <w:r>
        <w:rPr>
          <w:rFonts w:ascii="Arial" w:cs="Arial" w:eastAsia="Arial" w:hAnsi="Arial"/>
          <w:sz w:val="18"/>
          <w:szCs w:val="18"/>
          <w:color w:val="000000"/>
        </w:rPr>
        <w:t xml:space="preserve">Company also provides certain computer equipment used to extend its Qualys cloud platform into its customers’ private cloud environment. </w:t>
      </w:r>
      <w:r>
        <w:rPr>
          <w:rFonts w:ascii="Arial" w:cs="Arial" w:eastAsia="Arial" w:hAnsi="Arial"/>
          <w:sz w:val="18"/>
          <w:szCs w:val="18"/>
          <w:color w:val="231F20"/>
        </w:rPr>
        <w:t>Customers are required to return physical scanner appliances and computer equipment if they do not renew their subscriptions.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 recognizes revenues when all of the following conditions are met:</w:t>
      </w:r>
    </w:p>
    <w:p>
      <w:pPr>
        <w:spacing w:after="0" w:line="225"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service has been provided to the customer.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collection of the fees is reasonably assured.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fees to be paid by the customer is fixed or determinable.</w:t>
      </w:r>
    </w:p>
    <w:p>
      <w:pPr>
        <w:spacing w:after="0" w:line="11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Subscriptions are recognized ratably over the subscription period. The Company recognizes revenues from subscriptions that include physical scanner appliances and other computer equipment ratably over the period of the subscription. </w:t>
      </w:r>
      <w:r>
        <w:rPr>
          <w:rFonts w:ascii="Arial" w:cs="Arial" w:eastAsia="Arial" w:hAnsi="Arial"/>
          <w:sz w:val="18"/>
          <w:szCs w:val="18"/>
          <w:color w:val="000000"/>
        </w:rPr>
        <w:t>Physical equipment (scanners and</w:t>
      </w:r>
      <w:r>
        <w:rPr>
          <w:rFonts w:ascii="Arial" w:cs="Arial" w:eastAsia="Arial" w:hAnsi="Arial"/>
          <w:sz w:val="18"/>
          <w:szCs w:val="18"/>
          <w:color w:val="231F20"/>
        </w:rPr>
        <w:t xml:space="preserve"> </w:t>
      </w:r>
      <w:r>
        <w:rPr>
          <w:rFonts w:ascii="Arial" w:cs="Arial" w:eastAsia="Arial" w:hAnsi="Arial"/>
          <w:sz w:val="18"/>
          <w:szCs w:val="18"/>
          <w:color w:val="000000"/>
        </w:rPr>
        <w:t>private cloud platforms) are accounted for as operating leases and revenue is recognized over the subscription term.</w:t>
      </w:r>
    </w:p>
    <w:p>
      <w:pPr>
        <w:spacing w:after="0" w:line="202"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The Company recognizes revenues for certain limited scan arrangements, for which expiration dates can be extended, on an as-used basis.</w:t>
      </w:r>
    </w:p>
    <w:p>
      <w:pPr>
        <w:spacing w:after="0" w:line="19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Deferred revenues consist of revenues billed or received that will be recognized in the future under subscriptions existing at the balance sheet date. The current portion of deferred revenues represents amounts that are expected to be recognized within one year of the balance sheet date.</w:t>
      </w:r>
    </w:p>
    <w:p>
      <w:pPr>
        <w:spacing w:after="0" w:line="202"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Costs of shipping and handling charges incurred by the Company associated with physical scanner appliances and other computer equipment are included in cost of revenues.</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Sales taxes and other taxes collected from customers to be remitted to government authorities are excluded from revenues.</w:t>
      </w: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Advertising Expenses</w:t>
      </w:r>
    </w:p>
    <w:p>
      <w:pPr>
        <w:spacing w:after="0" w:line="139"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 xml:space="preserve">Advertising costs are expensed as incurred and include costs of advertising, trade show costs and </w:t>
      </w:r>
      <w:r>
        <w:rPr>
          <w:rFonts w:ascii="Arial" w:cs="Arial" w:eastAsia="Arial" w:hAnsi="Arial"/>
          <w:sz w:val="18"/>
          <w:szCs w:val="18"/>
          <w:color w:val="000000"/>
        </w:rPr>
        <w:t>promotional</w:t>
      </w:r>
      <w:r>
        <w:rPr>
          <w:rFonts w:ascii="Arial" w:cs="Arial" w:eastAsia="Arial" w:hAnsi="Arial"/>
          <w:sz w:val="18"/>
          <w:szCs w:val="18"/>
          <w:color w:val="231F20"/>
        </w:rPr>
        <w:t xml:space="preserve"> materials. The Company incurred advertising costs of </w:t>
      </w:r>
      <w:r>
        <w:rPr>
          <w:rFonts w:ascii="Arial" w:cs="Arial" w:eastAsia="Arial" w:hAnsi="Arial"/>
          <w:sz w:val="18"/>
          <w:szCs w:val="18"/>
          <w:color w:val="000000"/>
        </w:rPr>
        <w:t>$8.6 million, $7.7 million and $6.1 million</w:t>
      </w:r>
      <w:r>
        <w:rPr>
          <w:rFonts w:ascii="Arial" w:cs="Arial" w:eastAsia="Arial" w:hAnsi="Arial"/>
          <w:sz w:val="18"/>
          <w:szCs w:val="18"/>
          <w:color w:val="231F20"/>
        </w:rPr>
        <w:t xml:space="preserve"> for </w:t>
      </w:r>
      <w:r>
        <w:rPr>
          <w:rFonts w:ascii="Arial" w:cs="Arial" w:eastAsia="Arial" w:hAnsi="Arial"/>
          <w:sz w:val="18"/>
          <w:szCs w:val="18"/>
          <w:color w:val="000000"/>
        </w:rPr>
        <w:t>2017, 2016</w:t>
      </w:r>
      <w:r>
        <w:rPr>
          <w:rFonts w:ascii="Arial" w:cs="Arial" w:eastAsia="Arial" w:hAnsi="Arial"/>
          <w:sz w:val="18"/>
          <w:szCs w:val="18"/>
          <w:color w:val="231F20"/>
        </w:rPr>
        <w:t xml:space="preserve"> and </w:t>
      </w:r>
      <w:r>
        <w:rPr>
          <w:rFonts w:ascii="Arial" w:cs="Arial" w:eastAsia="Arial" w:hAnsi="Arial"/>
          <w:sz w:val="18"/>
          <w:szCs w:val="18"/>
          <w:color w:val="000000"/>
        </w:rPr>
        <w:t>2015</w:t>
      </w:r>
      <w:r>
        <w:rPr>
          <w:rFonts w:ascii="Arial" w:cs="Arial" w:eastAsia="Arial" w:hAnsi="Arial"/>
          <w:sz w:val="18"/>
          <w:szCs w:val="18"/>
          <w:color w:val="231F20"/>
        </w:rPr>
        <w:t>, respectively.</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Income Taxes</w:t>
      </w:r>
    </w:p>
    <w:p>
      <w:pPr>
        <w:spacing w:after="0" w:line="247"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provides for the effect of income taxes in its consolidated financial statements using the asset and liability method which requires the recognition of deferred tax assets and liabilities for the expected future tax consequences of events that have been included in the consolidated financial statements. Under this method, deferred tax assets and liabilities are recognized for the future tax consequences attributable to differences between the financial statement carrying amounts of existing assets and liabilities and their respective tax bases, net operating loss carryovers, and tax credit carry forwards. Deferred tax assets and liabilities are measured using enacted tax rates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33"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expected to apply to taxable income in the years in which those temporary differences are expected to be recovered or settled. The effect on deferred tax assets and liabilities of a change in tax rates is recognized in the period that includes the enactment date. As a result of the 2017 Tax Act the Company re-measured certain deferred tax assets and liabilities as of December 31, 2017 and recorded $10.4 million of deferred tax expense during 2017 as detailed in Note 9, “Income Taxes”.</w:t>
      </w:r>
    </w:p>
    <w:p>
      <w:pPr>
        <w:spacing w:after="0" w:line="204"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Income tax expense or benefit is recognized for the amount of taxes payable or refundable for the current year, and for deferred tax assets and liabilities for the tax consequences of events that have been recognized in an entity’s financial statements or tax returns. The Company must make significant assumptions, judgments and estimates to determine its current provision (benefit) for income taxes, its deferred tax assets and liabilities, and any valuation allowance to be recorded against its deferred tax assets. The Company's judgments, assumptions and estimates relating to the current provision (benefit) for income taxes include the geographic mix and amount of income (loss), its interpretation of current tax laws, and possible outcomes of current and future audits conducted by foreign and domestic tax authorities. The Company's judgments also include anticipating the tax positions the Company will record in the consolidated financial statements before actually preparing and filing the tax returns. The Company's estimates and assumptions may differ from the actual results as reflected in its income tax returns and the Company records the required adjustments when they are identified or resolved. Changes in the Company's business, tax laws or the Company's interpretation of tax laws, and developments in current and future tax audits, could significantly impact the amounts provided for income taxes in the Company's results of operations, financial position, or cash flows.</w:t>
      </w:r>
    </w:p>
    <w:p>
      <w:pPr>
        <w:spacing w:after="0" w:line="212"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Deferred tax assets and liabilities are recognized for the estimated future tax consequences attributable to tax benefit carry-forwards and to differences between the financial statement amounts of assets and liabilities and their respective tax basis. The Company regularly reviews its deferred tax assets for recoverability and establishes a valuation allowance if it is more likely than not that some portion or all of the deferred tax assets will not be realized. To make this assessment, the Company takes into account predictions of the amount and category of taxable income from various sources and all available positive and negative evidence about these possible sources of taxable income. The weight given to the potential effect of negative and positive evidence is commensurate with the extent to which the strength of the evidence can be objectively verified.</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 applies a two-step approach to determining the financial statement recognition and measurement of uncertain tax positions. The Company only recognizes an income tax expense or benefit with respect to uncertain tax positions in its financial statements that the Company judges is more likely than not to be sustained solely on its technical merits in a tax audit, including resolution of any related appeals or litigation processes. To make this judgment, the Company must interpret complex and sometimes ambiguous tax laws, regulations and administrative practices. If an income tax position meets the more likely than not recognition threshold, then the Company must measure the amount of the tax benefit to be recognized by determining the largest amount of tax benefit that has a greater than a 50% likelihood of being realized upon effective settlement with a taxing authority that has full knowledge of all of the relevant facts. It is inherently difficult and subjective to estimate such amounts, as this requires the Company to determine the probability of various possible settlement outcomes. To determine if a tax position is effectively settled after a tax examination has been completed, the Company must also estimate the likelihood that another taxing authority could review the respective tax position. The Company must also determine when it is reasonably possible that the amount of unrecognized tax benefits will significantly increase or decrease in the 12 months after each fiscal year-end. These judgments are difficult because a taxing authority may change its behavior as a result of the Company's disclosures in its financial statements. The Company must reevaluate its income tax positions on a quarterly basis to consider factors such as changes in facts or circumstances, changes in tax law, effectively settled issues under audit, and new audit activity. Such a change in recognition or measurement would result in recognition of a tax benefit or an additional charge to the tax provision. The Company's policy is to recognize interest and penalties related to unrecognized tax benefits as a component of the provision for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Comprehensive Income (Loss)</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Other comprehensive income (loss) consists of unrealized gains (losses) on available-for-sale investments, net of tax, which are not included in the Company’s net income. Total comprehensive income includes net income and other comprehensive income (loss) and is included in the consolidated statements of comprehensive income.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33"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Transactions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The Company’s operations are conducted in various countries around the world and the financial statements of its foreign subsidiaries are reported in the U.S. dollar as their respective functional currency. Monetary assets and liabilities denominated in foreign currencies have been re-measured into U.S. dollars using the exchange rates in effect at the balance sheet date, and income and expenses are re-measured at average exchange rates during the period. Foreign currency re-measurement gains and losses and foreign currency transaction gains and losses are recognized in other income (expense), net. The Company recorded total foreign currency transaction losses of </w:t>
      </w:r>
      <w:r>
        <w:rPr>
          <w:rFonts w:ascii="Arial" w:cs="Arial" w:eastAsia="Arial" w:hAnsi="Arial"/>
          <w:sz w:val="18"/>
          <w:szCs w:val="18"/>
          <w:color w:val="000000"/>
        </w:rPr>
        <w:t>$0.4 million</w:t>
      </w:r>
      <w:r>
        <w:rPr>
          <w:rFonts w:ascii="Arial" w:cs="Arial" w:eastAsia="Arial" w:hAnsi="Arial"/>
          <w:sz w:val="18"/>
          <w:szCs w:val="18"/>
          <w:color w:val="231F20"/>
        </w:rPr>
        <w:t xml:space="preserve">, $0.8 million and $0.4 million during </w:t>
      </w:r>
      <w:r>
        <w:rPr>
          <w:rFonts w:ascii="Arial" w:cs="Arial" w:eastAsia="Arial" w:hAnsi="Arial"/>
          <w:sz w:val="18"/>
          <w:szCs w:val="18"/>
          <w:color w:val="000000"/>
        </w:rPr>
        <w:t>2017,</w:t>
      </w:r>
      <w:r>
        <w:rPr>
          <w:rFonts w:ascii="Arial" w:cs="Arial" w:eastAsia="Arial" w:hAnsi="Arial"/>
          <w:sz w:val="18"/>
          <w:szCs w:val="18"/>
          <w:color w:val="231F20"/>
        </w:rPr>
        <w:t xml:space="preserve"> </w:t>
      </w:r>
      <w:r>
        <w:rPr>
          <w:rFonts w:ascii="Arial" w:cs="Arial" w:eastAsia="Arial" w:hAnsi="Arial"/>
          <w:sz w:val="18"/>
          <w:szCs w:val="18"/>
          <w:color w:val="000000"/>
        </w:rPr>
        <w:t>2016</w:t>
      </w:r>
      <w:r>
        <w:rPr>
          <w:rFonts w:ascii="Arial" w:cs="Arial" w:eastAsia="Arial" w:hAnsi="Arial"/>
          <w:sz w:val="18"/>
          <w:szCs w:val="18"/>
          <w:color w:val="231F20"/>
        </w:rPr>
        <w:t xml:space="preserve"> and </w:t>
      </w:r>
      <w:r>
        <w:rPr>
          <w:rFonts w:ascii="Arial" w:cs="Arial" w:eastAsia="Arial" w:hAnsi="Arial"/>
          <w:sz w:val="18"/>
          <w:szCs w:val="18"/>
          <w:color w:val="000000"/>
        </w:rPr>
        <w:t>2015</w:t>
      </w:r>
      <w:r>
        <w:rPr>
          <w:rFonts w:ascii="Arial" w:cs="Arial" w:eastAsia="Arial" w:hAnsi="Arial"/>
          <w:sz w:val="18"/>
          <w:szCs w:val="18"/>
          <w:color w:val="231F20"/>
        </w:rPr>
        <w:t>, respectively.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Fair Value Measurements</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 due to the relatively short maturity of these balances.</w:t>
      </w:r>
    </w:p>
    <w:p>
      <w:pPr>
        <w:spacing w:after="0" w:line="20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The Company's financial instruments consist of assets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 xml:space="preserve">fixed-income U.S. government agency securities, commercial paper, corporate bonds, asset-backed securities and derivative 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 valued</w:t>
      </w:r>
      <w:r>
        <w:rPr>
          <w:rFonts w:ascii="Arial" w:cs="Arial" w:eastAsia="Arial" w:hAnsi="Arial"/>
          <w:sz w:val="18"/>
          <w:szCs w:val="18"/>
          <w:color w:val="000000"/>
        </w:rPr>
        <w:t xml:space="preserve"> </w:t>
      </w:r>
      <w:r>
        <w:rPr>
          <w:rFonts w:ascii="Arial" w:cs="Arial" w:eastAsia="Arial" w:hAnsi="Arial"/>
          <w:sz w:val="18"/>
          <w:szCs w:val="18"/>
          <w:color w:val="231F20"/>
        </w:rPr>
        <w:t>using observable inputs</w:t>
      </w:r>
      <w:r>
        <w:rPr>
          <w:rFonts w:ascii="Arial" w:cs="Arial" w:eastAsia="Arial" w:hAnsi="Arial"/>
          <w:sz w:val="18"/>
          <w:szCs w:val="18"/>
          <w:color w:val="000000"/>
        </w:rPr>
        <w:t>, such as quotations on forward foreign exchange points and foreign interest rates</w:t>
      </w:r>
      <w:r>
        <w:rPr>
          <w:rFonts w:ascii="Arial" w:cs="Arial" w:eastAsia="Arial" w:hAnsi="Arial"/>
          <w:sz w:val="18"/>
          <w:szCs w:val="18"/>
          <w:color w:val="231F20"/>
        </w:rPr>
        <w:t>. See Note 2 for more information regarding the fair value measurement of the Company's financial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Net Income Per Share</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Basic net income per share is computed by dividing net income by the weighted-average number of common shares outstanding during the period. All participating securities are excluded from basic weighted average common shares outstanding. In computing diluted net income per share, undistributed earnings are reallocated to reflect the potential impact of dilutive securities. Diluted net income per share is computed by dividing net income by the weighted-average number of shares of common stock outstanding during the period, adjusted for the effects of potentially dilutive common shares, which are comprised of outstanding stock options. The dilutive potential common shares are computed using the treasury stock method or the as-if converted method, as applicable. The effects of outstanding stock options are excluded from the computation of diluted net income per common share in periods in which the effect would be antidilutive.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33"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Recently Adopted Accounting Pronouncements</w:t>
      </w:r>
    </w:p>
    <w:p>
      <w:pPr>
        <w:spacing w:after="0" w:line="24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In March 2016, the Financial Accounting Standards Board (“FASB”) issued Accounting Standards Update (“ASU”) No. 2016-09, Compensation - Stock Compensation (Topic 718): Improvements to Employee Share-Based Payment Accounting. ASU 2016-09 intended to simplify and improve various aspects related to how employee-share based payment transactions are accounted for and presented in the financial statements, requiring excess tax benefits and deficiencies to be recognized as a component of income tax expense rather than equity. The inclusion of excess tax benefits and deficiencies as a component of income tax expense will increase volatility within our provision for income taxes as the amount of excess tax benefits or deficiencies from stock-based compensation awards depends on our stock price at the date the awards vest. This guidance also requires excess tax benefits to be presented as an operating activity on the statement of cash flows and allows an entity to make an accounting policy election to either estimate expected forfeitures or to account for them as they occur. The Company adopted this ASU in its first quarter of 2017 and elected to apply this adoption prospectively, recording an increase to retained earnings of $7.7 million with a corresponding increase to deferred tax assets for federal and state net operating losses and federal research credits. Additionally, the income tax consequences in the current year include a tax deduction benefit of $27.1 million and increased current and deferred tax benefits for federal research credits. The Company has prospectively adjusted its consolidated statements of cash flows. The Company has made the accounting policy election to continue to estimate forfeitures expected to occur to determine the amount of stock-based compensation expense to record each period. See Note 9, "Income Taxes", for additional impact on the Company's consolidated financial statements.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Recently Issued Accounting Pronouncements Not Yet Adopted</w:t>
      </w:r>
    </w:p>
    <w:p>
      <w:pPr>
        <w:spacing w:after="0" w:line="24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In May 2014, the FASB issued ASU 2014-09, Revenue from Contracts with Customers (Topic 606), which amends the existing accounting standards for revenue recognition. ASU 2014-09 is based on principles that govern the recognition of revenue at an amount an entity expects to be entitled when products or services are transferred to customers. Subsequently, the FASB has issued the following standards related to ASU 2014-09: ASU 2016-08, Revenue from Contracts with Customers (Topic 606): Principal versus Agent Considerations; ASU 2016-10, Revenue from Contracts with Customers (Topic 606): Identifying Performance Obligations and Licensing; ASU 2016-12, Revenue from Contracts with Customers (Topic 606): Narrow-Scope Improvements and Practical Expedients and ASU 2016-20, Technical Corrections and Improvements to Topic 606, Revenue from Contracts with Customers. We must adopt ASU 2016-08, ASU 2016-10, ASU 2016-12 and ASU 2016-20 with ASU 2014-09 (collectively, the “new revenue standards”) on January 1, 2018. The Company has considered the impact of the standards' requirements and we do not expect that the adoption will have a material impact on the amount or timing of revenue recognized but will impact the Company's consolidated financial statements with respect to the capitalization and amortization of incremental costs of obtaining a contract, primarily sales commissions. </w:t>
      </w:r>
      <w:r>
        <w:rPr>
          <w:rFonts w:ascii="Arial" w:cs="Arial" w:eastAsia="Arial" w:hAnsi="Arial"/>
          <w:sz w:val="18"/>
          <w:szCs w:val="18"/>
          <w:color w:val="000000"/>
        </w:rPr>
        <w:t>Under the Company’s current accounting policy, sales commissions are expensed as incurred. The</w:t>
      </w:r>
      <w:r>
        <w:rPr>
          <w:rFonts w:ascii="Arial" w:cs="Arial" w:eastAsia="Arial" w:hAnsi="Arial"/>
          <w:sz w:val="18"/>
          <w:szCs w:val="18"/>
          <w:color w:val="231F20"/>
        </w:rPr>
        <w:t xml:space="preserve"> </w:t>
      </w:r>
      <w:r>
        <w:rPr>
          <w:rFonts w:ascii="Arial" w:cs="Arial" w:eastAsia="Arial" w:hAnsi="Arial"/>
          <w:sz w:val="18"/>
          <w:szCs w:val="18"/>
          <w:color w:val="000000"/>
        </w:rPr>
        <w:t xml:space="preserve">new revenue standards require the capitalization of all incremental costs that the Company incurs to obtain a contract with a customer that it would not have incurred if the contract had not been obtained, provided the Company expects to recover the costs. Under the new revenue standards, the Company will amortize these costs over a period of benefit, as estimated by management, which may extend beyond </w:t>
      </w:r>
      <w:r>
        <w:rPr>
          <w:rFonts w:ascii="Arial" w:cs="Arial" w:eastAsia="Arial" w:hAnsi="Arial"/>
          <w:sz w:val="18"/>
          <w:szCs w:val="18"/>
          <w:color w:val="231F20"/>
        </w:rPr>
        <w:t>the</w:t>
      </w:r>
      <w:r>
        <w:rPr>
          <w:rFonts w:ascii="Arial" w:cs="Arial" w:eastAsia="Arial" w:hAnsi="Arial"/>
          <w:sz w:val="18"/>
          <w:szCs w:val="18"/>
          <w:color w:val="000000"/>
        </w:rPr>
        <w:t xml:space="preserve"> </w:t>
      </w:r>
      <w:r>
        <w:rPr>
          <w:rFonts w:ascii="Arial" w:cs="Arial" w:eastAsia="Arial" w:hAnsi="Arial"/>
          <w:sz w:val="18"/>
          <w:szCs w:val="18"/>
          <w:color w:val="231F20"/>
        </w:rPr>
        <w:t>contract term. The Company will elect to use the practical expedient in Accounting Standards Codification ("ASC") 340-40- 25-4 and expense commissions related to contract renewals with a renewal contract term of one year or less. The Company will adopt the new revenue standards as of January 1, 2018, using the modified retrospective transition method applied to those contracts which are not completed as of that date. For sales commissions that are capitalized, the Company expects to record an estimated net cumulative-effect adjustment to retained earnings of $2.7 million associated with the capitalization of sales commissions related to contracts in progress as of January 1, 2018. In addition, we expect to amortize sales commissions over five years, representing the period which our goods and services are being transferred to our customers.</w:t>
      </w:r>
    </w:p>
    <w:p>
      <w:pPr>
        <w:spacing w:after="0" w:line="12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January 2016, the FASB issued ASU 2016-01, Financial Instruments - Overall (Subtopic 825-10): Recognition and Measurement of Financial Assets and Financial Liabilities, which will impact certain aspects of recognition, measurement, presentation and disclosure of financial instruments. The ASU will impact the accounting for equity investments, financial liabilities under the fair value option, and the presentation and disclosure requirements for financial instruments. This ASU is effective for public business entities in fiscal years beginning after December 15, 2017, and interim periods within those fiscal years. The adoption of this ASU is not expected to have a material impact on the Company's consolidated financial statements.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33"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February 2016, the FASB issued ASU 2016-02, Leases (Topic 842), which requires lessees to recognize all leases, including operating leases, on the balance sheet as a lease asset or lease liability, unless the lease is a short-term lease. ASU 2016-02 also requires additional disclosures regarding leasing arrangements. ASU 2016-02 is effective for us beginning in the first quarter of fiscal 2019 and early adoption is permitted. Pursuant to the leasing criteria, most of our leased space and equipment leases will be required to be accounted for as capitalized assets on the balance sheet with an offsetting financing obligations. In the statement of operations, what was formerly rent expense will be bifurcated into depreciation and interest expense. The Company is currently evaluating the impact and expects the ASU will have a material impact on its consolidated financial statements.</w:t>
      </w:r>
    </w:p>
    <w:p>
      <w:pPr>
        <w:spacing w:after="0" w:line="12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 August 2016, the FASB issued ASU 2016-15, Classification of Certain Cash Receipts and Cash Payments (a consensus of the Emerging Issues Task Force), to provide guidance on the presentation of certain cash receipts and cash payments in the statement of cash flows in order to reduce diversity in existing practice. This ASU is effective for public business entities in fiscal years beginning after December 15, 2017, and interim periods within those fiscal years. The adoption of this ASU is not expected to have a material impact on the Company's consolidated financial statements.</w:t>
      </w:r>
    </w:p>
    <w:p>
      <w:pPr>
        <w:spacing w:after="0" w:line="12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In November 2016, the FASB issued ASU 2016-18, Statement of Cash Flows (Topic 230): Restricted Cash. The update provides guidance on the presentation of restricted cash or restricted cash equivalents in the statement of cash flows. The Company will adopt ASU 2016-18 retrospectively in the first quarter of fiscal 2018. Restricted cash at both December 31, 2017 and 2016 was $1.2 million.</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January 2017, the FASB issued ASU 2017-01, Business Combinations (Topic 805): Clarifying the Definition of a Business, which revises the definition of a business and provides new guidance in evaluating when a set of transferred assets and activities is a business. This ASU is effective for public business entities in fiscal years, and interim periods within those fiscal years, beginning after December 15, 2017 on a prospective basis. The adoption of this ASU is not expected to have a material impact on the Company's consolidated financial statements.</w:t>
      </w:r>
    </w:p>
    <w:p>
      <w:pPr>
        <w:spacing w:after="0" w:line="12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 January 2017, the FASB issued ASU 2017-04, Simplifying the Test for Goodwill Impairment (Topic 350). This standard eliminates Step 2 from the goodwill impairment test, instead requiring an entity to recognize a goodwill impairment charge for the amount by which the goodwill carrying amount exceeds the reporting unit’s fair value. This ASU is effective for interim and annual goodwill impairment tests in fiscal years beginning after December 15, 2019 with early adoption permitted. This ASU must be applied on a prospective basis. The adoption of this ASU is not expected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33"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Fair Value of Financial Instruments</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and long-term investments consist of the following:</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6"/>
                <w:szCs w:val="16"/>
                <w:b w:val="1"/>
                <w:bCs w:val="1"/>
                <w:color w:val="auto"/>
              </w:rPr>
              <w:t>December 31, 2017</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0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86,500</w:t>
            </w:r>
          </w:p>
        </w:tc>
        <w:tc>
          <w:tcPr>
            <w:tcW w:w="12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86,500</w:t>
            </w:r>
          </w:p>
        </w:tc>
      </w:tr>
      <w:tr>
        <w:trPr>
          <w:trHeight w:val="273"/>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50"/>
        </w:trPr>
        <w:tc>
          <w:tcPr>
            <w:tcW w:w="5160" w:type="dxa"/>
            <w:vAlign w:val="bottom"/>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86,591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86,591</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12,623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12,620</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38,425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38,362</w:t>
            </w:r>
          </w:p>
        </w:tc>
      </w:tr>
      <w:tr>
        <w:trPr>
          <w:trHeight w:val="264"/>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151,058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150,841</w:t>
            </w:r>
          </w:p>
        </w:tc>
      </w:tr>
      <w:tr>
        <w:trPr>
          <w:trHeight w:val="257"/>
        </w:trPr>
        <w:tc>
          <w:tcPr>
            <w:tcW w:w="51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202,106</w:t>
            </w: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201,823</w:t>
            </w:r>
          </w:p>
        </w:tc>
      </w:tr>
      <w:tr>
        <w:trPr>
          <w:trHeight w:val="254"/>
        </w:trPr>
        <w:tc>
          <w:tcPr>
            <w:tcW w:w="516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4,998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4,986</w:t>
            </w: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24,269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24,215</w:t>
            </w:r>
          </w:p>
        </w:tc>
      </w:tr>
      <w:tr>
        <w:trPr>
          <w:trHeight w:val="273"/>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38,198</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38,023</w:t>
            </w:r>
          </w:p>
        </w:tc>
      </w:tr>
      <w:tr>
        <w:trPr>
          <w:trHeight w:val="250"/>
        </w:trPr>
        <w:tc>
          <w:tcPr>
            <w:tcW w:w="5160" w:type="dxa"/>
            <w:vAlign w:val="bottom"/>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67,465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67,224</w:t>
            </w:r>
          </w:p>
        </w:tc>
      </w:tr>
      <w:tr>
        <w:trPr>
          <w:trHeight w:val="24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356,162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355,638</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98"/>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6"/>
                <w:szCs w:val="16"/>
                <w:b w:val="1"/>
                <w:bCs w:val="1"/>
                <w:color w:val="auto"/>
              </w:rPr>
              <w:t>December 31, 2016</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00" w:type="dxa"/>
            <w:vAlign w:val="bottom"/>
            <w:gridSpan w:val="5"/>
          </w:tcPr>
          <w:p>
            <w:pPr>
              <w:jc w:val="center"/>
              <w:ind w:right="58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72,673</w:t>
            </w:r>
          </w:p>
        </w:tc>
        <w:tc>
          <w:tcPr>
            <w:tcW w:w="12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72,673</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473</w:t>
            </w:r>
          </w:p>
        </w:tc>
      </w:tr>
      <w:tr>
        <w:trPr>
          <w:trHeight w:val="26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13,591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13,591</w:t>
            </w:r>
          </w:p>
        </w:tc>
      </w:tr>
      <w:tr>
        <w:trPr>
          <w:trHeight w:val="257"/>
        </w:trPr>
        <w:tc>
          <w:tcPr>
            <w:tcW w:w="51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86,737</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86,737</w:t>
            </w:r>
          </w:p>
        </w:tc>
      </w:tr>
      <w:tr>
        <w:trPr>
          <w:trHeight w:val="254"/>
        </w:trPr>
        <w:tc>
          <w:tcPr>
            <w:tcW w:w="516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14,782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14,787</w:t>
            </w: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13,490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13,479</w:t>
            </w: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1,235</w:t>
            </w:r>
          </w:p>
        </w:tc>
      </w:tr>
      <w:tr>
        <w:trPr>
          <w:trHeight w:val="264"/>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127,660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127,618</w:t>
            </w:r>
          </w:p>
        </w:tc>
      </w:tr>
      <w:tr>
        <w:trPr>
          <w:trHeight w:val="257"/>
        </w:trPr>
        <w:tc>
          <w:tcPr>
            <w:tcW w:w="516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157,167</w:t>
            </w:r>
          </w:p>
        </w:tc>
        <w:tc>
          <w:tcPr>
            <w:tcW w:w="12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157,119</w:t>
            </w:r>
          </w:p>
        </w:tc>
      </w:tr>
      <w:tr>
        <w:trPr>
          <w:trHeight w:val="254"/>
        </w:trPr>
        <w:tc>
          <w:tcPr>
            <w:tcW w:w="516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5,091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5,093</w:t>
            </w:r>
          </w:p>
        </w:tc>
      </w:tr>
      <w:tr>
        <w:trPr>
          <w:trHeight w:val="260"/>
        </w:trPr>
        <w:tc>
          <w:tcPr>
            <w:tcW w:w="51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29,501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29,430</w:t>
            </w:r>
          </w:p>
        </w:tc>
      </w:tr>
      <w:tr>
        <w:trPr>
          <w:trHeight w:val="273"/>
        </w:trPr>
        <w:tc>
          <w:tcPr>
            <w:tcW w:w="51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11,243</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11,202</w:t>
            </w:r>
          </w:p>
        </w:tc>
      </w:tr>
      <w:tr>
        <w:trPr>
          <w:trHeight w:val="250"/>
        </w:trPr>
        <w:tc>
          <w:tcPr>
            <w:tcW w:w="51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45,835</w:t>
            </w:r>
          </w:p>
        </w:tc>
        <w:tc>
          <w:tcPr>
            <w:tcW w:w="12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45,725</w:t>
            </w: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289,739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289,581</w:t>
            </w: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333" w:right="2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 excluding cash and money market funds: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December 31, 2017</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160" w:type="dxa"/>
            <w:vAlign w:val="bottom"/>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12,620</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12,620</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2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175,056</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175,056</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76,385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76,385</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3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4,986</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4,986</w:t>
            </w: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269,047</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269,047</w:t>
            </w:r>
          </w:p>
        </w:tc>
      </w:tr>
      <w:tr>
        <w:trPr>
          <w:trHeight w:val="20"/>
        </w:trPr>
        <w:tc>
          <w:tcPr>
            <w:tcW w:w="5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98"/>
        </w:trPr>
        <w:tc>
          <w:tcPr>
            <w:tcW w:w="516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December 31, 2016</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3"/>
          </w:tcPr>
          <w:p>
            <w:pPr>
              <w:jc w:val="center"/>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28,378</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28,378</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2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157,048</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157,048</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24,681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24,681</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6,328</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6,328</w:t>
            </w:r>
          </w:p>
        </w:tc>
      </w:tr>
      <w:tr>
        <w:trPr>
          <w:trHeight w:val="24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216,435</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216,435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maturity: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rPr>
              <w:t>December 31, 2017</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After One Year</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5160" w:type="dxa"/>
            <w:vAlign w:val="bottom"/>
          </w:tcPr>
          <w:p>
            <w:pPr>
              <w:spacing w:after="0"/>
              <w:rPr>
                <w:sz w:val="16"/>
                <w:szCs w:val="16"/>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Mature within One</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through Two</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8"/>
        </w:trPr>
        <w:tc>
          <w:tcPr>
            <w:tcW w:w="5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w w:val="97"/>
              </w:rPr>
              <w:t>Year</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Years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Over Two Years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12,620</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150,841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22,033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175,056</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38,362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15,306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76,385</w:t>
            </w: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4,702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4,986</w:t>
            </w:r>
          </w:p>
        </w:tc>
      </w:tr>
      <w:tr>
        <w:trPr>
          <w:trHeight w:val="24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206,525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45,034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269,047</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December 31, 2017</w:t>
      </w:r>
      <w:r>
        <w:rPr>
          <w:rFonts w:ascii="Arial" w:cs="Arial" w:eastAsia="Arial" w:hAnsi="Arial"/>
          <w:sz w:val="18"/>
          <w:szCs w:val="18"/>
          <w:color w:val="231F20"/>
        </w:rPr>
        <w:t xml:space="preserve"> and 2016, derivative financial instruments, consisting of foreign currency forward contracts, were valued at </w:t>
      </w:r>
      <w:r>
        <w:rPr>
          <w:rFonts w:ascii="Arial" w:cs="Arial" w:eastAsia="Arial" w:hAnsi="Arial"/>
          <w:sz w:val="18"/>
          <w:szCs w:val="18"/>
          <w:color w:val="000000"/>
        </w:rPr>
        <w:t>$0</w:t>
      </w:r>
      <w:r>
        <w:rPr>
          <w:rFonts w:ascii="Arial" w:cs="Arial" w:eastAsia="Arial" w:hAnsi="Arial"/>
          <w:sz w:val="18"/>
          <w:szCs w:val="18"/>
          <w:color w:val="231F20"/>
        </w:rPr>
        <w:t xml:space="preserve"> as the contracts were entered into on the last day of the respective reporting periods. These instruments were valued using Level 2 inputs.</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33"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NOTE 3.</w:t>
            </w:r>
          </w:p>
        </w:tc>
        <w:tc>
          <w:tcPr>
            <w:tcW w:w="7340" w:type="dxa"/>
            <w:vAlign w:val="bottom"/>
          </w:tcPr>
          <w:p>
            <w:pPr>
              <w:ind w:left="280"/>
              <w:spacing w:after="0"/>
              <w:rPr>
                <w:sz w:val="20"/>
                <w:szCs w:val="20"/>
                <w:color w:val="auto"/>
              </w:rPr>
            </w:pPr>
            <w:r>
              <w:rPr>
                <w:rFonts w:ascii="Arial" w:cs="Arial" w:eastAsia="Arial" w:hAnsi="Arial"/>
                <w:sz w:val="18"/>
                <w:szCs w:val="18"/>
                <w:b w:val="1"/>
                <w:bCs w:val="1"/>
                <w:color w:val="auto"/>
              </w:rPr>
              <w:t>Property and Equipment, Net</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46"/>
        </w:trPr>
        <w:tc>
          <w:tcPr>
            <w:tcW w:w="8360" w:type="dxa"/>
            <w:vAlign w:val="bottom"/>
            <w:gridSpan w:val="2"/>
          </w:tcPr>
          <w:p>
            <w:pPr>
              <w:ind w:left="420"/>
              <w:spacing w:after="0"/>
              <w:rPr>
                <w:sz w:val="20"/>
                <w:szCs w:val="20"/>
                <w:color w:val="auto"/>
              </w:rPr>
            </w:pPr>
            <w:r>
              <w:rPr>
                <w:rFonts w:ascii="Arial" w:cs="Arial" w:eastAsia="Arial" w:hAnsi="Arial"/>
                <w:sz w:val="18"/>
                <w:szCs w:val="18"/>
                <w:color w:val="231F20"/>
              </w:rPr>
              <w:t>Property and equipment consists of the following:</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9"/>
        </w:trPr>
        <w:tc>
          <w:tcPr>
            <w:tcW w:w="10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1020" w:type="dxa"/>
            <w:vAlign w:val="bottom"/>
          </w:tcPr>
          <w:p>
            <w:pPr>
              <w:spacing w:after="0"/>
              <w:rPr>
                <w:sz w:val="22"/>
                <w:szCs w:val="22"/>
                <w:color w:val="auto"/>
              </w:rPr>
            </w:pPr>
          </w:p>
        </w:tc>
        <w:tc>
          <w:tcPr>
            <w:tcW w:w="7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102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77,883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57,295</w:t>
            </w: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Computer software</w:t>
            </w: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20,447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19,716</w:t>
            </w:r>
          </w:p>
        </w:tc>
      </w:tr>
      <w:tr>
        <w:trPr>
          <w:trHeight w:val="280"/>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3,425</w:t>
            </w:r>
          </w:p>
        </w:tc>
      </w:tr>
      <w:tr>
        <w:trPr>
          <w:trHeight w:val="260"/>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Scanner appliances</w:t>
            </w: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14,325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14,776</w:t>
            </w:r>
          </w:p>
        </w:tc>
      </w:tr>
      <w:tr>
        <w:trPr>
          <w:trHeight w:val="27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16,067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3,694</w:t>
            </w:r>
          </w:p>
        </w:tc>
      </w:tr>
      <w:tr>
        <w:trPr>
          <w:trHeight w:val="24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Total property and equipment</w:t>
            </w:r>
          </w:p>
        </w:tc>
        <w:tc>
          <w:tcPr>
            <w:tcW w:w="16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133,797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98,906</w:t>
            </w:r>
          </w:p>
        </w:tc>
      </w:tr>
      <w:tr>
        <w:trPr>
          <w:trHeight w:val="27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(75,240)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(59,505)</w:t>
            </w:r>
          </w:p>
        </w:tc>
      </w:tr>
      <w:tr>
        <w:trPr>
          <w:trHeight w:val="240"/>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58,557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39,401</w:t>
            </w:r>
          </w:p>
        </w:tc>
      </w:tr>
      <w:tr>
        <w:trPr>
          <w:trHeight w:val="20"/>
        </w:trPr>
        <w:tc>
          <w:tcPr>
            <w:tcW w:w="10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leases by customers have a net carrying value of $6.8 million and </w:t>
      </w:r>
      <w:r>
        <w:rPr>
          <w:rFonts w:ascii="Arial" w:cs="Arial" w:eastAsia="Arial" w:hAnsi="Arial"/>
          <w:sz w:val="18"/>
          <w:szCs w:val="18"/>
          <w:color w:val="000000"/>
        </w:rPr>
        <w:t>$8.3 million</w:t>
      </w:r>
      <w:r>
        <w:rPr>
          <w:rFonts w:ascii="Arial" w:cs="Arial" w:eastAsia="Arial" w:hAnsi="Arial"/>
          <w:sz w:val="18"/>
          <w:szCs w:val="18"/>
          <w:color w:val="231F20"/>
        </w:rPr>
        <w:t xml:space="preserve"> at December 31, 2017 and 2016, respectively, including assets that have not been placed in service of $0.9 million </w:t>
      </w:r>
      <w:r>
        <w:rPr>
          <w:rFonts w:ascii="Arial" w:cs="Arial" w:eastAsia="Arial" w:hAnsi="Arial"/>
          <w:sz w:val="18"/>
          <w:szCs w:val="18"/>
          <w:color w:val="000000"/>
        </w:rPr>
        <w:t xml:space="preserve">and $1.3 million, </w:t>
      </w:r>
      <w:r>
        <w:rPr>
          <w:rFonts w:ascii="Arial" w:cs="Arial" w:eastAsia="Arial" w:hAnsi="Arial"/>
          <w:sz w:val="18"/>
          <w:szCs w:val="18"/>
          <w:color w:val="231F20"/>
        </w:rPr>
        <w:t>respectively. Other fixed assets not placed in service at</w:t>
      </w:r>
      <w:r>
        <w:rPr>
          <w:rFonts w:ascii="Arial" w:cs="Arial" w:eastAsia="Arial" w:hAnsi="Arial"/>
          <w:sz w:val="18"/>
          <w:szCs w:val="18"/>
          <w:color w:val="000000"/>
        </w:rPr>
        <w:t xml:space="preserve"> December 31, 2017 </w:t>
      </w:r>
      <w:r>
        <w:rPr>
          <w:rFonts w:ascii="Arial" w:cs="Arial" w:eastAsia="Arial" w:hAnsi="Arial"/>
          <w:sz w:val="18"/>
          <w:szCs w:val="18"/>
          <w:color w:val="231F20"/>
        </w:rPr>
        <w:t>and 2016 were $ 9.6 million and</w:t>
      </w:r>
      <w:r>
        <w:rPr>
          <w:rFonts w:ascii="Arial" w:cs="Arial" w:eastAsia="Arial" w:hAnsi="Arial"/>
          <w:sz w:val="18"/>
          <w:szCs w:val="18"/>
          <w:color w:val="000000"/>
        </w:rPr>
        <w:t xml:space="preserve"> $3.6 million, </w:t>
      </w:r>
      <w:r>
        <w:rPr>
          <w:rFonts w:ascii="Arial" w:cs="Arial" w:eastAsia="Arial" w:hAnsi="Arial"/>
          <w:sz w:val="18"/>
          <w:szCs w:val="18"/>
          <w:color w:val="231F20"/>
        </w:rPr>
        <w:t xml:space="preserve">respectively. </w:t>
      </w:r>
      <w:r>
        <w:rPr>
          <w:rFonts w:ascii="Arial" w:cs="Arial" w:eastAsia="Arial" w:hAnsi="Arial"/>
          <w:sz w:val="18"/>
          <w:szCs w:val="18"/>
          <w:color w:val="000000"/>
        </w:rPr>
        <w:t>Depreciation</w:t>
      </w:r>
      <w:r>
        <w:rPr>
          <w:rFonts w:ascii="Arial" w:cs="Arial" w:eastAsia="Arial" w:hAnsi="Arial"/>
          <w:sz w:val="18"/>
          <w:szCs w:val="18"/>
          <w:color w:val="231F20"/>
        </w:rPr>
        <w:t xml:space="preserve"> and amortization expense relating to property and equipment was </w:t>
      </w:r>
      <w:r>
        <w:rPr>
          <w:rFonts w:ascii="Arial" w:cs="Arial" w:eastAsia="Arial" w:hAnsi="Arial"/>
          <w:sz w:val="18"/>
          <w:szCs w:val="18"/>
          <w:color w:val="000000"/>
        </w:rPr>
        <w:t>$19.9 million, $16.6 million</w:t>
      </w:r>
      <w:r>
        <w:rPr>
          <w:rFonts w:ascii="Arial" w:cs="Arial" w:eastAsia="Arial" w:hAnsi="Arial"/>
          <w:sz w:val="18"/>
          <w:szCs w:val="18"/>
          <w:color w:val="231F20"/>
        </w:rPr>
        <w:t xml:space="preserve"> and </w:t>
      </w:r>
      <w:r>
        <w:rPr>
          <w:rFonts w:ascii="Arial" w:cs="Arial" w:eastAsia="Arial" w:hAnsi="Arial"/>
          <w:sz w:val="18"/>
          <w:szCs w:val="18"/>
          <w:color w:val="000000"/>
        </w:rPr>
        <w:t>$13.9 million</w:t>
      </w:r>
      <w:r>
        <w:rPr>
          <w:rFonts w:ascii="Arial" w:cs="Arial" w:eastAsia="Arial" w:hAnsi="Arial"/>
          <w:sz w:val="18"/>
          <w:szCs w:val="18"/>
          <w:color w:val="231F20"/>
        </w:rPr>
        <w:t xml:space="preserve"> for </w:t>
      </w:r>
      <w:r>
        <w:rPr>
          <w:rFonts w:ascii="Arial" w:cs="Arial" w:eastAsia="Arial" w:hAnsi="Arial"/>
          <w:sz w:val="18"/>
          <w:szCs w:val="18"/>
          <w:color w:val="000000"/>
        </w:rPr>
        <w:t xml:space="preserve">2017, 2016 </w:t>
      </w:r>
      <w:r>
        <w:rPr>
          <w:rFonts w:ascii="Arial" w:cs="Arial" w:eastAsia="Arial" w:hAnsi="Arial"/>
          <w:sz w:val="18"/>
          <w:szCs w:val="18"/>
          <w:color w:val="231F20"/>
        </w:rPr>
        <w:t>and</w:t>
      </w:r>
      <w:r>
        <w:rPr>
          <w:rFonts w:ascii="Arial" w:cs="Arial" w:eastAsia="Arial" w:hAnsi="Arial"/>
          <w:sz w:val="18"/>
          <w:szCs w:val="18"/>
          <w:color w:val="000000"/>
        </w:rPr>
        <w:t xml:space="preserve"> 2015</w:t>
      </w:r>
      <w:r>
        <w:rPr>
          <w:rFonts w:ascii="Arial" w:cs="Arial" w:eastAsia="Arial" w:hAnsi="Arial"/>
          <w:sz w:val="18"/>
          <w:szCs w:val="18"/>
          <w:color w:val="231F20"/>
        </w:rPr>
        <w:t>, respectively.</w:t>
      </w:r>
    </w:p>
    <w:p>
      <w:pPr>
        <w:spacing w:after="0" w:line="20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On November 20, 2017, the Company moved its headquarters office from Redwood City, California to Foster City, California. Due to the move, the Company incurred a loss of disposal of $0.2 million from abandoning the Redwood City office facilities. The gross amount of abandoned costs was $2.4 million with accumulated depreciation of $2.2 million and a net book value of $0.2 million. The loss was recognized in operating expenses.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33"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Business Combinations</w:t>
      </w:r>
    </w:p>
    <w:p>
      <w:pPr>
        <w:spacing w:after="0" w:line="24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2017, the Company purchased certain assets of Nevis Networks (India) Private Limited (“Nevis”) and Defensative, LLC (NetWatcher). The Nevis acquisition accelerates the Company's development of network security solutions for detection and awareness of external intrusions to computer networks. The NetWatcher acquisition expands the Company's threat protection and management capabilities and adds new offerings to managed security service providers. Total purchase consideration related to the Company’s business combinations was $5.8 million in cash for Nevis, and $7.7 million for NetWatcher of which $1.0 million is payable in the future subject to terms and conditions of the purchase agreement. Total cash paid in the business combinations completed during 2017 was $12.5 million. Pro forma financial information for these acquisitions have not been presented because they are not material to our consolidated financial statements, either individually or in aggregate.</w:t>
      </w:r>
    </w:p>
    <w:p>
      <w:pPr>
        <w:spacing w:after="0" w:line="19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connection with the NetWatcher acquisition, certain founders of NetWatcher will receive future payments with continued employment at their one year and two year anniversaries with the Company. These future payments are being recorded as employee compensation expense ratably over the two-year period.</w:t>
      </w:r>
    </w:p>
    <w:p>
      <w:pPr>
        <w:spacing w:after="0" w:line="20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Company accounted for the acquisition of certain assets of Nevis and Netwatcher as business combinations. The allocation of the consideration for business combinations completed in year of 2017 is summarized as follows (in thousands):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Net Tangible</w:t>
            </w: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9"/>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Assets Acquired/</w:t>
            </w:r>
          </w:p>
        </w:tc>
        <w:tc>
          <w:tcPr>
            <w:tcW w:w="1940" w:type="dxa"/>
            <w:vAlign w:val="bottom"/>
            <w:gridSpan w:val="3"/>
          </w:tcPr>
          <w:p>
            <w:pPr>
              <w:ind w:left="100"/>
              <w:spacing w:after="0"/>
              <w:rPr>
                <w:sz w:val="20"/>
                <w:szCs w:val="20"/>
                <w:color w:val="auto"/>
              </w:rPr>
            </w:pPr>
            <w:r>
              <w:rPr>
                <w:rFonts w:ascii="Arial" w:cs="Arial" w:eastAsia="Arial" w:hAnsi="Arial"/>
                <w:sz w:val="16"/>
                <w:szCs w:val="16"/>
                <w:b w:val="1"/>
                <w:bCs w:val="1"/>
                <w:color w:val="auto"/>
              </w:rPr>
              <w:t>Purchased Intangible</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2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Acquiree</w:t>
            </w:r>
          </w:p>
        </w:tc>
        <w:tc>
          <w:tcPr>
            <w:tcW w:w="12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Purchase Consideration</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(liabilities assumed)</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Goodwill</w:t>
            </w:r>
          </w:p>
        </w:tc>
      </w:tr>
      <w:tr>
        <w:trPr>
          <w:trHeight w:val="257"/>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Nevis</w:t>
            </w:r>
          </w:p>
        </w:tc>
        <w:tc>
          <w:tcPr>
            <w:tcW w:w="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5,156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r>
      <w:tr>
        <w:trPr>
          <w:trHeight w:val="264"/>
        </w:trPr>
        <w:tc>
          <w:tcPr>
            <w:tcW w:w="34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NetWatcher</w:t>
            </w:r>
          </w:p>
        </w:tc>
        <w:tc>
          <w:tcPr>
            <w:tcW w:w="7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7,729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7,000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649</w:t>
            </w:r>
          </w:p>
        </w:tc>
      </w:tr>
      <w:tr>
        <w:trPr>
          <w:trHeight w:val="24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13,482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12,156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1,232</w:t>
            </w: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Purchased intangible assets represent the estimated fair value of purchased technology from our acquisitions of Nevis and NetWatcher. The excess of purchase consideration over the fair value of net tangible and identifiable intangible assets acquired was recorded as goodwill. Goodwill generated from these acquisitions was primarily related to the acquired workforce, expected improvements in technology performance and additional product functionality. The fair values assigned to tangible assets acquired and identifiable intangible assets are based on management's estimates and assumptions.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intangible assets have an estimated useful life of 5 years. Goodwill is deductible for tax purposes over 15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33"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Goodwill and Intangible Assets, Net</w:t>
      </w:r>
    </w:p>
    <w:p>
      <w:pPr>
        <w:spacing w:after="0" w:line="261"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231F20"/>
        </w:rPr>
        <w:t>Intangible assets consist primarily of developed technology and patent licenses in business combinations. Acquired intangibles are amortized on a straight-line basis over the respective estimated useful lives of the assets.</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345"/>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7"/>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27" w:lineRule="exact"/>
              <w:rPr>
                <w:sz w:val="20"/>
                <w:szCs w:val="20"/>
                <w:color w:val="auto"/>
              </w:rPr>
            </w:pPr>
            <w:r>
              <w:rPr>
                <w:rFonts w:ascii="Arial" w:cs="Arial" w:eastAsia="Arial" w:hAnsi="Arial"/>
                <w:sz w:val="13"/>
                <w:szCs w:val="13"/>
                <w:b w:val="1"/>
                <w:bCs w:val="1"/>
                <w:color w:val="auto"/>
                <w:w w:val="95"/>
              </w:rPr>
              <w:t>Weighted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Remaining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Accumulated</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7"/>
              </w:rPr>
              <w:t>Average Lives</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Average Lives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Cost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67"/>
              <w:spacing w:after="0"/>
              <w:rPr>
                <w:sz w:val="20"/>
                <w:szCs w:val="20"/>
                <w:color w:val="auto"/>
              </w:rPr>
            </w:pPr>
            <w:r>
              <w:rPr>
                <w:rFonts w:ascii="Arial" w:cs="Arial" w:eastAsia="Arial" w:hAnsi="Arial"/>
                <w:sz w:val="13"/>
                <w:szCs w:val="13"/>
                <w:b w:val="1"/>
                <w:bCs w:val="1"/>
                <w:color w:val="auto"/>
                <w:w w:val="95"/>
              </w:rPr>
              <w:t>Amortization</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3"/>
                <w:szCs w:val="13"/>
                <w:b w:val="1"/>
                <w:bCs w:val="1"/>
                <w:color w:val="auto"/>
              </w:rPr>
              <w:t>Net Book Value</w:t>
            </w: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 years</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 years</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14,067</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11,696</w:t>
            </w: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6"/>
                <w:szCs w:val="16"/>
                <w:color w:val="auto"/>
              </w:rPr>
              <w:t>14 years</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7 years</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1,388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4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intangibles subject to amortization</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15,455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12,361</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20"/>
        </w:trPr>
        <w:tc>
          <w:tcPr>
            <w:tcW w:w="546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intangible assets, net</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12,401</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7"/>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spacing w:after="0" w:line="127" w:lineRule="exact"/>
              <w:rPr>
                <w:sz w:val="20"/>
                <w:szCs w:val="20"/>
                <w:color w:val="auto"/>
              </w:rPr>
            </w:pPr>
            <w:r>
              <w:rPr>
                <w:rFonts w:ascii="Arial" w:cs="Arial" w:eastAsia="Arial" w:hAnsi="Arial"/>
                <w:sz w:val="13"/>
                <w:szCs w:val="13"/>
                <w:b w:val="1"/>
                <w:bCs w:val="1"/>
                <w:color w:val="auto"/>
                <w:w w:val="95"/>
              </w:rPr>
              <w:t>Weighted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Remaining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Accumulated</w:t>
            </w: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Average Lives</w:t>
            </w:r>
          </w:p>
        </w:tc>
        <w:tc>
          <w:tcPr>
            <w:tcW w:w="1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Average Lives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Cost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7"/>
              <w:spacing w:after="0"/>
              <w:rPr>
                <w:sz w:val="20"/>
                <w:szCs w:val="20"/>
                <w:color w:val="auto"/>
              </w:rPr>
            </w:pPr>
            <w:r>
              <w:rPr>
                <w:rFonts w:ascii="Arial" w:cs="Arial" w:eastAsia="Arial" w:hAnsi="Arial"/>
                <w:sz w:val="13"/>
                <w:szCs w:val="13"/>
                <w:b w:val="1"/>
                <w:bCs w:val="1"/>
                <w:color w:val="auto"/>
              </w:rPr>
              <w:t>Amortization</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3"/>
                <w:szCs w:val="13"/>
                <w:b w:val="1"/>
                <w:bCs w:val="1"/>
                <w:color w:val="auto"/>
              </w:rPr>
              <w:t>Net Book Value</w:t>
            </w:r>
          </w:p>
        </w:tc>
        <w:tc>
          <w:tcPr>
            <w:tcW w:w="0" w:type="dxa"/>
            <w:vAlign w:val="bottom"/>
          </w:tcPr>
          <w:p>
            <w:pPr>
              <w:spacing w:after="0"/>
              <w:rPr>
                <w:sz w:val="1"/>
                <w:szCs w:val="1"/>
                <w:color w:val="auto"/>
              </w:rPr>
            </w:pP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 years</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 year</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14 years</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8 years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1,388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240"/>
        </w:trPr>
        <w:tc>
          <w:tcPr>
            <w:tcW w:w="5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intangibles subject to amortization</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20"/>
        </w:trPr>
        <w:tc>
          <w:tcPr>
            <w:tcW w:w="546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intangible assets, net</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Intangible assets amortization expense was </w:t>
      </w:r>
      <w:r>
        <w:rPr>
          <w:rFonts w:ascii="Arial" w:cs="Arial" w:eastAsia="Arial" w:hAnsi="Arial"/>
          <w:sz w:val="18"/>
          <w:szCs w:val="18"/>
          <w:color w:val="000000"/>
        </w:rPr>
        <w:t>$0.7 million and $0.4 million for 2017 and 2016, respectively.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2017</w:t>
      </w:r>
      <w:r>
        <w:rPr>
          <w:rFonts w:ascii="Arial" w:cs="Arial" w:eastAsia="Arial" w:hAnsi="Arial"/>
          <w:sz w:val="18"/>
          <w:szCs w:val="18"/>
          <w:color w:val="231F20"/>
        </w:rPr>
        <w:t>, the Company expects amortization expense in future periods to be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2,531</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2019</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2,531</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2,531</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2021</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2,531</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2,071</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2023 and thereafter</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w:t>
            </w:r>
          </w:p>
        </w:tc>
      </w:tr>
      <w:tr>
        <w:trPr>
          <w:trHeight w:val="24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expected future amortization expense</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12,361</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Goodwill, which is not subject to amortization, totaled </w:t>
      </w:r>
      <w:r>
        <w:rPr>
          <w:rFonts w:ascii="Arial" w:cs="Arial" w:eastAsia="Arial" w:hAnsi="Arial"/>
          <w:sz w:val="18"/>
          <w:szCs w:val="18"/>
          <w:color w:val="000000"/>
        </w:rPr>
        <w:t>$1.5 million and $0.3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 2017</w:t>
      </w:r>
      <w:r>
        <w:rPr>
          <w:rFonts w:ascii="Arial" w:cs="Arial" w:eastAsia="Arial" w:hAnsi="Arial"/>
          <w:sz w:val="18"/>
          <w:szCs w:val="18"/>
          <w:color w:val="231F20"/>
        </w:rPr>
        <w:t xml:space="preserve"> and </w:t>
      </w:r>
      <w:r>
        <w:rPr>
          <w:rFonts w:ascii="Arial" w:cs="Arial" w:eastAsia="Arial" w:hAnsi="Arial"/>
          <w:sz w:val="18"/>
          <w:szCs w:val="18"/>
          <w:color w:val="000000"/>
        </w:rPr>
        <w:t>2016</w:t>
      </w:r>
      <w:r>
        <w:rPr>
          <w:rFonts w:ascii="Arial" w:cs="Arial" w:eastAsia="Arial" w:hAnsi="Arial"/>
          <w:sz w:val="18"/>
          <w:szCs w:val="18"/>
          <w:color w:val="231F20"/>
        </w:rPr>
        <w:t>,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33"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Commitments and Contingencies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3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2028.</w:t>
      </w:r>
    </w:p>
    <w:p>
      <w:pPr>
        <w:spacing w:after="0" w:line="196"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 xml:space="preserve">The following are the minimum annual lease payments due under operating leases at </w:t>
      </w:r>
      <w:r>
        <w:rPr>
          <w:rFonts w:ascii="Arial" w:cs="Arial" w:eastAsia="Arial" w:hAnsi="Arial"/>
          <w:sz w:val="18"/>
          <w:szCs w:val="18"/>
          <w:color w:val="000000"/>
        </w:rPr>
        <w:t>December 31, 2017</w:t>
      </w:r>
      <w:r>
        <w:rPr>
          <w:rFonts w:ascii="Arial" w:cs="Arial" w:eastAsia="Arial" w:hAnsi="Arial"/>
          <w:sz w:val="18"/>
          <w:szCs w:val="18"/>
          <w:color w:val="231F20"/>
        </w:rPr>
        <w:t xml:space="preserve">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6,893</w:t>
            </w:r>
          </w:p>
        </w:tc>
      </w:tr>
      <w:tr>
        <w:trPr>
          <w:trHeight w:val="260"/>
        </w:trPr>
        <w:tc>
          <w:tcPr>
            <w:tcW w:w="9940" w:type="dxa"/>
            <w:vAlign w:val="bottom"/>
          </w:tcPr>
          <w:p>
            <w:pPr>
              <w:ind w:left="40"/>
              <w:spacing w:after="0"/>
              <w:rPr>
                <w:sz w:val="20"/>
                <w:szCs w:val="20"/>
                <w:color w:val="auto"/>
              </w:rPr>
            </w:pPr>
            <w:r>
              <w:rPr>
                <w:rFonts w:ascii="Arial" w:cs="Arial" w:eastAsia="Arial" w:hAnsi="Arial"/>
                <w:sz w:val="16"/>
                <w:szCs w:val="16"/>
                <w:color w:val="auto"/>
              </w:rPr>
              <w:t>2019</w:t>
            </w:r>
          </w:p>
        </w:tc>
        <w:tc>
          <w:tcPr>
            <w:tcW w:w="5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5,784</w:t>
            </w:r>
          </w:p>
        </w:tc>
      </w:tr>
      <w:tr>
        <w:trPr>
          <w:trHeight w:val="280"/>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5,415</w:t>
            </w:r>
          </w:p>
        </w:tc>
      </w:tr>
      <w:tr>
        <w:trPr>
          <w:trHeight w:val="260"/>
        </w:trPr>
        <w:tc>
          <w:tcPr>
            <w:tcW w:w="9940" w:type="dxa"/>
            <w:vAlign w:val="bottom"/>
          </w:tcPr>
          <w:p>
            <w:pPr>
              <w:ind w:left="40"/>
              <w:spacing w:after="0"/>
              <w:rPr>
                <w:sz w:val="20"/>
                <w:szCs w:val="20"/>
                <w:color w:val="auto"/>
              </w:rPr>
            </w:pPr>
            <w:r>
              <w:rPr>
                <w:rFonts w:ascii="Arial" w:cs="Arial" w:eastAsia="Arial" w:hAnsi="Arial"/>
                <w:sz w:val="16"/>
                <w:szCs w:val="16"/>
                <w:color w:val="auto"/>
              </w:rPr>
              <w:t>2021</w:t>
            </w:r>
          </w:p>
        </w:tc>
        <w:tc>
          <w:tcPr>
            <w:tcW w:w="5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4,663</w:t>
            </w:r>
          </w:p>
        </w:tc>
      </w:tr>
      <w:tr>
        <w:trPr>
          <w:trHeight w:val="280"/>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4,141</w:t>
            </w:r>
          </w:p>
        </w:tc>
      </w:tr>
      <w:tr>
        <w:trPr>
          <w:trHeight w:val="264"/>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2023 and thereafter</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22,000</w:t>
            </w:r>
          </w:p>
        </w:tc>
      </w:tr>
      <w:tr>
        <w:trPr>
          <w:trHeight w:val="240"/>
        </w:trPr>
        <w:tc>
          <w:tcPr>
            <w:tcW w:w="9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minimum lease payments</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48,896</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Rent expense was $9.6 million, $7.1 million and $6.6 million for 2017, 2016 </w:t>
      </w:r>
      <w:r>
        <w:rPr>
          <w:rFonts w:ascii="Arial" w:cs="Arial" w:eastAsia="Arial" w:hAnsi="Arial"/>
          <w:sz w:val="18"/>
          <w:szCs w:val="18"/>
          <w:color w:val="231F20"/>
        </w:rPr>
        <w:t>and</w:t>
      </w:r>
      <w:r>
        <w:rPr>
          <w:rFonts w:ascii="Arial" w:cs="Arial" w:eastAsia="Arial" w:hAnsi="Arial"/>
          <w:sz w:val="18"/>
          <w:szCs w:val="18"/>
          <w:color w:val="auto"/>
        </w:rPr>
        <w:t xml:space="preserve"> 2015</w:t>
      </w:r>
      <w:r>
        <w:rPr>
          <w:rFonts w:ascii="Arial" w:cs="Arial" w:eastAsia="Arial" w:hAnsi="Arial"/>
          <w:sz w:val="18"/>
          <w:szCs w:val="18"/>
          <w:color w:val="231F20"/>
        </w:rPr>
        <w:t>, respectively. Although certain of the operating lease</w:t>
      </w:r>
      <w:r>
        <w:rPr>
          <w:rFonts w:ascii="Arial" w:cs="Arial" w:eastAsia="Arial" w:hAnsi="Arial"/>
          <w:sz w:val="18"/>
          <w:szCs w:val="18"/>
          <w:color w:val="auto"/>
        </w:rPr>
        <w:t xml:space="preserve"> </w:t>
      </w:r>
      <w:r>
        <w:rPr>
          <w:rFonts w:ascii="Arial" w:cs="Arial" w:eastAsia="Arial" w:hAnsi="Arial"/>
          <w:sz w:val="18"/>
          <w:szCs w:val="18"/>
          <w:color w:val="231F20"/>
        </w:rPr>
        <w:t xml:space="preserve">agreements provide for rent free periods or escalating rent payments over the terms of the leases, rent expense under these agreements is recognized on a straight-line basis over the term of the lease, starting when the Company takes possession of the property from the landlord. As of December 31, 2017 and 2016, the Company has accrued $9.5 million </w:t>
      </w:r>
      <w:r>
        <w:rPr>
          <w:rFonts w:ascii="Arial" w:cs="Arial" w:eastAsia="Arial" w:hAnsi="Arial"/>
          <w:sz w:val="18"/>
          <w:szCs w:val="18"/>
          <w:color w:val="000000"/>
        </w:rPr>
        <w:t>and</w:t>
      </w:r>
      <w:r>
        <w:rPr>
          <w:rFonts w:ascii="Arial" w:cs="Arial" w:eastAsia="Arial" w:hAnsi="Arial"/>
          <w:sz w:val="18"/>
          <w:szCs w:val="18"/>
          <w:color w:val="231F20"/>
        </w:rPr>
        <w:t xml:space="preserve"> $0.4 million of deferred rent related to these agreements, which is reflected in accrued liabilities and other noncurrent liabilities in the accompanying consolidated balance sheets.</w:t>
      </w:r>
    </w:p>
    <w:p>
      <w:pPr>
        <w:spacing w:after="0" w:line="20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October 14, 2016, the Company entered into a lease agreement (included in the table above) for its new headquarters office facility. The lease payments commence on May 1, 2018 and the lease has a ten-year term through April 2028. The total commitment of $38.6 million is payable monthly with escalating rental payments throughout the lease term. The Company took possession of the facility on May 1, 2017, completed construction of the facility and moved into the facility in November 2017.</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connection with this lease, the Company has provided the landlord with a $1.2 million standby letter of credit to secure the Company’s obligations through the end of the lease term, which was classified as restricted cash in the accompanying consolidated balance sheets.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As of </w:t>
      </w:r>
      <w:r>
        <w:rPr>
          <w:rFonts w:ascii="Arial" w:cs="Arial" w:eastAsia="Arial" w:hAnsi="Arial"/>
          <w:sz w:val="18"/>
          <w:szCs w:val="18"/>
          <w:color w:val="000000"/>
        </w:rPr>
        <w:t xml:space="preserve">December 31, 2017 </w:t>
      </w:r>
      <w:r>
        <w:rPr>
          <w:rFonts w:ascii="Arial" w:cs="Arial" w:eastAsia="Arial" w:hAnsi="Arial"/>
          <w:sz w:val="18"/>
          <w:szCs w:val="18"/>
          <w:color w:val="231F20"/>
        </w:rPr>
        <w:t>and 2016, the Company has not recorded and is not aware of any material liabilities for contingencies.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33"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NOTE 7.</w:t>
            </w:r>
          </w:p>
        </w:tc>
        <w:tc>
          <w:tcPr>
            <w:tcW w:w="8920" w:type="dxa"/>
            <w:vAlign w:val="bottom"/>
          </w:tcPr>
          <w:p>
            <w:pPr>
              <w:ind w:left="280"/>
              <w:spacing w:after="0"/>
              <w:rPr>
                <w:sz w:val="20"/>
                <w:szCs w:val="20"/>
                <w:color w:val="auto"/>
              </w:rPr>
            </w:pPr>
            <w:r>
              <w:rPr>
                <w:rFonts w:ascii="Arial" w:cs="Arial" w:eastAsia="Arial" w:hAnsi="Arial"/>
                <w:sz w:val="18"/>
                <w:szCs w:val="18"/>
                <w:b w:val="1"/>
                <w:bCs w:val="1"/>
                <w:color w:val="auto"/>
              </w:rPr>
              <w:t>Stockholders' Equity and Stock-based Compensation</w:t>
            </w:r>
          </w:p>
        </w:tc>
        <w:tc>
          <w:tcPr>
            <w:tcW w:w="1480" w:type="dxa"/>
            <w:vAlign w:val="bottom"/>
          </w:tcPr>
          <w:p>
            <w:pPr>
              <w:spacing w:after="0"/>
              <w:rPr>
                <w:sz w:val="20"/>
                <w:szCs w:val="20"/>
                <w:color w:val="auto"/>
              </w:rPr>
            </w:pPr>
          </w:p>
        </w:tc>
      </w:tr>
      <w:tr>
        <w:trPr>
          <w:trHeight w:val="446"/>
        </w:trPr>
        <w:tc>
          <w:tcPr>
            <w:tcW w:w="99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231F20"/>
              </w:rPr>
              <w:t>Common Stock</w:t>
            </w:r>
          </w:p>
        </w:tc>
        <w:tc>
          <w:tcPr>
            <w:tcW w:w="1480" w:type="dxa"/>
            <w:vAlign w:val="bottom"/>
          </w:tcPr>
          <w:p>
            <w:pPr>
              <w:spacing w:after="0"/>
              <w:rPr>
                <w:sz w:val="24"/>
                <w:szCs w:val="24"/>
                <w:color w:val="auto"/>
              </w:rPr>
            </w:pPr>
          </w:p>
        </w:tc>
      </w:tr>
      <w:tr>
        <w:trPr>
          <w:trHeight w:val="432"/>
        </w:trPr>
        <w:tc>
          <w:tcPr>
            <w:tcW w:w="9940" w:type="dxa"/>
            <w:vAlign w:val="bottom"/>
            <w:gridSpan w:val="2"/>
          </w:tcPr>
          <w:p>
            <w:pPr>
              <w:ind w:left="420"/>
              <w:spacing w:after="0"/>
              <w:rPr>
                <w:sz w:val="20"/>
                <w:szCs w:val="20"/>
                <w:color w:val="auto"/>
              </w:rPr>
            </w:pPr>
            <w:r>
              <w:rPr>
                <w:rFonts w:ascii="Arial" w:cs="Arial" w:eastAsia="Arial" w:hAnsi="Arial"/>
                <w:sz w:val="18"/>
                <w:szCs w:val="18"/>
                <w:color w:val="231F20"/>
              </w:rPr>
              <w:t xml:space="preserve">The Company had reserved shares of common stock for future issuance as of </w:t>
            </w:r>
            <w:r>
              <w:rPr>
                <w:rFonts w:ascii="Arial" w:cs="Arial" w:eastAsia="Arial" w:hAnsi="Arial"/>
                <w:sz w:val="18"/>
                <w:szCs w:val="18"/>
                <w:color w:val="000000"/>
              </w:rPr>
              <w:t>December 31, 2017</w:t>
            </w:r>
            <w:r>
              <w:rPr>
                <w:rFonts w:ascii="Arial" w:cs="Arial" w:eastAsia="Arial" w:hAnsi="Arial"/>
                <w:sz w:val="18"/>
                <w:szCs w:val="18"/>
                <w:color w:val="231F20"/>
              </w:rPr>
              <w:t xml:space="preserve"> as follows:</w:t>
            </w:r>
          </w:p>
        </w:tc>
        <w:tc>
          <w:tcPr>
            <w:tcW w:w="1480" w:type="dxa"/>
            <w:vAlign w:val="bottom"/>
          </w:tcPr>
          <w:p>
            <w:pPr>
              <w:spacing w:after="0"/>
              <w:rPr>
                <w:sz w:val="24"/>
                <w:szCs w:val="24"/>
                <w:color w:val="auto"/>
              </w:rPr>
            </w:pPr>
          </w:p>
        </w:tc>
      </w:tr>
      <w:tr>
        <w:trPr>
          <w:trHeight w:val="611"/>
        </w:trPr>
        <w:tc>
          <w:tcPr>
            <w:tcW w:w="9940" w:type="dxa"/>
            <w:vAlign w:val="bottom"/>
            <w:gridSpan w:val="2"/>
          </w:tcPr>
          <w:p>
            <w:pPr>
              <w:ind w:left="40"/>
              <w:spacing w:after="0"/>
              <w:rPr>
                <w:sz w:val="20"/>
                <w:szCs w:val="20"/>
                <w:color w:val="auto"/>
              </w:rPr>
            </w:pPr>
            <w:r>
              <w:rPr>
                <w:rFonts w:ascii="Arial" w:cs="Arial" w:eastAsia="Arial" w:hAnsi="Arial"/>
                <w:sz w:val="16"/>
                <w:szCs w:val="16"/>
                <w:color w:val="auto"/>
              </w:rPr>
              <w:t>Options and RSUs outstanding under equity incentive plans</w:t>
            </w:r>
          </w:p>
        </w:tc>
        <w:tc>
          <w:tcPr>
            <w:tcW w:w="1480" w:type="dxa"/>
            <w:vAlign w:val="bottom"/>
          </w:tcPr>
          <w:p>
            <w:pPr>
              <w:spacing w:after="0"/>
              <w:rPr>
                <w:sz w:val="24"/>
                <w:szCs w:val="24"/>
                <w:color w:val="auto"/>
              </w:rPr>
            </w:pPr>
          </w:p>
        </w:tc>
      </w:tr>
      <w:tr>
        <w:trPr>
          <w:trHeight w:val="280"/>
        </w:trPr>
        <w:tc>
          <w:tcPr>
            <w:tcW w:w="99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2000 Equity Incentive Plan</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691,589</w:t>
            </w:r>
          </w:p>
        </w:tc>
      </w:tr>
      <w:tr>
        <w:trPr>
          <w:trHeight w:val="260"/>
        </w:trPr>
        <w:tc>
          <w:tcPr>
            <w:tcW w:w="9940" w:type="dxa"/>
            <w:vAlign w:val="bottom"/>
            <w:gridSpan w:val="2"/>
          </w:tcPr>
          <w:p>
            <w:pPr>
              <w:ind w:left="280"/>
              <w:spacing w:after="0"/>
              <w:rPr>
                <w:sz w:val="20"/>
                <w:szCs w:val="20"/>
                <w:color w:val="auto"/>
              </w:rPr>
            </w:pPr>
            <w:r>
              <w:rPr>
                <w:rFonts w:ascii="Arial" w:cs="Arial" w:eastAsia="Arial" w:hAnsi="Arial"/>
                <w:sz w:val="16"/>
                <w:szCs w:val="16"/>
                <w:color w:val="auto"/>
              </w:rPr>
              <w:t>2012 Equity Incentive Plan</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5,214,890</w:t>
            </w:r>
          </w:p>
        </w:tc>
      </w:tr>
      <w:tr>
        <w:trPr>
          <w:trHeight w:val="280"/>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Shares available for future grants under an equity incentive plan</w:t>
            </w:r>
          </w:p>
        </w:tc>
        <w:tc>
          <w:tcPr>
            <w:tcW w:w="1480" w:type="dxa"/>
            <w:vAlign w:val="bottom"/>
            <w:shd w:val="clear" w:color="auto" w:fill="CCEEFF"/>
          </w:tcPr>
          <w:p>
            <w:pPr>
              <w:spacing w:after="0"/>
              <w:rPr>
                <w:sz w:val="24"/>
                <w:szCs w:val="24"/>
                <w:color w:val="auto"/>
              </w:rPr>
            </w:pPr>
          </w:p>
        </w:tc>
      </w:tr>
      <w:tr>
        <w:trPr>
          <w:trHeight w:val="264"/>
        </w:trPr>
        <w:tc>
          <w:tcPr>
            <w:tcW w:w="99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2012 Equity Incentive Plan</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2,208,858</w:t>
            </w:r>
          </w:p>
        </w:tc>
      </w:tr>
      <w:tr>
        <w:trPr>
          <w:trHeight w:val="24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shares reserved for future issuance</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8,115,337</w:t>
            </w:r>
          </w:p>
        </w:tc>
      </w:tr>
      <w:tr>
        <w:trPr>
          <w:trHeight w:val="20"/>
        </w:trPr>
        <w:tc>
          <w:tcPr>
            <w:tcW w:w="10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Preferred Stock</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Effective October 3, 2012, the Company is authorized to issue </w:t>
      </w:r>
      <w:r>
        <w:rPr>
          <w:rFonts w:ascii="Arial" w:cs="Arial" w:eastAsia="Arial" w:hAnsi="Arial"/>
          <w:sz w:val="18"/>
          <w:szCs w:val="18"/>
          <w:color w:val="000000"/>
        </w:rPr>
        <w:t>20,000,000</w:t>
      </w:r>
      <w:r>
        <w:rPr>
          <w:rFonts w:ascii="Arial" w:cs="Arial" w:eastAsia="Arial" w:hAnsi="Arial"/>
          <w:sz w:val="18"/>
          <w:szCs w:val="18"/>
          <w:color w:val="231F20"/>
        </w:rPr>
        <w:t xml:space="preserve"> shares of undesignated preferred stock with a par value of $0.001 per share. Each series of preferred stock will have such </w:t>
      </w:r>
      <w:r>
        <w:rPr>
          <w:rFonts w:ascii="Arial" w:cs="Arial" w:eastAsia="Arial" w:hAnsi="Arial"/>
          <w:sz w:val="18"/>
          <w:szCs w:val="18"/>
          <w:color w:val="000000"/>
        </w:rPr>
        <w:t>rights and preferences including dividend rights, dividend rate, conversion</w:t>
      </w:r>
      <w:r>
        <w:rPr>
          <w:rFonts w:ascii="Arial" w:cs="Arial" w:eastAsia="Arial" w:hAnsi="Arial"/>
          <w:sz w:val="18"/>
          <w:szCs w:val="18"/>
          <w:color w:val="231F20"/>
        </w:rPr>
        <w:t xml:space="preserve"> </w:t>
      </w:r>
      <w:r>
        <w:rPr>
          <w:rFonts w:ascii="Arial" w:cs="Arial" w:eastAsia="Arial" w:hAnsi="Arial"/>
          <w:sz w:val="18"/>
          <w:szCs w:val="18"/>
          <w:color w:val="000000"/>
        </w:rPr>
        <w:t xml:space="preserve">rights, voting rights, rights and terms of redemption (including sinking fund provisions), redemption price, and liquidation preferences as determined by the Board. </w:t>
      </w:r>
      <w:r>
        <w:rPr>
          <w:rFonts w:ascii="Arial" w:cs="Arial" w:eastAsia="Arial" w:hAnsi="Arial"/>
          <w:sz w:val="18"/>
          <w:szCs w:val="18"/>
          <w:color w:val="231F20"/>
        </w:rPr>
        <w:t>As of December 31, 2017 and 2016, there are no issued or outstanding shares of preferred stock.</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The 2012 Equity Incentive Plan (the 2012 Plan) was adopted and approved in September 2012 and became effective on September 26, 2012. Under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w:t>
      </w:r>
      <w:r>
        <w:rPr>
          <w:rFonts w:ascii="Arial" w:cs="Arial" w:eastAsia="Arial" w:hAnsi="Arial"/>
          <w:sz w:val="18"/>
          <w:szCs w:val="18"/>
          <w:color w:val="000000"/>
        </w:rPr>
        <w:t>9,861,234</w:t>
      </w:r>
      <w:r>
        <w:rPr>
          <w:rFonts w:ascii="Arial" w:cs="Arial" w:eastAsia="Arial" w:hAnsi="Arial"/>
          <w:sz w:val="18"/>
          <w:szCs w:val="18"/>
          <w:color w:val="231F20"/>
        </w:rPr>
        <w:t xml:space="preserve"> shares of common stock as of December 31, 2017. The number of shares of common stock available for issuance under the 2012 Plan includes an annual increase on January 1 of each year by an amount equal to the least of </w:t>
      </w:r>
      <w:r>
        <w:rPr>
          <w:rFonts w:ascii="Arial" w:cs="Arial" w:eastAsia="Arial" w:hAnsi="Arial"/>
          <w:sz w:val="18"/>
          <w:szCs w:val="18"/>
          <w:color w:val="000000"/>
        </w:rPr>
        <w:t xml:space="preserve">3,050,000 </w:t>
      </w:r>
      <w:r>
        <w:rPr>
          <w:rFonts w:ascii="Arial" w:cs="Arial" w:eastAsia="Arial" w:hAnsi="Arial"/>
          <w:sz w:val="18"/>
          <w:szCs w:val="18"/>
          <w:color w:val="231F20"/>
        </w:rPr>
        <w:t>shares;</w:t>
      </w:r>
      <w:r>
        <w:rPr>
          <w:rFonts w:ascii="Arial" w:cs="Arial" w:eastAsia="Arial" w:hAnsi="Arial"/>
          <w:sz w:val="18"/>
          <w:szCs w:val="18"/>
          <w:color w:val="000000"/>
        </w:rPr>
        <w:t xml:space="preserve"> 5% </w:t>
      </w:r>
      <w:r>
        <w:rPr>
          <w:rFonts w:ascii="Arial" w:cs="Arial" w:eastAsia="Arial" w:hAnsi="Arial"/>
          <w:sz w:val="18"/>
          <w:szCs w:val="18"/>
          <w:color w:val="231F20"/>
        </w:rPr>
        <w:t>of the outstanding shares of stock as of the last day of the immediately preceding fiscal year; or an amount determined</w:t>
      </w:r>
      <w:r>
        <w:rPr>
          <w:rFonts w:ascii="Arial" w:cs="Arial" w:eastAsia="Arial" w:hAnsi="Arial"/>
          <w:sz w:val="18"/>
          <w:szCs w:val="18"/>
          <w:color w:val="000000"/>
        </w:rPr>
        <w:t xml:space="preserve"> </w:t>
      </w:r>
      <w:r>
        <w:rPr>
          <w:rFonts w:ascii="Arial" w:cs="Arial" w:eastAsia="Arial" w:hAnsi="Arial"/>
          <w:sz w:val="18"/>
          <w:szCs w:val="18"/>
          <w:color w:val="231F20"/>
        </w:rPr>
        <w:t xml:space="preserve">by the board of directors. Options may be granted with an exercise price that is at least equal to the fair market value of the Company's stock at the date of grant and are exercisable when vested.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 xml:space="preserve">ten </w:t>
      </w:r>
      <w:r>
        <w:rPr>
          <w:rFonts w:ascii="Arial" w:cs="Arial" w:eastAsia="Arial" w:hAnsi="Arial"/>
          <w:sz w:val="18"/>
          <w:szCs w:val="18"/>
          <w:color w:val="231F20"/>
        </w:rPr>
        <w:t>years. ISOs may only be granted to employees and any subsidiary corporations' employees. All other awards may be granted to</w:t>
      </w:r>
      <w:r>
        <w:rPr>
          <w:rFonts w:ascii="Arial" w:cs="Arial" w:eastAsia="Arial" w:hAnsi="Arial"/>
          <w:sz w:val="18"/>
          <w:szCs w:val="18"/>
          <w:color w:val="000000"/>
        </w:rPr>
        <w:t xml:space="preserve"> </w:t>
      </w:r>
      <w:r>
        <w:rPr>
          <w:rFonts w:ascii="Arial" w:cs="Arial" w:eastAsia="Arial" w:hAnsi="Arial"/>
          <w:sz w:val="18"/>
          <w:szCs w:val="18"/>
          <w:color w:val="231F20"/>
        </w:rPr>
        <w:t xml:space="preserve">employees, directors and consultants and subsidiary corporations' employees and consultants. </w:t>
      </w:r>
      <w:r>
        <w:rPr>
          <w:rFonts w:ascii="Arial" w:cs="Arial" w:eastAsia="Arial" w:hAnsi="Arial"/>
          <w:sz w:val="18"/>
          <w:szCs w:val="18"/>
          <w:color w:val="000000"/>
        </w:rPr>
        <w:t>Options, SARs, RSAs, RSUs, performance</w:t>
      </w:r>
      <w:r>
        <w:rPr>
          <w:rFonts w:ascii="Arial" w:cs="Arial" w:eastAsia="Arial" w:hAnsi="Arial"/>
          <w:sz w:val="18"/>
          <w:szCs w:val="18"/>
          <w:color w:val="231F20"/>
        </w:rPr>
        <w:t xml:space="preserve"> </w:t>
      </w:r>
      <w:r>
        <w:rPr>
          <w:rFonts w:ascii="Arial" w:cs="Arial" w:eastAsia="Arial" w:hAnsi="Arial"/>
          <w:sz w:val="18"/>
          <w:szCs w:val="18"/>
          <w:color w:val="000000"/>
        </w:rPr>
        <w:t xml:space="preserve">units and performance awards may be granted with vesting terms as determined by the board of directors and expire no more than ten years after the date of grant or earlier if employment or service is terminated. </w:t>
      </w:r>
      <w:r>
        <w:rPr>
          <w:rFonts w:ascii="Arial" w:cs="Arial" w:eastAsia="Arial" w:hAnsi="Arial"/>
          <w:sz w:val="18"/>
          <w:szCs w:val="18"/>
          <w:color w:val="231F20"/>
        </w:rPr>
        <w:t>As of</w:t>
      </w:r>
      <w:r>
        <w:rPr>
          <w:rFonts w:ascii="Arial" w:cs="Arial" w:eastAsia="Arial" w:hAnsi="Arial"/>
          <w:sz w:val="18"/>
          <w:szCs w:val="18"/>
          <w:color w:val="000000"/>
        </w:rPr>
        <w:t xml:space="preserve"> December 31, 2017</w:t>
      </w:r>
      <w:r>
        <w:rPr>
          <w:rFonts w:ascii="Arial" w:cs="Arial" w:eastAsia="Arial" w:hAnsi="Arial"/>
          <w:sz w:val="18"/>
          <w:szCs w:val="18"/>
          <w:color w:val="231F20"/>
        </w:rPr>
        <w:t>,</w:t>
      </w:r>
      <w:r>
        <w:rPr>
          <w:rFonts w:ascii="Arial" w:cs="Arial" w:eastAsia="Arial" w:hAnsi="Arial"/>
          <w:sz w:val="18"/>
          <w:szCs w:val="18"/>
          <w:color w:val="000000"/>
        </w:rPr>
        <w:t xml:space="preserve"> 2,208,858 shares were available for grant under the 2012 Plan.</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 xml:space="preserve">Under the 2000 Equity Incentive Plan (the 2000 Plan), the Company was authorized to grant to eligible participants either ISOs or NSOs. The ISOs were granted at a price per share not less than the fair market value at the date of grant. The NSOs were granted at a price per share not less than </w:t>
      </w:r>
      <w:r>
        <w:rPr>
          <w:rFonts w:ascii="Arial" w:cs="Arial" w:eastAsia="Arial" w:hAnsi="Arial"/>
          <w:sz w:val="18"/>
          <w:szCs w:val="18"/>
          <w:color w:val="000000"/>
        </w:rPr>
        <w:t>85%</w:t>
      </w:r>
      <w:r>
        <w:rPr>
          <w:rFonts w:ascii="Arial" w:cs="Arial" w:eastAsia="Arial" w:hAnsi="Arial"/>
          <w:sz w:val="18"/>
          <w:szCs w:val="18"/>
          <w:color w:val="231F20"/>
        </w:rPr>
        <w:t xml:space="preserve"> of the fair market value at the date of grant. 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ten</w:t>
      </w:r>
      <w:r>
        <w:rPr>
          <w:rFonts w:ascii="Arial" w:cs="Arial" w:eastAsia="Arial" w:hAnsi="Arial"/>
          <w:sz w:val="18"/>
          <w:szCs w:val="18"/>
          <w:color w:val="231F20"/>
        </w:rPr>
        <w:t xml:space="preserve"> years. The 2000 Plan was terminated in connection with the closing of the IPO, and accordingly, </w:t>
      </w:r>
      <w:r>
        <w:rPr>
          <w:rFonts w:ascii="Arial" w:cs="Arial" w:eastAsia="Arial" w:hAnsi="Arial"/>
          <w:sz w:val="18"/>
          <w:szCs w:val="18"/>
          <w:color w:val="000000"/>
        </w:rPr>
        <w:t>no</w:t>
      </w:r>
      <w:r>
        <w:rPr>
          <w:rFonts w:ascii="Arial" w:cs="Arial" w:eastAsia="Arial" w:hAnsi="Arial"/>
          <w:sz w:val="18"/>
          <w:szCs w:val="18"/>
          <w:color w:val="231F20"/>
        </w:rPr>
        <w:t xml:space="preserve"> shares are currently available for issuance under the 2000 Plan. The 2000 Plan continues to govern outstanding awards granted thereunder.</w:t>
      </w:r>
    </w:p>
    <w:p>
      <w:pPr>
        <w:spacing w:after="0" w:line="20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Options granted under the 2000 Plan were immediately exercisable, and unvested shares are subject to repurchase by the Company. Upon termination of employment of an option holder, the Company has the right to repurchase at the original purchase price any issued but unvested common shares. The amounts paid for shares purchased under an early exercise of stock options and subject to repurchase by the Company are not reported as 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33"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 xml:space="preserve">component of </w:t>
      </w:r>
      <w:r>
        <w:rPr>
          <w:rFonts w:ascii="Arial" w:cs="Arial" w:eastAsia="Arial" w:hAnsi="Arial"/>
          <w:sz w:val="18"/>
          <w:szCs w:val="18"/>
          <w:color w:val="000000"/>
        </w:rPr>
        <w:t>stockholders</w:t>
      </w:r>
      <w:r>
        <w:rPr>
          <w:rFonts w:ascii="Arial" w:cs="Arial" w:eastAsia="Arial" w:hAnsi="Arial"/>
          <w:sz w:val="18"/>
          <w:szCs w:val="18"/>
          <w:color w:val="231F20"/>
        </w:rPr>
        <w:t>’ equity (deficit) until those shares vest. The amounts received in exchange for these shares are recorded as an accrued liability in the accompanying consolidated balance sheets and will be reclassified to common stock and additional paid-in capital as the shares vest.</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Stock-based Compensation</w:t>
      </w:r>
    </w:p>
    <w:p>
      <w:pPr>
        <w:spacing w:after="0" w:line="2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included in the consolidated statements of operations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center"/>
              <w:ind w:left="7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6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1,250</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5,944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5,678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4,936</w:t>
            </w: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4,870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3,867</w:t>
            </w: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14,103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7,743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7,441</w:t>
            </w:r>
          </w:p>
        </w:tc>
      </w:tr>
      <w:tr>
        <w:trPr>
          <w:trHeight w:val="24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employee compensation</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26,961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20,149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17,494</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Stock-based compensation cost is recognized on a straight-line basis over the service period. Forfeitures are estimated at the time of grant and revised, if necessary, in subsequent periods if actual forfeitures materially differ from those estimates.</w:t>
      </w:r>
    </w:p>
    <w:p>
      <w:pPr>
        <w:spacing w:after="0" w:line="196"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2017</w:t>
      </w:r>
      <w:r>
        <w:rPr>
          <w:rFonts w:ascii="Arial" w:cs="Arial" w:eastAsia="Arial" w:hAnsi="Arial"/>
          <w:sz w:val="18"/>
          <w:szCs w:val="18"/>
          <w:color w:val="231F20"/>
        </w:rPr>
        <w:t xml:space="preserve">, the Company had </w:t>
      </w:r>
      <w:r>
        <w:rPr>
          <w:rFonts w:ascii="Arial" w:cs="Arial" w:eastAsia="Arial" w:hAnsi="Arial"/>
          <w:sz w:val="18"/>
          <w:szCs w:val="18"/>
          <w:color w:val="000000"/>
        </w:rPr>
        <w:t>$16.5 million</w:t>
      </w:r>
      <w:r>
        <w:rPr>
          <w:rFonts w:ascii="Arial" w:cs="Arial" w:eastAsia="Arial" w:hAnsi="Arial"/>
          <w:sz w:val="18"/>
          <w:szCs w:val="18"/>
          <w:color w:val="231F20"/>
        </w:rPr>
        <w:t xml:space="preserve"> of total unrecognized employee compensation cost related to unvested options that it expects to recognize over a weighted-average period of </w:t>
      </w:r>
      <w:r>
        <w:rPr>
          <w:rFonts w:ascii="Arial" w:cs="Arial" w:eastAsia="Arial" w:hAnsi="Arial"/>
          <w:sz w:val="18"/>
          <w:szCs w:val="18"/>
          <w:color w:val="000000"/>
        </w:rPr>
        <w:t>2.4</w:t>
      </w:r>
      <w:r>
        <w:rPr>
          <w:rFonts w:ascii="Arial" w:cs="Arial" w:eastAsia="Arial" w:hAnsi="Arial"/>
          <w:sz w:val="18"/>
          <w:szCs w:val="18"/>
          <w:color w:val="231F20"/>
        </w:rPr>
        <w:t xml:space="preserve"> years.</w:t>
      </w:r>
    </w:p>
    <w:p>
      <w:pPr>
        <w:spacing w:after="0" w:line="142"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fair value of each option granted to employees is estimated on the date of grant using the Black-Scholes-Merton option-pricing model based on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ind w:left="60"/>
              <w:spacing w:after="0"/>
              <w:rPr>
                <w:sz w:val="20"/>
                <w:szCs w:val="20"/>
                <w:color w:val="auto"/>
              </w:rPr>
            </w:pPr>
            <w:r>
              <w:rPr>
                <w:rFonts w:ascii="Arial" w:cs="Arial" w:eastAsia="Arial" w:hAnsi="Arial"/>
                <w:sz w:val="16"/>
                <w:szCs w:val="16"/>
                <w:b w:val="1"/>
                <w:bCs w:val="1"/>
                <w:color w:val="auto"/>
              </w:rPr>
              <w:t>Year Ended December 31,</w:t>
            </w: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r>
      <w:tr>
        <w:trPr>
          <w:trHeight w:val="264"/>
        </w:trPr>
        <w:tc>
          <w:tcPr>
            <w:tcW w:w="6760" w:type="dxa"/>
            <w:vAlign w:val="bottom"/>
          </w:tcPr>
          <w:p>
            <w:pPr>
              <w:spacing w:after="0"/>
              <w:rPr>
                <w:sz w:val="22"/>
                <w:szCs w:val="22"/>
                <w:color w:val="auto"/>
              </w:rPr>
            </w:pPr>
          </w:p>
        </w:tc>
        <w:tc>
          <w:tcPr>
            <w:tcW w:w="12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80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57"/>
        </w:trPr>
        <w:tc>
          <w:tcPr>
            <w:tcW w:w="67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 to</w:t>
            </w: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5.5</w:t>
            </w:r>
          </w:p>
        </w:tc>
        <w:tc>
          <w:tcPr>
            <w:tcW w:w="2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to</w:t>
            </w: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 to</w:t>
            </w: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5.9</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840" w:type="dxa"/>
            <w:vAlign w:val="bottom"/>
          </w:tcPr>
          <w:p>
            <w:pPr>
              <w:jc w:val="right"/>
              <w:spacing w:after="0"/>
              <w:rPr>
                <w:sz w:val="20"/>
                <w:szCs w:val="20"/>
                <w:color w:val="auto"/>
              </w:rPr>
            </w:pPr>
            <w:r>
              <w:rPr>
                <w:rFonts w:ascii="Arial" w:cs="Arial" w:eastAsia="Arial" w:hAnsi="Arial"/>
                <w:sz w:val="16"/>
                <w:szCs w:val="16"/>
                <w:color w:val="auto"/>
              </w:rPr>
              <w:t>47% to</w:t>
            </w:r>
          </w:p>
        </w:tc>
        <w:tc>
          <w:tcPr>
            <w:tcW w:w="440" w:type="dxa"/>
            <w:vAlign w:val="bottom"/>
          </w:tcPr>
          <w:p>
            <w:pPr>
              <w:ind w:left="20"/>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 to</w:t>
            </w:r>
          </w:p>
        </w:tc>
        <w:tc>
          <w:tcPr>
            <w:tcW w:w="640" w:type="dxa"/>
            <w:vAlign w:val="bottom"/>
          </w:tcPr>
          <w:p>
            <w:pPr>
              <w:ind w:left="2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 to</w:t>
            </w:r>
          </w:p>
        </w:tc>
        <w:tc>
          <w:tcPr>
            <w:tcW w:w="640" w:type="dxa"/>
            <w:vAlign w:val="bottom"/>
          </w:tcPr>
          <w:p>
            <w:pPr>
              <w:ind w:left="20"/>
              <w:spacing w:after="0"/>
              <w:rPr>
                <w:sz w:val="20"/>
                <w:szCs w:val="20"/>
                <w:color w:val="auto"/>
              </w:rPr>
            </w:pPr>
            <w:r>
              <w:rPr>
                <w:rFonts w:ascii="Arial" w:cs="Arial" w:eastAsia="Arial" w:hAnsi="Arial"/>
                <w:sz w:val="16"/>
                <w:szCs w:val="16"/>
                <w:color w:val="auto"/>
              </w:rPr>
              <w:t>48%</w:t>
            </w: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to</w:t>
            </w: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to</w:t>
            </w:r>
          </w:p>
        </w:tc>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to</w:t>
            </w:r>
          </w:p>
        </w:tc>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1.7%</w:t>
            </w:r>
          </w:p>
        </w:tc>
      </w:tr>
      <w:tr>
        <w:trPr>
          <w:trHeight w:val="251"/>
        </w:trPr>
        <w:tc>
          <w:tcPr>
            <w:tcW w:w="676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840" w:type="dxa"/>
            <w:vAlign w:val="bottom"/>
          </w:tcPr>
          <w:p>
            <w:pPr>
              <w:jc w:val="center"/>
              <w:ind w:left="559"/>
              <w:spacing w:after="0"/>
              <w:rPr>
                <w:sz w:val="20"/>
                <w:szCs w:val="20"/>
                <w:color w:val="auto"/>
              </w:rPr>
            </w:pPr>
            <w:r>
              <w:rPr>
                <w:rFonts w:ascii="Arial" w:cs="Arial" w:eastAsia="Arial" w:hAnsi="Arial"/>
                <w:sz w:val="16"/>
                <w:szCs w:val="16"/>
                <w:color w:val="auto"/>
                <w:w w:val="99"/>
              </w:rPr>
              <w:t>—</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center"/>
              <w:ind w:left="559"/>
              <w:spacing w:after="0"/>
              <w:rPr>
                <w:sz w:val="20"/>
                <w:szCs w:val="20"/>
                <w:color w:val="auto"/>
              </w:rPr>
            </w:pPr>
            <w:r>
              <w:rPr>
                <w:rFonts w:ascii="Arial" w:cs="Arial" w:eastAsia="Arial" w:hAnsi="Arial"/>
                <w:sz w:val="16"/>
                <w:szCs w:val="16"/>
                <w:color w:val="auto"/>
                <w:w w:val="99"/>
              </w:rPr>
              <w:t>—</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center"/>
              <w:ind w:left="359"/>
              <w:spacing w:after="0"/>
              <w:rPr>
                <w:sz w:val="20"/>
                <w:szCs w:val="20"/>
                <w:color w:val="auto"/>
              </w:rPr>
            </w:pPr>
            <w:r>
              <w:rPr>
                <w:rFonts w:ascii="Arial" w:cs="Arial" w:eastAsia="Arial" w:hAnsi="Arial"/>
                <w:sz w:val="16"/>
                <w:szCs w:val="16"/>
                <w:color w:val="auto"/>
                <w:w w:val="99"/>
              </w:rPr>
              <w:t>—</w:t>
            </w:r>
          </w:p>
        </w:tc>
        <w:tc>
          <w:tcPr>
            <w:tcW w:w="640" w:type="dxa"/>
            <w:vAlign w:val="bottom"/>
          </w:tcPr>
          <w:p>
            <w:pPr>
              <w:spacing w:after="0"/>
              <w:rPr>
                <w:sz w:val="21"/>
                <w:szCs w:val="21"/>
                <w:color w:val="auto"/>
              </w:rPr>
            </w:pPr>
          </w:p>
        </w:tc>
      </w:tr>
    </w:tbl>
    <w:p>
      <w:pPr>
        <w:spacing w:after="0" w:line="23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Volatility is based on a combination of the historical volatility of the Company and of several public entities that are similar to the Company. The Company bases volatility on this combination because it does not have sufficient historical transactions in its own shares on which to solely base expected volatility. Beginning in the third quarter of 2017, the volatility was estimated using the historical volatility derived from the Company's common stock. The Company has not historically declared any dividends and does not expect to in the future.</w:t>
      </w:r>
    </w:p>
    <w:p>
      <w:pPr>
        <w:spacing w:after="0" w:line="19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Non-Employee Stock-based Compensation</w:t>
      </w:r>
    </w:p>
    <w:p>
      <w:pPr>
        <w:spacing w:after="0" w:line="24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The Company records compensation representing the fair value of stock options granted to non-employees. Stock-based non-employee compensation was </w:t>
      </w:r>
      <w:r>
        <w:rPr>
          <w:rFonts w:ascii="Arial" w:cs="Arial" w:eastAsia="Arial" w:hAnsi="Arial"/>
          <w:sz w:val="18"/>
          <w:szCs w:val="18"/>
          <w:color w:val="000000"/>
        </w:rPr>
        <w:t>$0.9 million, $0.7 million</w:t>
      </w:r>
      <w:r>
        <w:rPr>
          <w:rFonts w:ascii="Arial" w:cs="Arial" w:eastAsia="Arial" w:hAnsi="Arial"/>
          <w:sz w:val="18"/>
          <w:szCs w:val="18"/>
          <w:color w:val="231F20"/>
        </w:rPr>
        <w:t xml:space="preserve"> and </w:t>
      </w:r>
      <w:r>
        <w:rPr>
          <w:rFonts w:ascii="Arial" w:cs="Arial" w:eastAsia="Arial" w:hAnsi="Arial"/>
          <w:sz w:val="18"/>
          <w:szCs w:val="18"/>
          <w:color w:val="000000"/>
        </w:rPr>
        <w:t>$0.6 million</w:t>
      </w:r>
      <w:r>
        <w:rPr>
          <w:rFonts w:ascii="Arial" w:cs="Arial" w:eastAsia="Arial" w:hAnsi="Arial"/>
          <w:sz w:val="18"/>
          <w:szCs w:val="18"/>
          <w:color w:val="231F20"/>
        </w:rPr>
        <w:t xml:space="preserve"> for </w:t>
      </w:r>
      <w:r>
        <w:rPr>
          <w:rFonts w:ascii="Arial" w:cs="Arial" w:eastAsia="Arial" w:hAnsi="Arial"/>
          <w:sz w:val="18"/>
          <w:szCs w:val="18"/>
          <w:color w:val="000000"/>
        </w:rPr>
        <w:t>2017</w:t>
      </w:r>
      <w:r>
        <w:rPr>
          <w:rFonts w:ascii="Arial" w:cs="Arial" w:eastAsia="Arial" w:hAnsi="Arial"/>
          <w:sz w:val="18"/>
          <w:szCs w:val="18"/>
          <w:color w:val="231F20"/>
        </w:rPr>
        <w:t xml:space="preserve">, </w:t>
      </w:r>
      <w:r>
        <w:rPr>
          <w:rFonts w:ascii="Arial" w:cs="Arial" w:eastAsia="Arial" w:hAnsi="Arial"/>
          <w:sz w:val="18"/>
          <w:szCs w:val="18"/>
          <w:color w:val="000000"/>
        </w:rPr>
        <w:t>2016</w:t>
      </w:r>
      <w:r>
        <w:rPr>
          <w:rFonts w:ascii="Arial" w:cs="Arial" w:eastAsia="Arial" w:hAnsi="Arial"/>
          <w:sz w:val="18"/>
          <w:szCs w:val="18"/>
          <w:color w:val="231F20"/>
        </w:rPr>
        <w:t xml:space="preserve"> and </w:t>
      </w:r>
      <w:r>
        <w:rPr>
          <w:rFonts w:ascii="Arial" w:cs="Arial" w:eastAsia="Arial" w:hAnsi="Arial"/>
          <w:sz w:val="18"/>
          <w:szCs w:val="18"/>
          <w:color w:val="000000"/>
        </w:rPr>
        <w:t>2015</w:t>
      </w:r>
      <w:r>
        <w:rPr>
          <w:rFonts w:ascii="Arial" w:cs="Arial" w:eastAsia="Arial" w:hAnsi="Arial"/>
          <w:sz w:val="18"/>
          <w:szCs w:val="18"/>
          <w:color w:val="231F20"/>
        </w:rPr>
        <w:t>, respectively. Non-employee stock-based compensation is recognized over the vesting periods of the options. The value of options granted to non-employees is re-measured as they vest over a performance period.</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Stock Option Plan Activity</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Company’s stock option activity is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33"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9"/>
              </w:rPr>
              <w:t>Weighted</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Average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rPr>
              <w:t>Average</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Remaining</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Outstanding</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rPr>
              <w:t>Exercise</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Contractual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Intrinsic</w:t>
            </w:r>
          </w:p>
        </w:tc>
      </w:tr>
      <w:tr>
        <w:trPr>
          <w:trHeight w:val="228"/>
        </w:trPr>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rPr>
              <w:t>Price</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rPr>
              <w:t>Life (Years)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Value</w:t>
            </w:r>
          </w:p>
        </w:tc>
      </w:tr>
      <w:tr>
        <w:trPr>
          <w:trHeight w:val="247"/>
        </w:trPr>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3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 as of December 31, 2014</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7,605,407</w:t>
            </w:r>
          </w:p>
        </w:tc>
        <w:tc>
          <w:tcPr>
            <w:tcW w:w="2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188,743</w:t>
            </w:r>
          </w:p>
        </w:tc>
        <w:tc>
          <w:tcPr>
            <w:tcW w:w="60" w:type="dxa"/>
            <w:vAlign w:val="bottom"/>
            <w:shd w:val="clear" w:color="auto" w:fill="CCEEFF"/>
          </w:tcPr>
          <w:p>
            <w:pPr>
              <w:spacing w:after="0"/>
              <w:rPr>
                <w:sz w:val="24"/>
                <w:szCs w:val="24"/>
                <w:color w:val="auto"/>
              </w:rPr>
            </w:pPr>
          </w:p>
        </w:tc>
      </w:tr>
      <w:tr>
        <w:trPr>
          <w:trHeight w:val="260"/>
        </w:trPr>
        <w:tc>
          <w:tcPr>
            <w:tcW w:w="3880" w:type="dxa"/>
            <w:vAlign w:val="bottom"/>
            <w:gridSpan w:val="3"/>
          </w:tcPr>
          <w:p>
            <w:pPr>
              <w:ind w:left="380"/>
              <w:spacing w:after="0"/>
              <w:rPr>
                <w:sz w:val="20"/>
                <w:szCs w:val="20"/>
                <w:color w:val="auto"/>
              </w:rPr>
            </w:pPr>
            <w:r>
              <w:rPr>
                <w:rFonts w:ascii="Arial" w:cs="Arial" w:eastAsia="Arial" w:hAnsi="Arial"/>
                <w:sz w:val="16"/>
                <w:szCs w:val="16"/>
                <w:color w:val="auto"/>
              </w:rPr>
              <w:t>Granted</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1,526,450</w:t>
            </w:r>
          </w:p>
        </w:tc>
        <w:tc>
          <w:tcPr>
            <w:tcW w:w="20" w:type="dxa"/>
            <w:vAlign w:val="bottom"/>
          </w:tcPr>
          <w:p>
            <w:pPr>
              <w:spacing w:after="0"/>
              <w:rPr>
                <w:sz w:val="22"/>
                <w:szCs w:val="22"/>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39.50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80"/>
        </w:trPr>
        <w:tc>
          <w:tcPr>
            <w:tcW w:w="388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(807,846)</w:t>
            </w:r>
          </w:p>
        </w:tc>
        <w:tc>
          <w:tcPr>
            <w:tcW w:w="2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64"/>
        </w:trPr>
        <w:tc>
          <w:tcPr>
            <w:tcW w:w="388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Canceled</w:t>
            </w: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(744,953)</w:t>
            </w: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27.67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r>
      <w:tr>
        <w:trPr>
          <w:trHeight w:val="257"/>
        </w:trPr>
        <w:tc>
          <w:tcPr>
            <w:tcW w:w="3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 as of December 31, 2015</w:t>
            </w: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7,579,058</w:t>
            </w:r>
          </w:p>
        </w:tc>
        <w:tc>
          <w:tcPr>
            <w:tcW w:w="2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131,345</w:t>
            </w:r>
          </w:p>
        </w:tc>
        <w:tc>
          <w:tcPr>
            <w:tcW w:w="60" w:type="dxa"/>
            <w:vAlign w:val="bottom"/>
            <w:shd w:val="clear" w:color="auto" w:fill="CCEEFF"/>
          </w:tcPr>
          <w:p>
            <w:pPr>
              <w:spacing w:after="0"/>
              <w:rPr>
                <w:sz w:val="22"/>
                <w:szCs w:val="22"/>
                <w:color w:val="auto"/>
              </w:rPr>
            </w:pPr>
          </w:p>
        </w:tc>
      </w:tr>
      <w:tr>
        <w:trPr>
          <w:trHeight w:val="260"/>
        </w:trPr>
        <w:tc>
          <w:tcPr>
            <w:tcW w:w="3880" w:type="dxa"/>
            <w:vAlign w:val="bottom"/>
            <w:gridSpan w:val="3"/>
          </w:tcPr>
          <w:p>
            <w:pPr>
              <w:ind w:left="380"/>
              <w:spacing w:after="0"/>
              <w:rPr>
                <w:sz w:val="20"/>
                <w:szCs w:val="20"/>
                <w:color w:val="auto"/>
              </w:rPr>
            </w:pPr>
            <w:r>
              <w:rPr>
                <w:rFonts w:ascii="Arial" w:cs="Arial" w:eastAsia="Arial" w:hAnsi="Arial"/>
                <w:sz w:val="16"/>
                <w:szCs w:val="16"/>
                <w:color w:val="auto"/>
              </w:rPr>
              <w:t>Granted</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2,120,633</w:t>
            </w:r>
          </w:p>
        </w:tc>
        <w:tc>
          <w:tcPr>
            <w:tcW w:w="20" w:type="dxa"/>
            <w:vAlign w:val="bottom"/>
          </w:tcPr>
          <w:p>
            <w:pPr>
              <w:spacing w:after="0"/>
              <w:rPr>
                <w:sz w:val="22"/>
                <w:szCs w:val="22"/>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26.64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80"/>
        </w:trPr>
        <w:tc>
          <w:tcPr>
            <w:tcW w:w="388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(1,399,157)</w:t>
            </w:r>
          </w:p>
        </w:tc>
        <w:tc>
          <w:tcPr>
            <w:tcW w:w="2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64"/>
        </w:trPr>
        <w:tc>
          <w:tcPr>
            <w:tcW w:w="388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Canceled</w:t>
            </w: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(772,854)</w:t>
            </w: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31.57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r>
      <w:tr>
        <w:trPr>
          <w:trHeight w:val="257"/>
        </w:trPr>
        <w:tc>
          <w:tcPr>
            <w:tcW w:w="3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 as of December 31, 2016</w:t>
            </w: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7,527,680</w:t>
            </w:r>
          </w:p>
        </w:tc>
        <w:tc>
          <w:tcPr>
            <w:tcW w:w="2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101,717</w:t>
            </w:r>
          </w:p>
        </w:tc>
        <w:tc>
          <w:tcPr>
            <w:tcW w:w="60" w:type="dxa"/>
            <w:vAlign w:val="bottom"/>
            <w:shd w:val="clear" w:color="auto" w:fill="CCEEFF"/>
          </w:tcPr>
          <w:p>
            <w:pPr>
              <w:spacing w:after="0"/>
              <w:rPr>
                <w:sz w:val="22"/>
                <w:szCs w:val="22"/>
                <w:color w:val="auto"/>
              </w:rPr>
            </w:pPr>
          </w:p>
        </w:tc>
      </w:tr>
      <w:tr>
        <w:trPr>
          <w:trHeight w:val="260"/>
        </w:trPr>
        <w:tc>
          <w:tcPr>
            <w:tcW w:w="3880" w:type="dxa"/>
            <w:vAlign w:val="bottom"/>
            <w:gridSpan w:val="3"/>
          </w:tcPr>
          <w:p>
            <w:pPr>
              <w:ind w:left="380"/>
              <w:spacing w:after="0"/>
              <w:rPr>
                <w:sz w:val="20"/>
                <w:szCs w:val="20"/>
                <w:color w:val="auto"/>
              </w:rPr>
            </w:pPr>
            <w:r>
              <w:rPr>
                <w:rFonts w:ascii="Arial" w:cs="Arial" w:eastAsia="Arial" w:hAnsi="Arial"/>
                <w:sz w:val="16"/>
                <w:szCs w:val="16"/>
                <w:color w:val="auto"/>
              </w:rPr>
              <w:t>Granted</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408,225</w:t>
            </w:r>
          </w:p>
        </w:tc>
        <w:tc>
          <w:tcPr>
            <w:tcW w:w="20" w:type="dxa"/>
            <w:vAlign w:val="bottom"/>
          </w:tcPr>
          <w:p>
            <w:pPr>
              <w:spacing w:after="0"/>
              <w:rPr>
                <w:sz w:val="22"/>
                <w:szCs w:val="22"/>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40.82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80"/>
        </w:trPr>
        <w:tc>
          <w:tcPr>
            <w:tcW w:w="388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(2,997,095)</w:t>
            </w:r>
          </w:p>
        </w:tc>
        <w:tc>
          <w:tcPr>
            <w:tcW w:w="2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64"/>
        </w:trPr>
        <w:tc>
          <w:tcPr>
            <w:tcW w:w="388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Canceled</w:t>
            </w: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(442,919)</w:t>
            </w: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33.29</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r>
      <w:tr>
        <w:trPr>
          <w:trHeight w:val="24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4,495,891</w:t>
            </w: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25.29</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153,129</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7"/>
        </w:trPr>
        <w:tc>
          <w:tcPr>
            <w:tcW w:w="3880" w:type="dxa"/>
            <w:vAlign w:val="bottom"/>
            <w:gridSpan w:val="3"/>
          </w:tcPr>
          <w:p>
            <w:pPr>
              <w:ind w:left="40"/>
              <w:spacing w:after="0"/>
              <w:rPr>
                <w:sz w:val="20"/>
                <w:szCs w:val="20"/>
                <w:color w:val="auto"/>
              </w:rPr>
            </w:pPr>
            <w:r>
              <w:rPr>
                <w:rFonts w:ascii="Arial" w:cs="Arial" w:eastAsia="Arial" w:hAnsi="Arial"/>
                <w:sz w:val="16"/>
                <w:szCs w:val="16"/>
                <w:color w:val="auto"/>
              </w:rPr>
              <w:t>Vested and expected to vest—December 31, 2017</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4,242,256</w:t>
            </w:r>
          </w:p>
        </w:tc>
        <w:tc>
          <w:tcPr>
            <w:tcW w:w="20" w:type="dxa"/>
            <w:vAlign w:val="bottom"/>
          </w:tcPr>
          <w:p>
            <w:pPr>
              <w:spacing w:after="0"/>
              <w:rPr>
                <w:sz w:val="18"/>
                <w:szCs w:val="18"/>
                <w:color w:val="auto"/>
              </w:rPr>
            </w:pPr>
          </w:p>
        </w:tc>
        <w:tc>
          <w:tcPr>
            <w:tcW w:w="3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24.75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6.6</w:t>
            </w:r>
          </w:p>
        </w:tc>
        <w:tc>
          <w:tcPr>
            <w:tcW w:w="2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146,791</w:t>
            </w:r>
          </w:p>
        </w:tc>
        <w:tc>
          <w:tcPr>
            <w:tcW w:w="60" w:type="dxa"/>
            <w:vAlign w:val="bottom"/>
          </w:tcPr>
          <w:p>
            <w:pPr>
              <w:spacing w:after="0"/>
              <w:rPr>
                <w:sz w:val="18"/>
                <w:szCs w:val="18"/>
                <w:color w:val="auto"/>
              </w:rPr>
            </w:pPr>
          </w:p>
        </w:tc>
      </w:tr>
      <w:tr>
        <w:trPr>
          <w:trHeight w:val="280"/>
        </w:trPr>
        <w:tc>
          <w:tcPr>
            <w:tcW w:w="38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Exercisable—December 31, 2017</w:t>
            </w: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3,002,205</w:t>
            </w:r>
          </w:p>
        </w:tc>
        <w:tc>
          <w:tcPr>
            <w:tcW w:w="2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112,447</w:t>
            </w:r>
          </w:p>
        </w:tc>
        <w:tc>
          <w:tcPr>
            <w:tcW w:w="60" w:type="dxa"/>
            <w:vAlign w:val="bottom"/>
            <w:shd w:val="clear" w:color="auto" w:fill="CCEEFF"/>
          </w:tcPr>
          <w:p>
            <w:pPr>
              <w:spacing w:after="0"/>
              <w:rPr>
                <w:sz w:val="24"/>
                <w:szCs w:val="24"/>
                <w:color w:val="auto"/>
              </w:rPr>
            </w:pPr>
          </w:p>
        </w:tc>
      </w:tr>
      <w:tr>
        <w:trPr>
          <w:trHeight w:val="432"/>
        </w:trPr>
        <w:tc>
          <w:tcPr>
            <w:tcW w:w="8360" w:type="dxa"/>
            <w:vAlign w:val="bottom"/>
            <w:gridSpan w:val="15"/>
          </w:tcPr>
          <w:p>
            <w:pPr>
              <w:ind w:left="420"/>
              <w:spacing w:after="0"/>
              <w:rPr>
                <w:sz w:val="20"/>
                <w:szCs w:val="20"/>
                <w:color w:val="auto"/>
              </w:rPr>
            </w:pPr>
            <w:r>
              <w:rPr>
                <w:rFonts w:ascii="Arial" w:cs="Arial" w:eastAsia="Arial" w:hAnsi="Arial"/>
                <w:sz w:val="18"/>
                <w:szCs w:val="18"/>
                <w:color w:val="auto"/>
              </w:rPr>
              <w:t>The following table summarizes the outstanding and vested stock options at December 31, 2017:</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0"/>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Outstanding</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1019"/>
              <w:spacing w:after="0"/>
              <w:rPr>
                <w:sz w:val="20"/>
                <w:szCs w:val="20"/>
                <w:color w:val="auto"/>
              </w:rPr>
            </w:pPr>
            <w:r>
              <w:rPr>
                <w:rFonts w:ascii="Arial" w:cs="Arial" w:eastAsia="Arial" w:hAnsi="Arial"/>
                <w:sz w:val="14"/>
                <w:szCs w:val="14"/>
                <w:b w:val="1"/>
                <w:bCs w:val="1"/>
                <w:color w:val="auto"/>
              </w:rPr>
              <w:t>Exercisable</w:t>
            </w:r>
          </w:p>
        </w:tc>
        <w:tc>
          <w:tcPr>
            <w:tcW w:w="60" w:type="dxa"/>
            <w:vAlign w:val="bottom"/>
          </w:tcPr>
          <w:p>
            <w:pPr>
              <w:spacing w:after="0"/>
              <w:rPr>
                <w:sz w:val="24"/>
                <w:szCs w:val="24"/>
                <w:color w:val="auto"/>
              </w:rPr>
            </w:pPr>
          </w:p>
        </w:tc>
      </w:tr>
      <w:tr>
        <w:trPr>
          <w:trHeight w:val="197"/>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Weighted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9"/>
              </w:rPr>
              <w:t>Weighted</w:t>
            </w:r>
          </w:p>
        </w:tc>
        <w:tc>
          <w:tcPr>
            <w:tcW w:w="1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rPr>
              <w:t>Average</w:t>
            </w: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Average</w:t>
            </w:r>
          </w:p>
        </w:tc>
      </w:t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Exercise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rPr>
              <w:t>Remaining</w:t>
            </w: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Exercise</w:t>
            </w:r>
          </w:p>
        </w:tc>
      </w:t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Number of</w:t>
            </w:r>
          </w:p>
        </w:tc>
        <w:tc>
          <w:tcPr>
            <w:tcW w:w="18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Price Per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rPr>
              <w:t>Contractual</w:t>
            </w:r>
          </w:p>
        </w:tc>
        <w:tc>
          <w:tcPr>
            <w:tcW w:w="14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Number of</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Price Per</w:t>
            </w:r>
          </w:p>
        </w:tc>
      </w:tr>
      <w:tr>
        <w:trPr>
          <w:trHeight w:val="228"/>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BFE4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BFE4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8"/>
              </w:rPr>
              <w:t>Share</w:t>
            </w:r>
          </w:p>
        </w:tc>
        <w:tc>
          <w:tcPr>
            <w:tcW w:w="20" w:type="dxa"/>
            <w:vAlign w:val="bottom"/>
            <w:tcBorders>
              <w:bottom w:val="single" w:sz="8" w:color="BFE4FF"/>
            </w:tcBorders>
          </w:tcPr>
          <w:p>
            <w:pPr>
              <w:spacing w:after="0"/>
              <w:rPr>
                <w:sz w:val="19"/>
                <w:szCs w:val="19"/>
                <w:color w:val="auto"/>
              </w:rPr>
            </w:pPr>
          </w:p>
        </w:tc>
        <w:tc>
          <w:tcPr>
            <w:tcW w:w="80" w:type="dxa"/>
            <w:vAlign w:val="bottom"/>
            <w:tcBorders>
              <w:bottom w:val="single" w:sz="8" w:color="BFE4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Life (Years)</w:t>
            </w:r>
          </w:p>
        </w:tc>
        <w:tc>
          <w:tcPr>
            <w:tcW w:w="100" w:type="dxa"/>
            <w:vAlign w:val="bottom"/>
            <w:tcBorders>
              <w:bottom w:val="single" w:sz="8" w:color="BFE4FF"/>
            </w:tcBorders>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60" w:type="dxa"/>
            <w:vAlign w:val="bottom"/>
            <w:tcBorders>
              <w:bottom w:val="single" w:sz="8" w:color="BFE4FF"/>
            </w:tcBorders>
          </w:tcPr>
          <w:p>
            <w:pPr>
              <w:spacing w:after="0"/>
              <w:rPr>
                <w:sz w:val="19"/>
                <w:szCs w:val="19"/>
                <w:color w:val="auto"/>
              </w:rPr>
            </w:pPr>
          </w:p>
        </w:tc>
        <w:tc>
          <w:tcPr>
            <w:tcW w:w="60" w:type="dxa"/>
            <w:vAlign w:val="bottom"/>
            <w:tcBorders>
              <w:bottom w:val="single" w:sz="8" w:color="BFE4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Share</w:t>
            </w:r>
          </w:p>
        </w:tc>
        <w:tc>
          <w:tcPr>
            <w:tcW w:w="60" w:type="dxa"/>
            <w:vAlign w:val="bottom"/>
          </w:tcPr>
          <w:p>
            <w:pPr>
              <w:spacing w:after="0"/>
              <w:rPr>
                <w:sz w:val="19"/>
                <w:szCs w:val="19"/>
                <w:color w:val="auto"/>
              </w:rPr>
            </w:pPr>
          </w:p>
        </w:tc>
      </w:tr>
      <w:tr>
        <w:trPr>
          <w:trHeight w:val="257"/>
        </w:trPr>
        <w:tc>
          <w:tcPr>
            <w:tcW w:w="3420" w:type="dxa"/>
            <w:vAlign w:val="bottom"/>
            <w:shd w:val="clear" w:color="auto" w:fill="BFE4FF"/>
          </w:tcPr>
          <w:p>
            <w:pPr>
              <w:ind w:left="40"/>
              <w:spacing w:after="0"/>
              <w:rPr>
                <w:sz w:val="20"/>
                <w:szCs w:val="20"/>
                <w:color w:val="auto"/>
              </w:rPr>
            </w:pPr>
            <w:r>
              <w:rPr>
                <w:rFonts w:ascii="Arial" w:cs="Arial" w:eastAsia="Arial" w:hAnsi="Arial"/>
                <w:sz w:val="16"/>
                <w:szCs w:val="16"/>
                <w:color w:val="auto"/>
              </w:rPr>
              <w:t>$2.60 - $4.40</w:t>
            </w:r>
          </w:p>
        </w:tc>
        <w:tc>
          <w:tcPr>
            <w:tcW w:w="120" w:type="dxa"/>
            <w:vAlign w:val="bottom"/>
            <w:shd w:val="clear" w:color="auto" w:fill="BFE4FF"/>
          </w:tcPr>
          <w:p>
            <w:pPr>
              <w:spacing w:after="0"/>
              <w:rPr>
                <w:sz w:val="22"/>
                <w:szCs w:val="22"/>
                <w:color w:val="auto"/>
              </w:rPr>
            </w:pPr>
          </w:p>
        </w:tc>
        <w:tc>
          <w:tcPr>
            <w:tcW w:w="340" w:type="dxa"/>
            <w:vAlign w:val="bottom"/>
            <w:shd w:val="clear" w:color="auto" w:fill="BFE4FF"/>
          </w:tcPr>
          <w:p>
            <w:pPr>
              <w:spacing w:after="0"/>
              <w:rPr>
                <w:sz w:val="22"/>
                <w:szCs w:val="22"/>
                <w:color w:val="auto"/>
              </w:rPr>
            </w:pPr>
          </w:p>
        </w:tc>
        <w:tc>
          <w:tcPr>
            <w:tcW w:w="116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471,051</w:t>
            </w:r>
          </w:p>
        </w:tc>
        <w:tc>
          <w:tcPr>
            <w:tcW w:w="120" w:type="dxa"/>
            <w:vAlign w:val="bottom"/>
            <w:shd w:val="clear" w:color="auto" w:fill="BFE4FF"/>
          </w:tcPr>
          <w:p>
            <w:pPr>
              <w:spacing w:after="0"/>
              <w:rPr>
                <w:sz w:val="22"/>
                <w:szCs w:val="22"/>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3.76</w:t>
            </w:r>
          </w:p>
        </w:tc>
        <w:tc>
          <w:tcPr>
            <w:tcW w:w="20" w:type="dxa"/>
            <w:vAlign w:val="bottom"/>
            <w:shd w:val="clear" w:color="auto" w:fill="BFE4FF"/>
          </w:tcPr>
          <w:p>
            <w:pPr>
              <w:spacing w:after="0"/>
              <w:rPr>
                <w:sz w:val="22"/>
                <w:szCs w:val="22"/>
                <w:color w:val="auto"/>
              </w:rPr>
            </w:pPr>
          </w:p>
        </w:tc>
        <w:tc>
          <w:tcPr>
            <w:tcW w:w="80" w:type="dxa"/>
            <w:vAlign w:val="bottom"/>
            <w:shd w:val="clear" w:color="auto" w:fill="BFE4FF"/>
          </w:tcPr>
          <w:p>
            <w:pPr>
              <w:spacing w:after="0"/>
              <w:rPr>
                <w:sz w:val="22"/>
                <w:szCs w:val="22"/>
                <w:color w:val="auto"/>
              </w:rPr>
            </w:pPr>
          </w:p>
        </w:tc>
        <w:tc>
          <w:tcPr>
            <w:tcW w:w="40" w:type="dxa"/>
            <w:vAlign w:val="bottom"/>
            <w:shd w:val="clear" w:color="auto" w:fill="BFE4FF"/>
          </w:tcPr>
          <w:p>
            <w:pPr>
              <w:spacing w:after="0"/>
              <w:rPr>
                <w:sz w:val="22"/>
                <w:szCs w:val="22"/>
                <w:color w:val="auto"/>
              </w:rPr>
            </w:pPr>
          </w:p>
        </w:tc>
        <w:tc>
          <w:tcPr>
            <w:tcW w:w="180" w:type="dxa"/>
            <w:vAlign w:val="bottom"/>
            <w:shd w:val="clear" w:color="auto" w:fill="BFE4FF"/>
          </w:tcPr>
          <w:p>
            <w:pPr>
              <w:spacing w:after="0"/>
              <w:rPr>
                <w:sz w:val="22"/>
                <w:szCs w:val="22"/>
                <w:color w:val="auto"/>
              </w:rPr>
            </w:pPr>
          </w:p>
        </w:tc>
        <w:tc>
          <w:tcPr>
            <w:tcW w:w="1260" w:type="dxa"/>
            <w:vAlign w:val="bottom"/>
            <w:shd w:val="clear" w:color="auto" w:fill="BFE4FF"/>
          </w:tcPr>
          <w:p>
            <w:pPr>
              <w:jc w:val="center"/>
              <w:ind w:right="119"/>
              <w:spacing w:after="0"/>
              <w:rPr>
                <w:sz w:val="20"/>
                <w:szCs w:val="20"/>
                <w:color w:val="auto"/>
              </w:rPr>
            </w:pPr>
            <w:r>
              <w:rPr>
                <w:rFonts w:ascii="Arial" w:cs="Arial" w:eastAsia="Arial" w:hAnsi="Arial"/>
                <w:sz w:val="16"/>
                <w:szCs w:val="16"/>
                <w:color w:val="auto"/>
                <w:w w:val="98"/>
              </w:rPr>
              <w:t>2.1</w:t>
            </w:r>
          </w:p>
        </w:tc>
        <w:tc>
          <w:tcPr>
            <w:tcW w:w="40" w:type="dxa"/>
            <w:vAlign w:val="bottom"/>
            <w:shd w:val="clear" w:color="auto" w:fill="BFE4FF"/>
          </w:tcPr>
          <w:p>
            <w:pPr>
              <w:spacing w:after="0"/>
              <w:rPr>
                <w:sz w:val="22"/>
                <w:szCs w:val="22"/>
                <w:color w:val="auto"/>
              </w:rPr>
            </w:pPr>
          </w:p>
        </w:tc>
        <w:tc>
          <w:tcPr>
            <w:tcW w:w="60" w:type="dxa"/>
            <w:vAlign w:val="bottom"/>
            <w:shd w:val="clear" w:color="auto" w:fill="BFE4FF"/>
          </w:tcPr>
          <w:p>
            <w:pPr>
              <w:spacing w:after="0"/>
              <w:rPr>
                <w:sz w:val="22"/>
                <w:szCs w:val="22"/>
                <w:color w:val="auto"/>
              </w:rPr>
            </w:pPr>
          </w:p>
        </w:tc>
        <w:tc>
          <w:tcPr>
            <w:tcW w:w="40" w:type="dxa"/>
            <w:vAlign w:val="bottom"/>
            <w:shd w:val="clear" w:color="auto" w:fill="BFE4FF"/>
          </w:tcPr>
          <w:p>
            <w:pPr>
              <w:spacing w:after="0"/>
              <w:rPr>
                <w:sz w:val="22"/>
                <w:szCs w:val="22"/>
                <w:color w:val="auto"/>
              </w:rPr>
            </w:pPr>
          </w:p>
        </w:tc>
        <w:tc>
          <w:tcPr>
            <w:tcW w:w="14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471,051</w:t>
            </w:r>
          </w:p>
        </w:tc>
        <w:tc>
          <w:tcPr>
            <w:tcW w:w="60" w:type="dxa"/>
            <w:vAlign w:val="bottom"/>
            <w:shd w:val="clear" w:color="auto" w:fill="BFE4FF"/>
          </w:tcPr>
          <w:p>
            <w:pPr>
              <w:spacing w:after="0"/>
              <w:rPr>
                <w:sz w:val="22"/>
                <w:szCs w:val="22"/>
                <w:color w:val="auto"/>
              </w:rPr>
            </w:pPr>
          </w:p>
        </w:tc>
        <w:tc>
          <w:tcPr>
            <w:tcW w:w="260" w:type="dxa"/>
            <w:vAlign w:val="bottom"/>
            <w:gridSpan w:val="3"/>
            <w:shd w:val="clear" w:color="auto" w:fill="BFE4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3.76</w:t>
            </w:r>
          </w:p>
        </w:tc>
        <w:tc>
          <w:tcPr>
            <w:tcW w:w="60" w:type="dxa"/>
            <w:vAlign w:val="bottom"/>
          </w:tcPr>
          <w:p>
            <w:pPr>
              <w:spacing w:after="0"/>
              <w:rPr>
                <w:sz w:val="22"/>
                <w:szCs w:val="22"/>
                <w:color w:val="auto"/>
              </w:rPr>
            </w:pPr>
          </w:p>
        </w:tc>
      </w:tr>
      <w:tr>
        <w:trPr>
          <w:trHeight w:val="260"/>
        </w:trPr>
        <w:tc>
          <w:tcPr>
            <w:tcW w:w="3420" w:type="dxa"/>
            <w:vAlign w:val="bottom"/>
          </w:tcPr>
          <w:p>
            <w:pPr>
              <w:ind w:left="40"/>
              <w:spacing w:after="0"/>
              <w:rPr>
                <w:sz w:val="20"/>
                <w:szCs w:val="20"/>
                <w:color w:val="auto"/>
              </w:rPr>
            </w:pPr>
            <w:r>
              <w:rPr>
                <w:rFonts w:ascii="Arial" w:cs="Arial" w:eastAsia="Arial" w:hAnsi="Arial"/>
                <w:sz w:val="16"/>
                <w:szCs w:val="16"/>
                <w:color w:val="auto"/>
              </w:rPr>
              <w:t>$4.80 - $13.60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458,565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10.50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8"/>
              </w:rPr>
              <w:t>4.8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458,565</w:t>
            </w:r>
          </w:p>
        </w:tc>
        <w:tc>
          <w:tcPr>
            <w:tcW w:w="60" w:type="dxa"/>
            <w:vAlign w:val="bottom"/>
          </w:tcPr>
          <w:p>
            <w:pPr>
              <w:spacing w:after="0"/>
              <w:rPr>
                <w:sz w:val="22"/>
                <w:szCs w:val="22"/>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10.50</w:t>
            </w:r>
          </w:p>
        </w:tc>
        <w:tc>
          <w:tcPr>
            <w:tcW w:w="60" w:type="dxa"/>
            <w:vAlign w:val="bottom"/>
          </w:tcPr>
          <w:p>
            <w:pPr>
              <w:spacing w:after="0"/>
              <w:rPr>
                <w:sz w:val="22"/>
                <w:szCs w:val="22"/>
                <w:color w:val="auto"/>
              </w:rPr>
            </w:pPr>
          </w:p>
        </w:tc>
      </w:tr>
      <w:tr>
        <w:trPr>
          <w:trHeight w:val="280"/>
        </w:trPr>
        <w:tc>
          <w:tcPr>
            <w:tcW w:w="3420" w:type="dxa"/>
            <w:vAlign w:val="bottom"/>
            <w:shd w:val="clear" w:color="auto" w:fill="BFE4FF"/>
          </w:tcPr>
          <w:p>
            <w:pPr>
              <w:ind w:left="40"/>
              <w:spacing w:after="0"/>
              <w:rPr>
                <w:sz w:val="20"/>
                <w:szCs w:val="20"/>
                <w:color w:val="auto"/>
              </w:rPr>
            </w:pPr>
            <w:r>
              <w:rPr>
                <w:rFonts w:ascii="Arial" w:cs="Arial" w:eastAsia="Arial" w:hAnsi="Arial"/>
                <w:sz w:val="16"/>
                <w:szCs w:val="16"/>
                <w:color w:val="auto"/>
              </w:rPr>
              <w:t>$16.68 - $25.17</w:t>
            </w:r>
          </w:p>
        </w:tc>
        <w:tc>
          <w:tcPr>
            <w:tcW w:w="1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6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605,184</w:t>
            </w:r>
          </w:p>
        </w:tc>
        <w:tc>
          <w:tcPr>
            <w:tcW w:w="120" w:type="dxa"/>
            <w:vAlign w:val="bottom"/>
            <w:shd w:val="clear" w:color="auto" w:fill="BFE4FF"/>
          </w:tcPr>
          <w:p>
            <w:pPr>
              <w:spacing w:after="0"/>
              <w:rPr>
                <w:sz w:val="24"/>
                <w:szCs w:val="24"/>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22.46</w:t>
            </w:r>
          </w:p>
        </w:tc>
        <w:tc>
          <w:tcPr>
            <w:tcW w:w="2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1260" w:type="dxa"/>
            <w:vAlign w:val="bottom"/>
            <w:shd w:val="clear" w:color="auto" w:fill="BFE4FF"/>
          </w:tcPr>
          <w:p>
            <w:pPr>
              <w:jc w:val="center"/>
              <w:ind w:right="119"/>
              <w:spacing w:after="0"/>
              <w:rPr>
                <w:sz w:val="20"/>
                <w:szCs w:val="20"/>
                <w:color w:val="auto"/>
              </w:rPr>
            </w:pPr>
            <w:r>
              <w:rPr>
                <w:rFonts w:ascii="Arial" w:cs="Arial" w:eastAsia="Arial" w:hAnsi="Arial"/>
                <w:sz w:val="16"/>
                <w:szCs w:val="16"/>
                <w:color w:val="auto"/>
                <w:w w:val="98"/>
              </w:rPr>
              <w:t>6.6</w:t>
            </w:r>
          </w:p>
        </w:tc>
        <w:tc>
          <w:tcPr>
            <w:tcW w:w="40" w:type="dxa"/>
            <w:vAlign w:val="bottom"/>
            <w:shd w:val="clear" w:color="auto" w:fill="BFE4FF"/>
          </w:tcPr>
          <w:p>
            <w:pPr>
              <w:spacing w:after="0"/>
              <w:rPr>
                <w:sz w:val="24"/>
                <w:szCs w:val="24"/>
                <w:color w:val="auto"/>
              </w:rPr>
            </w:pPr>
          </w:p>
        </w:tc>
        <w:tc>
          <w:tcPr>
            <w:tcW w:w="6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14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445,629</w:t>
            </w:r>
          </w:p>
        </w:tc>
        <w:tc>
          <w:tcPr>
            <w:tcW w:w="60" w:type="dxa"/>
            <w:vAlign w:val="bottom"/>
            <w:shd w:val="clear" w:color="auto" w:fill="BFE4FF"/>
          </w:tcPr>
          <w:p>
            <w:pPr>
              <w:spacing w:after="0"/>
              <w:rPr>
                <w:sz w:val="24"/>
                <w:szCs w:val="24"/>
                <w:color w:val="auto"/>
              </w:rPr>
            </w:pPr>
          </w:p>
        </w:tc>
        <w:tc>
          <w:tcPr>
            <w:tcW w:w="260" w:type="dxa"/>
            <w:vAlign w:val="bottom"/>
            <w:gridSpan w:val="3"/>
            <w:shd w:val="clear" w:color="auto" w:fill="BFE4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21.59</w:t>
            </w:r>
          </w:p>
        </w:tc>
        <w:tc>
          <w:tcPr>
            <w:tcW w:w="60" w:type="dxa"/>
            <w:vAlign w:val="bottom"/>
          </w:tcPr>
          <w:p>
            <w:pPr>
              <w:spacing w:after="0"/>
              <w:rPr>
                <w:sz w:val="24"/>
                <w:szCs w:val="24"/>
                <w:color w:val="auto"/>
              </w:rPr>
            </w:pPr>
          </w:p>
        </w:tc>
      </w:tr>
      <w:tr>
        <w:trPr>
          <w:trHeight w:val="260"/>
        </w:trPr>
        <w:tc>
          <w:tcPr>
            <w:tcW w:w="3420" w:type="dxa"/>
            <w:vAlign w:val="bottom"/>
          </w:tcPr>
          <w:p>
            <w:pPr>
              <w:ind w:left="40"/>
              <w:spacing w:after="0"/>
              <w:rPr>
                <w:sz w:val="20"/>
                <w:szCs w:val="20"/>
                <w:color w:val="auto"/>
              </w:rPr>
            </w:pPr>
            <w:r>
              <w:rPr>
                <w:rFonts w:ascii="Arial" w:cs="Arial" w:eastAsia="Arial" w:hAnsi="Arial"/>
                <w:sz w:val="16"/>
                <w:szCs w:val="16"/>
                <w:color w:val="auto"/>
              </w:rPr>
              <w:t>$25.56 - $25.56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969,674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25.56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8"/>
              </w:rPr>
              <w:t>8.3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394,095</w:t>
            </w:r>
          </w:p>
        </w:tc>
        <w:tc>
          <w:tcPr>
            <w:tcW w:w="60" w:type="dxa"/>
            <w:vAlign w:val="bottom"/>
          </w:tcPr>
          <w:p>
            <w:pPr>
              <w:spacing w:after="0"/>
              <w:rPr>
                <w:sz w:val="22"/>
                <w:szCs w:val="22"/>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25.56</w:t>
            </w:r>
          </w:p>
        </w:tc>
        <w:tc>
          <w:tcPr>
            <w:tcW w:w="60" w:type="dxa"/>
            <w:vAlign w:val="bottom"/>
          </w:tcPr>
          <w:p>
            <w:pPr>
              <w:spacing w:after="0"/>
              <w:rPr>
                <w:sz w:val="22"/>
                <w:szCs w:val="22"/>
                <w:color w:val="auto"/>
              </w:rPr>
            </w:pPr>
          </w:p>
        </w:tc>
      </w:tr>
      <w:tr>
        <w:trPr>
          <w:trHeight w:val="280"/>
        </w:trPr>
        <w:tc>
          <w:tcPr>
            <w:tcW w:w="3420" w:type="dxa"/>
            <w:vAlign w:val="bottom"/>
            <w:shd w:val="clear" w:color="auto" w:fill="BFE4FF"/>
          </w:tcPr>
          <w:p>
            <w:pPr>
              <w:ind w:left="40"/>
              <w:spacing w:after="0"/>
              <w:rPr>
                <w:sz w:val="20"/>
                <w:szCs w:val="20"/>
                <w:color w:val="auto"/>
              </w:rPr>
            </w:pPr>
            <w:r>
              <w:rPr>
                <w:rFonts w:ascii="Arial" w:cs="Arial" w:eastAsia="Arial" w:hAnsi="Arial"/>
                <w:sz w:val="16"/>
                <w:szCs w:val="16"/>
                <w:color w:val="auto"/>
              </w:rPr>
              <w:t>$26.58 - $26.86</w:t>
            </w:r>
          </w:p>
        </w:tc>
        <w:tc>
          <w:tcPr>
            <w:tcW w:w="1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6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478,043</w:t>
            </w:r>
          </w:p>
        </w:tc>
        <w:tc>
          <w:tcPr>
            <w:tcW w:w="120" w:type="dxa"/>
            <w:vAlign w:val="bottom"/>
            <w:shd w:val="clear" w:color="auto" w:fill="BFE4FF"/>
          </w:tcPr>
          <w:p>
            <w:pPr>
              <w:spacing w:after="0"/>
              <w:rPr>
                <w:sz w:val="24"/>
                <w:szCs w:val="24"/>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26.86</w:t>
            </w:r>
          </w:p>
        </w:tc>
        <w:tc>
          <w:tcPr>
            <w:tcW w:w="2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1260" w:type="dxa"/>
            <w:vAlign w:val="bottom"/>
            <w:shd w:val="clear" w:color="auto" w:fill="BFE4FF"/>
          </w:tcPr>
          <w:p>
            <w:pPr>
              <w:jc w:val="center"/>
              <w:ind w:right="119"/>
              <w:spacing w:after="0"/>
              <w:rPr>
                <w:sz w:val="20"/>
                <w:szCs w:val="20"/>
                <w:color w:val="auto"/>
              </w:rPr>
            </w:pPr>
            <w:r>
              <w:rPr>
                <w:rFonts w:ascii="Arial" w:cs="Arial" w:eastAsia="Arial" w:hAnsi="Arial"/>
                <w:sz w:val="16"/>
                <w:szCs w:val="16"/>
                <w:color w:val="auto"/>
                <w:w w:val="98"/>
              </w:rPr>
              <w:t>6.1</w:t>
            </w:r>
          </w:p>
        </w:tc>
        <w:tc>
          <w:tcPr>
            <w:tcW w:w="40" w:type="dxa"/>
            <w:vAlign w:val="bottom"/>
            <w:shd w:val="clear" w:color="auto" w:fill="BFE4FF"/>
          </w:tcPr>
          <w:p>
            <w:pPr>
              <w:spacing w:after="0"/>
              <w:rPr>
                <w:sz w:val="24"/>
                <w:szCs w:val="24"/>
                <w:color w:val="auto"/>
              </w:rPr>
            </w:pPr>
          </w:p>
        </w:tc>
        <w:tc>
          <w:tcPr>
            <w:tcW w:w="6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14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477,613</w:t>
            </w:r>
          </w:p>
        </w:tc>
        <w:tc>
          <w:tcPr>
            <w:tcW w:w="60" w:type="dxa"/>
            <w:vAlign w:val="bottom"/>
            <w:shd w:val="clear" w:color="auto" w:fill="BFE4FF"/>
          </w:tcPr>
          <w:p>
            <w:pPr>
              <w:spacing w:after="0"/>
              <w:rPr>
                <w:sz w:val="24"/>
                <w:szCs w:val="24"/>
                <w:color w:val="auto"/>
              </w:rPr>
            </w:pPr>
          </w:p>
        </w:tc>
        <w:tc>
          <w:tcPr>
            <w:tcW w:w="260" w:type="dxa"/>
            <w:vAlign w:val="bottom"/>
            <w:gridSpan w:val="3"/>
            <w:shd w:val="clear" w:color="auto" w:fill="BFE4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26.86</w:t>
            </w:r>
          </w:p>
        </w:tc>
        <w:tc>
          <w:tcPr>
            <w:tcW w:w="60" w:type="dxa"/>
            <w:vAlign w:val="bottom"/>
          </w:tcPr>
          <w:p>
            <w:pPr>
              <w:spacing w:after="0"/>
              <w:rPr>
                <w:sz w:val="24"/>
                <w:szCs w:val="24"/>
                <w:color w:val="auto"/>
              </w:rPr>
            </w:pPr>
          </w:p>
        </w:tc>
      </w:tr>
      <w:tr>
        <w:trPr>
          <w:trHeight w:val="260"/>
        </w:trPr>
        <w:tc>
          <w:tcPr>
            <w:tcW w:w="3420" w:type="dxa"/>
            <w:vAlign w:val="bottom"/>
          </w:tcPr>
          <w:p>
            <w:pPr>
              <w:ind w:left="40"/>
              <w:spacing w:after="0"/>
              <w:rPr>
                <w:sz w:val="20"/>
                <w:szCs w:val="20"/>
                <w:color w:val="auto"/>
              </w:rPr>
            </w:pPr>
            <w:r>
              <w:rPr>
                <w:rFonts w:ascii="Arial" w:cs="Arial" w:eastAsia="Arial" w:hAnsi="Arial"/>
                <w:sz w:val="16"/>
                <w:szCs w:val="16"/>
                <w:color w:val="auto"/>
              </w:rPr>
              <w:t>$30.58 - $31.67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456,331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30.87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8"/>
              </w:rPr>
              <w:t>7.2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350,657</w:t>
            </w:r>
          </w:p>
        </w:tc>
        <w:tc>
          <w:tcPr>
            <w:tcW w:w="60" w:type="dxa"/>
            <w:vAlign w:val="bottom"/>
          </w:tcPr>
          <w:p>
            <w:pPr>
              <w:spacing w:after="0"/>
              <w:rPr>
                <w:sz w:val="22"/>
                <w:szCs w:val="22"/>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30.66</w:t>
            </w:r>
          </w:p>
        </w:tc>
        <w:tc>
          <w:tcPr>
            <w:tcW w:w="60" w:type="dxa"/>
            <w:vAlign w:val="bottom"/>
          </w:tcPr>
          <w:p>
            <w:pPr>
              <w:spacing w:after="0"/>
              <w:rPr>
                <w:sz w:val="22"/>
                <w:szCs w:val="22"/>
                <w:color w:val="auto"/>
              </w:rPr>
            </w:pPr>
          </w:p>
        </w:tc>
      </w:tr>
      <w:tr>
        <w:trPr>
          <w:trHeight w:val="280"/>
        </w:trPr>
        <w:tc>
          <w:tcPr>
            <w:tcW w:w="3420" w:type="dxa"/>
            <w:vAlign w:val="bottom"/>
            <w:shd w:val="clear" w:color="auto" w:fill="BFE4FF"/>
          </w:tcPr>
          <w:p>
            <w:pPr>
              <w:ind w:left="40"/>
              <w:spacing w:after="0"/>
              <w:rPr>
                <w:sz w:val="20"/>
                <w:szCs w:val="20"/>
                <w:color w:val="auto"/>
              </w:rPr>
            </w:pPr>
            <w:r>
              <w:rPr>
                <w:rFonts w:ascii="Arial" w:cs="Arial" w:eastAsia="Arial" w:hAnsi="Arial"/>
                <w:sz w:val="16"/>
                <w:szCs w:val="16"/>
                <w:color w:val="auto"/>
              </w:rPr>
              <w:t>$34.97 - $37.28</w:t>
            </w:r>
          </w:p>
        </w:tc>
        <w:tc>
          <w:tcPr>
            <w:tcW w:w="1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6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559,687</w:t>
            </w:r>
          </w:p>
        </w:tc>
        <w:tc>
          <w:tcPr>
            <w:tcW w:w="120" w:type="dxa"/>
            <w:vAlign w:val="bottom"/>
            <w:shd w:val="clear" w:color="auto" w:fill="BFE4FF"/>
          </w:tcPr>
          <w:p>
            <w:pPr>
              <w:spacing w:after="0"/>
              <w:rPr>
                <w:sz w:val="24"/>
                <w:szCs w:val="24"/>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36.62</w:t>
            </w:r>
          </w:p>
        </w:tc>
        <w:tc>
          <w:tcPr>
            <w:tcW w:w="2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1260" w:type="dxa"/>
            <w:vAlign w:val="bottom"/>
            <w:shd w:val="clear" w:color="auto" w:fill="BFE4FF"/>
          </w:tcPr>
          <w:p>
            <w:pPr>
              <w:jc w:val="center"/>
              <w:ind w:right="119"/>
              <w:spacing w:after="0"/>
              <w:rPr>
                <w:sz w:val="20"/>
                <w:szCs w:val="20"/>
                <w:color w:val="auto"/>
              </w:rPr>
            </w:pPr>
            <w:r>
              <w:rPr>
                <w:rFonts w:ascii="Arial" w:cs="Arial" w:eastAsia="Arial" w:hAnsi="Arial"/>
                <w:sz w:val="16"/>
                <w:szCs w:val="16"/>
                <w:color w:val="auto"/>
                <w:w w:val="98"/>
              </w:rPr>
              <w:t>7.9</w:t>
            </w:r>
          </w:p>
        </w:tc>
        <w:tc>
          <w:tcPr>
            <w:tcW w:w="40" w:type="dxa"/>
            <w:vAlign w:val="bottom"/>
            <w:shd w:val="clear" w:color="auto" w:fill="BFE4FF"/>
          </w:tcPr>
          <w:p>
            <w:pPr>
              <w:spacing w:after="0"/>
              <w:rPr>
                <w:sz w:val="24"/>
                <w:szCs w:val="24"/>
                <w:color w:val="auto"/>
              </w:rPr>
            </w:pPr>
          </w:p>
        </w:tc>
        <w:tc>
          <w:tcPr>
            <w:tcW w:w="6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14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266,436</w:t>
            </w:r>
          </w:p>
        </w:tc>
        <w:tc>
          <w:tcPr>
            <w:tcW w:w="60" w:type="dxa"/>
            <w:vAlign w:val="bottom"/>
            <w:shd w:val="clear" w:color="auto" w:fill="BFE4FF"/>
          </w:tcPr>
          <w:p>
            <w:pPr>
              <w:spacing w:after="0"/>
              <w:rPr>
                <w:sz w:val="24"/>
                <w:szCs w:val="24"/>
                <w:color w:val="auto"/>
              </w:rPr>
            </w:pPr>
          </w:p>
        </w:tc>
        <w:tc>
          <w:tcPr>
            <w:tcW w:w="260" w:type="dxa"/>
            <w:vAlign w:val="bottom"/>
            <w:gridSpan w:val="3"/>
            <w:shd w:val="clear" w:color="auto" w:fill="BFE4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36.81</w:t>
            </w:r>
          </w:p>
        </w:tc>
        <w:tc>
          <w:tcPr>
            <w:tcW w:w="60" w:type="dxa"/>
            <w:vAlign w:val="bottom"/>
          </w:tcPr>
          <w:p>
            <w:pPr>
              <w:spacing w:after="0"/>
              <w:rPr>
                <w:sz w:val="24"/>
                <w:szCs w:val="24"/>
                <w:color w:val="auto"/>
              </w:rPr>
            </w:pPr>
          </w:p>
        </w:tc>
      </w:tr>
      <w:tr>
        <w:trPr>
          <w:trHeight w:val="260"/>
        </w:trPr>
        <w:tc>
          <w:tcPr>
            <w:tcW w:w="3420" w:type="dxa"/>
            <w:vAlign w:val="bottom"/>
          </w:tcPr>
          <w:p>
            <w:pPr>
              <w:ind w:left="40"/>
              <w:spacing w:after="0"/>
              <w:rPr>
                <w:sz w:val="20"/>
                <w:szCs w:val="20"/>
                <w:color w:val="auto"/>
              </w:rPr>
            </w:pPr>
            <w:r>
              <w:rPr>
                <w:rFonts w:ascii="Arial" w:cs="Arial" w:eastAsia="Arial" w:hAnsi="Arial"/>
                <w:sz w:val="16"/>
                <w:szCs w:val="16"/>
                <w:color w:val="auto"/>
              </w:rPr>
              <w:t>$38.40 - $40.89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369,970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39.57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8"/>
              </w:rPr>
              <w:t>7.7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100,054</w:t>
            </w:r>
          </w:p>
        </w:tc>
        <w:tc>
          <w:tcPr>
            <w:tcW w:w="60" w:type="dxa"/>
            <w:vAlign w:val="bottom"/>
          </w:tcPr>
          <w:p>
            <w:pPr>
              <w:spacing w:after="0"/>
              <w:rPr>
                <w:sz w:val="22"/>
                <w:szCs w:val="22"/>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40.72</w:t>
            </w:r>
          </w:p>
        </w:tc>
        <w:tc>
          <w:tcPr>
            <w:tcW w:w="60" w:type="dxa"/>
            <w:vAlign w:val="bottom"/>
          </w:tcPr>
          <w:p>
            <w:pPr>
              <w:spacing w:after="0"/>
              <w:rPr>
                <w:sz w:val="22"/>
                <w:szCs w:val="22"/>
                <w:color w:val="auto"/>
              </w:rPr>
            </w:pPr>
          </w:p>
        </w:tc>
      </w:tr>
      <w:tr>
        <w:trPr>
          <w:trHeight w:val="280"/>
        </w:trPr>
        <w:tc>
          <w:tcPr>
            <w:tcW w:w="3420" w:type="dxa"/>
            <w:vAlign w:val="bottom"/>
            <w:shd w:val="clear" w:color="auto" w:fill="BFE4FF"/>
          </w:tcPr>
          <w:p>
            <w:pPr>
              <w:ind w:left="40"/>
              <w:spacing w:after="0"/>
              <w:rPr>
                <w:sz w:val="20"/>
                <w:szCs w:val="20"/>
                <w:color w:val="auto"/>
              </w:rPr>
            </w:pPr>
            <w:r>
              <w:rPr>
                <w:rFonts w:ascii="Arial" w:cs="Arial" w:eastAsia="Arial" w:hAnsi="Arial"/>
                <w:sz w:val="16"/>
                <w:szCs w:val="16"/>
                <w:color w:val="auto"/>
              </w:rPr>
              <w:t>$52.14 - $52.14</w:t>
            </w:r>
          </w:p>
        </w:tc>
        <w:tc>
          <w:tcPr>
            <w:tcW w:w="1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6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57,886</w:t>
            </w:r>
          </w:p>
        </w:tc>
        <w:tc>
          <w:tcPr>
            <w:tcW w:w="120" w:type="dxa"/>
            <w:vAlign w:val="bottom"/>
            <w:shd w:val="clear" w:color="auto" w:fill="BFE4FF"/>
          </w:tcPr>
          <w:p>
            <w:pPr>
              <w:spacing w:after="0"/>
              <w:rPr>
                <w:sz w:val="24"/>
                <w:szCs w:val="24"/>
                <w:color w:val="auto"/>
              </w:rPr>
            </w:pPr>
          </w:p>
        </w:tc>
        <w:tc>
          <w:tcPr>
            <w:tcW w:w="1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52.14</w:t>
            </w:r>
          </w:p>
        </w:tc>
        <w:tc>
          <w:tcPr>
            <w:tcW w:w="2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1260" w:type="dxa"/>
            <w:vAlign w:val="bottom"/>
            <w:shd w:val="clear" w:color="auto" w:fill="BFE4FF"/>
          </w:tcPr>
          <w:p>
            <w:pPr>
              <w:jc w:val="center"/>
              <w:ind w:right="119"/>
              <w:spacing w:after="0"/>
              <w:rPr>
                <w:sz w:val="20"/>
                <w:szCs w:val="20"/>
                <w:color w:val="auto"/>
              </w:rPr>
            </w:pPr>
            <w:r>
              <w:rPr>
                <w:rFonts w:ascii="Arial" w:cs="Arial" w:eastAsia="Arial" w:hAnsi="Arial"/>
                <w:sz w:val="16"/>
                <w:szCs w:val="16"/>
                <w:color w:val="auto"/>
                <w:w w:val="98"/>
              </w:rPr>
              <w:t>6.7</w:t>
            </w:r>
          </w:p>
        </w:tc>
        <w:tc>
          <w:tcPr>
            <w:tcW w:w="40" w:type="dxa"/>
            <w:vAlign w:val="bottom"/>
            <w:shd w:val="clear" w:color="auto" w:fill="BFE4FF"/>
          </w:tcPr>
          <w:p>
            <w:pPr>
              <w:spacing w:after="0"/>
              <w:rPr>
                <w:sz w:val="24"/>
                <w:szCs w:val="24"/>
                <w:color w:val="auto"/>
              </w:rPr>
            </w:pPr>
          </w:p>
        </w:tc>
        <w:tc>
          <w:tcPr>
            <w:tcW w:w="60" w:type="dxa"/>
            <w:vAlign w:val="bottom"/>
            <w:shd w:val="clear" w:color="auto" w:fill="BFE4FF"/>
          </w:tcPr>
          <w:p>
            <w:pPr>
              <w:spacing w:after="0"/>
              <w:rPr>
                <w:sz w:val="24"/>
                <w:szCs w:val="24"/>
                <w:color w:val="auto"/>
              </w:rPr>
            </w:pPr>
          </w:p>
        </w:tc>
        <w:tc>
          <w:tcPr>
            <w:tcW w:w="40" w:type="dxa"/>
            <w:vAlign w:val="bottom"/>
            <w:shd w:val="clear" w:color="auto" w:fill="BFE4FF"/>
          </w:tcPr>
          <w:p>
            <w:pPr>
              <w:spacing w:after="0"/>
              <w:rPr>
                <w:sz w:val="24"/>
                <w:szCs w:val="24"/>
                <w:color w:val="auto"/>
              </w:rPr>
            </w:pPr>
          </w:p>
        </w:tc>
        <w:tc>
          <w:tcPr>
            <w:tcW w:w="142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38,105</w:t>
            </w:r>
          </w:p>
        </w:tc>
        <w:tc>
          <w:tcPr>
            <w:tcW w:w="60" w:type="dxa"/>
            <w:vAlign w:val="bottom"/>
            <w:shd w:val="clear" w:color="auto" w:fill="BFE4FF"/>
          </w:tcPr>
          <w:p>
            <w:pPr>
              <w:spacing w:after="0"/>
              <w:rPr>
                <w:sz w:val="24"/>
                <w:szCs w:val="24"/>
                <w:color w:val="auto"/>
              </w:rPr>
            </w:pPr>
          </w:p>
        </w:tc>
        <w:tc>
          <w:tcPr>
            <w:tcW w:w="260" w:type="dxa"/>
            <w:vAlign w:val="bottom"/>
            <w:gridSpan w:val="3"/>
            <w:shd w:val="clear" w:color="auto" w:fill="BFE4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BFE4FF"/>
          </w:tcPr>
          <w:p>
            <w:pPr>
              <w:jc w:val="right"/>
              <w:ind w:right="19"/>
              <w:spacing w:after="0"/>
              <w:rPr>
                <w:sz w:val="20"/>
                <w:szCs w:val="20"/>
                <w:color w:val="auto"/>
              </w:rPr>
            </w:pPr>
            <w:r>
              <w:rPr>
                <w:rFonts w:ascii="Arial" w:cs="Arial" w:eastAsia="Arial" w:hAnsi="Arial"/>
                <w:sz w:val="16"/>
                <w:szCs w:val="16"/>
                <w:color w:val="auto"/>
              </w:rPr>
              <w:t>52.14</w:t>
            </w:r>
          </w:p>
        </w:tc>
        <w:tc>
          <w:tcPr>
            <w:tcW w:w="60" w:type="dxa"/>
            <w:vAlign w:val="bottom"/>
          </w:tcPr>
          <w:p>
            <w:pPr>
              <w:spacing w:after="0"/>
              <w:rPr>
                <w:sz w:val="24"/>
                <w:szCs w:val="24"/>
                <w:color w:val="auto"/>
              </w:rPr>
            </w:pPr>
          </w:p>
        </w:tc>
      </w:tr>
      <w:tr>
        <w:trPr>
          <w:trHeight w:val="264"/>
        </w:trPr>
        <w:tc>
          <w:tcPr>
            <w:tcW w:w="3420" w:type="dxa"/>
            <w:vAlign w:val="bottom"/>
          </w:tcPr>
          <w:p>
            <w:pPr>
              <w:ind w:left="40"/>
              <w:spacing w:after="0"/>
              <w:rPr>
                <w:sz w:val="20"/>
                <w:szCs w:val="20"/>
                <w:color w:val="auto"/>
              </w:rPr>
            </w:pPr>
            <w:r>
              <w:rPr>
                <w:rFonts w:ascii="Arial" w:cs="Arial" w:eastAsia="Arial" w:hAnsi="Arial"/>
                <w:sz w:val="16"/>
                <w:szCs w:val="16"/>
                <w:color w:val="auto"/>
              </w:rPr>
              <w:t>$52.60 - $52.60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69,500</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52.60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8"/>
              </w:rPr>
              <w:t>9.8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40"/>
        </w:trPr>
        <w:tc>
          <w:tcPr>
            <w:tcW w:w="3420" w:type="dxa"/>
            <w:vAlign w:val="bottom"/>
            <w:tcBorders>
              <w:top w:val="single" w:sz="8" w:color="BFE4FF"/>
              <w:bottom w:val="single" w:sz="8" w:color="BFE4FF"/>
            </w:tcBorders>
            <w:shd w:val="clear" w:color="auto" w:fill="BFE4FF"/>
          </w:tcPr>
          <w:p>
            <w:pPr>
              <w:spacing w:after="0"/>
              <w:rPr>
                <w:sz w:val="20"/>
                <w:szCs w:val="20"/>
                <w:color w:val="auto"/>
              </w:rPr>
            </w:pP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340" w:type="dxa"/>
            <w:vAlign w:val="bottom"/>
            <w:tcBorders>
              <w:top w:val="single" w:sz="8" w:color="auto"/>
              <w:bottom w:val="single" w:sz="8" w:color="auto"/>
            </w:tcBorders>
            <w:shd w:val="clear" w:color="auto" w:fill="BFE4FF"/>
          </w:tcPr>
          <w:p>
            <w:pPr>
              <w:spacing w:after="0"/>
              <w:rPr>
                <w:sz w:val="20"/>
                <w:szCs w:val="20"/>
                <w:color w:val="auto"/>
              </w:rPr>
            </w:pPr>
          </w:p>
        </w:tc>
        <w:tc>
          <w:tcPr>
            <w:tcW w:w="1160" w:type="dxa"/>
            <w:vAlign w:val="bottom"/>
            <w:tcBorders>
              <w:top w:val="single" w:sz="8" w:color="auto"/>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color w:val="auto"/>
              </w:rPr>
              <w:t>4,495,891</w:t>
            </w:r>
          </w:p>
        </w:tc>
        <w:tc>
          <w:tcPr>
            <w:tcW w:w="120" w:type="dxa"/>
            <w:vAlign w:val="bottom"/>
            <w:tcBorders>
              <w:top w:val="single" w:sz="8" w:color="BFE4FF"/>
              <w:bottom w:val="single" w:sz="8" w:color="BFE4FF"/>
            </w:tcBorders>
            <w:shd w:val="clear" w:color="auto" w:fill="BFE4FF"/>
          </w:tcPr>
          <w:p>
            <w:pPr>
              <w:spacing w:after="0"/>
              <w:rPr>
                <w:sz w:val="20"/>
                <w:szCs w:val="20"/>
                <w:color w:val="auto"/>
              </w:rPr>
            </w:pPr>
          </w:p>
        </w:tc>
        <w:tc>
          <w:tcPr>
            <w:tcW w:w="180" w:type="dxa"/>
            <w:vAlign w:val="bottom"/>
            <w:tcBorders>
              <w:top w:val="single" w:sz="8" w:color="BFE4FF"/>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BFE4FF"/>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25.29</w:t>
            </w:r>
          </w:p>
        </w:tc>
        <w:tc>
          <w:tcPr>
            <w:tcW w:w="20" w:type="dxa"/>
            <w:vAlign w:val="bottom"/>
            <w:tcBorders>
              <w:top w:val="single" w:sz="8" w:color="BFE4FF"/>
              <w:bottom w:val="single" w:sz="8" w:color="BFE4FF"/>
            </w:tcBorders>
            <w:shd w:val="clear" w:color="auto" w:fill="BFE4FF"/>
          </w:tcPr>
          <w:p>
            <w:pPr>
              <w:spacing w:after="0"/>
              <w:rPr>
                <w:sz w:val="20"/>
                <w:szCs w:val="20"/>
                <w:color w:val="auto"/>
              </w:rPr>
            </w:pPr>
          </w:p>
        </w:tc>
        <w:tc>
          <w:tcPr>
            <w:tcW w:w="80" w:type="dxa"/>
            <w:vAlign w:val="bottom"/>
            <w:tcBorders>
              <w:top w:val="single" w:sz="8" w:color="BFE4FF"/>
              <w:bottom w:val="single" w:sz="8" w:color="BFE4FF"/>
            </w:tcBorders>
            <w:shd w:val="clear" w:color="auto" w:fill="BFE4FF"/>
          </w:tcPr>
          <w:p>
            <w:pPr>
              <w:spacing w:after="0"/>
              <w:rPr>
                <w:sz w:val="20"/>
                <w:szCs w:val="20"/>
                <w:color w:val="auto"/>
              </w:rPr>
            </w:pPr>
          </w:p>
        </w:tc>
        <w:tc>
          <w:tcPr>
            <w:tcW w:w="40" w:type="dxa"/>
            <w:vAlign w:val="bottom"/>
            <w:tcBorders>
              <w:top w:val="single" w:sz="8" w:color="auto"/>
              <w:bottom w:val="single" w:sz="8" w:color="auto"/>
            </w:tcBorders>
            <w:shd w:val="clear" w:color="auto" w:fill="BFE4FF"/>
          </w:tcPr>
          <w:p>
            <w:pPr>
              <w:spacing w:after="0"/>
              <w:rPr>
                <w:sz w:val="20"/>
                <w:szCs w:val="20"/>
                <w:color w:val="auto"/>
              </w:rPr>
            </w:pPr>
          </w:p>
        </w:tc>
        <w:tc>
          <w:tcPr>
            <w:tcW w:w="180" w:type="dxa"/>
            <w:vAlign w:val="bottom"/>
            <w:tcBorders>
              <w:top w:val="single" w:sz="8" w:color="auto"/>
              <w:bottom w:val="single" w:sz="8" w:color="auto"/>
            </w:tcBorders>
            <w:shd w:val="clear" w:color="auto" w:fill="BFE4FF"/>
          </w:tcPr>
          <w:p>
            <w:pPr>
              <w:spacing w:after="0"/>
              <w:rPr>
                <w:sz w:val="20"/>
                <w:szCs w:val="20"/>
                <w:color w:val="auto"/>
              </w:rPr>
            </w:pPr>
          </w:p>
        </w:tc>
        <w:tc>
          <w:tcPr>
            <w:tcW w:w="1260" w:type="dxa"/>
            <w:vAlign w:val="bottom"/>
            <w:tcBorders>
              <w:top w:val="single" w:sz="8" w:color="auto"/>
              <w:bottom w:val="single" w:sz="8" w:color="auto"/>
            </w:tcBorders>
            <w:shd w:val="clear" w:color="auto" w:fill="BFE4FF"/>
          </w:tcPr>
          <w:p>
            <w:pPr>
              <w:jc w:val="center"/>
              <w:ind w:right="119"/>
              <w:spacing w:after="0"/>
              <w:rPr>
                <w:sz w:val="20"/>
                <w:szCs w:val="20"/>
                <w:color w:val="auto"/>
              </w:rPr>
            </w:pPr>
            <w:r>
              <w:rPr>
                <w:rFonts w:ascii="Arial" w:cs="Arial" w:eastAsia="Arial" w:hAnsi="Arial"/>
                <w:sz w:val="16"/>
                <w:szCs w:val="16"/>
                <w:color w:val="auto"/>
                <w:w w:val="98"/>
              </w:rPr>
              <w:t>6.6</w:t>
            </w:r>
          </w:p>
        </w:tc>
        <w:tc>
          <w:tcPr>
            <w:tcW w:w="40" w:type="dxa"/>
            <w:vAlign w:val="bottom"/>
            <w:tcBorders>
              <w:top w:val="single" w:sz="8" w:color="BFE4FF"/>
              <w:bottom w:val="single" w:sz="8" w:color="BFE4FF"/>
            </w:tcBorders>
            <w:shd w:val="clear" w:color="auto" w:fill="BFE4FF"/>
          </w:tcPr>
          <w:p>
            <w:pPr>
              <w:spacing w:after="0"/>
              <w:rPr>
                <w:sz w:val="20"/>
                <w:szCs w:val="20"/>
                <w:color w:val="auto"/>
              </w:rPr>
            </w:pPr>
          </w:p>
        </w:tc>
        <w:tc>
          <w:tcPr>
            <w:tcW w:w="60" w:type="dxa"/>
            <w:vAlign w:val="bottom"/>
            <w:tcBorders>
              <w:top w:val="single" w:sz="8" w:color="BFE4FF"/>
              <w:bottom w:val="single" w:sz="8" w:color="BFE4FF"/>
            </w:tcBorders>
            <w:shd w:val="clear" w:color="auto" w:fill="BFE4FF"/>
          </w:tcPr>
          <w:p>
            <w:pPr>
              <w:spacing w:after="0"/>
              <w:rPr>
                <w:sz w:val="20"/>
                <w:szCs w:val="20"/>
                <w:color w:val="auto"/>
              </w:rPr>
            </w:pPr>
          </w:p>
        </w:tc>
        <w:tc>
          <w:tcPr>
            <w:tcW w:w="40" w:type="dxa"/>
            <w:vAlign w:val="bottom"/>
            <w:tcBorders>
              <w:top w:val="single" w:sz="8" w:color="auto"/>
              <w:bottom w:val="single" w:sz="8" w:color="auto"/>
            </w:tcBorders>
            <w:shd w:val="clear" w:color="auto" w:fill="BFE4FF"/>
          </w:tcPr>
          <w:p>
            <w:pPr>
              <w:spacing w:after="0"/>
              <w:rPr>
                <w:sz w:val="20"/>
                <w:szCs w:val="20"/>
                <w:color w:val="auto"/>
              </w:rPr>
            </w:pPr>
          </w:p>
        </w:tc>
        <w:tc>
          <w:tcPr>
            <w:tcW w:w="1420" w:type="dxa"/>
            <w:vAlign w:val="bottom"/>
            <w:tcBorders>
              <w:top w:val="single" w:sz="8" w:color="auto"/>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3,002,205</w:t>
            </w:r>
          </w:p>
        </w:tc>
        <w:tc>
          <w:tcPr>
            <w:tcW w:w="60" w:type="dxa"/>
            <w:vAlign w:val="bottom"/>
            <w:tcBorders>
              <w:top w:val="single" w:sz="8" w:color="BFE4FF"/>
              <w:bottom w:val="single" w:sz="8" w:color="BFE4FF"/>
            </w:tcBorders>
            <w:shd w:val="clear" w:color="auto" w:fill="BFE4FF"/>
          </w:tcPr>
          <w:p>
            <w:pPr>
              <w:spacing w:after="0"/>
              <w:rPr>
                <w:sz w:val="20"/>
                <w:szCs w:val="20"/>
                <w:color w:val="auto"/>
              </w:rPr>
            </w:pPr>
          </w:p>
        </w:tc>
        <w:tc>
          <w:tcPr>
            <w:tcW w:w="260" w:type="dxa"/>
            <w:vAlign w:val="bottom"/>
            <w:tcBorders>
              <w:top w:val="single" w:sz="8" w:color="BFE4FF"/>
              <w:bottom w:val="single" w:sz="8" w:color="BFE4FF"/>
            </w:tcBorders>
            <w:gridSpan w:val="3"/>
            <w:shd w:val="clear" w:color="auto" w:fill="BFE4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BFE4FF"/>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21.90</w:t>
            </w:r>
          </w:p>
        </w:tc>
        <w:tc>
          <w:tcPr>
            <w:tcW w:w="60" w:type="dxa"/>
            <w:vAlign w:val="bottom"/>
          </w:tcPr>
          <w:p>
            <w:pPr>
              <w:spacing w:after="0"/>
              <w:rPr>
                <w:sz w:val="20"/>
                <w:szCs w:val="20"/>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weighted-average grant date fair value of the Company’s stock options granted during 2017</w:t>
      </w:r>
      <w:r>
        <w:rPr>
          <w:rFonts w:ascii="Arial" w:cs="Arial" w:eastAsia="Arial" w:hAnsi="Arial"/>
          <w:sz w:val="18"/>
          <w:szCs w:val="18"/>
          <w:color w:val="231F20"/>
        </w:rPr>
        <w:t>, 2016 and</w:t>
      </w:r>
      <w:r>
        <w:rPr>
          <w:rFonts w:ascii="Arial" w:cs="Arial" w:eastAsia="Arial" w:hAnsi="Arial"/>
          <w:sz w:val="18"/>
          <w:szCs w:val="18"/>
          <w:color w:val="auto"/>
        </w:rPr>
        <w:t xml:space="preserve"> 2015 was $18.03, $11.12 and $16.51, respectively. The aggregate grant date fair value of the Company’s stock options granted during 2017</w:t>
      </w:r>
      <w:r>
        <w:rPr>
          <w:rFonts w:ascii="Arial" w:cs="Arial" w:eastAsia="Arial" w:hAnsi="Arial"/>
          <w:sz w:val="18"/>
          <w:szCs w:val="18"/>
          <w:color w:val="231F20"/>
        </w:rPr>
        <w:t>,</w:t>
      </w:r>
      <w:r>
        <w:rPr>
          <w:rFonts w:ascii="Arial" w:cs="Arial" w:eastAsia="Arial" w:hAnsi="Arial"/>
          <w:sz w:val="18"/>
          <w:szCs w:val="18"/>
          <w:color w:val="auto"/>
        </w:rPr>
        <w:t xml:space="preserve"> 2016 </w:t>
      </w:r>
      <w:r>
        <w:rPr>
          <w:rFonts w:ascii="Arial" w:cs="Arial" w:eastAsia="Arial" w:hAnsi="Arial"/>
          <w:sz w:val="18"/>
          <w:szCs w:val="18"/>
          <w:color w:val="231F20"/>
        </w:rPr>
        <w:t>and</w:t>
      </w:r>
      <w:r>
        <w:rPr>
          <w:rFonts w:ascii="Arial" w:cs="Arial" w:eastAsia="Arial" w:hAnsi="Arial"/>
          <w:sz w:val="18"/>
          <w:szCs w:val="18"/>
          <w:color w:val="auto"/>
        </w:rPr>
        <w:t xml:space="preserve"> 2015 was $7.4 million, $23.6 million and $25.2 million, respectively.</w:t>
      </w:r>
    </w:p>
    <w:p>
      <w:pPr>
        <w:spacing w:after="0" w:line="148"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intrinsic value of options exercised was $92.1 million, $ 25.0 million and $ 22.7 million during 2017</w:t>
      </w:r>
      <w:r>
        <w:rPr>
          <w:rFonts w:ascii="Arial" w:cs="Arial" w:eastAsia="Arial" w:hAnsi="Arial"/>
          <w:sz w:val="18"/>
          <w:szCs w:val="18"/>
          <w:color w:val="231F20"/>
        </w:rPr>
        <w:t>, 2016 and</w:t>
      </w:r>
      <w:r>
        <w:rPr>
          <w:rFonts w:ascii="Arial" w:cs="Arial" w:eastAsia="Arial" w:hAnsi="Arial"/>
          <w:sz w:val="18"/>
          <w:szCs w:val="18"/>
          <w:color w:val="auto"/>
        </w:rPr>
        <w:t xml:space="preserve"> 2015, respectively. Intrinsic value of an option is the difference between the fair value of the Company’s common stock at the time of exercise and the exercise price paid.</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333" w:right="23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139"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auto"/>
        </w:rPr>
        <w:t>The terms and conditions of RSUs and RSAs, including vesting criteria and timing are set by the board of directors. The cost of RSUs and RSAs is determined using the fair value of the Company’s common stock on the date of the grant. Compensation cost is recognized on a straight-line basis over the requisite service period of each grant adjusted for estimated forfeitures.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Company’s RSUs and RSAs activity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9"/>
        </w:trPr>
        <w:tc>
          <w:tcPr>
            <w:tcW w:w="8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Average Grant</w:t>
            </w:r>
          </w:p>
        </w:tc>
        <w:tc>
          <w:tcPr>
            <w:tcW w:w="0" w:type="dxa"/>
            <w:vAlign w:val="bottom"/>
          </w:tcPr>
          <w:p>
            <w:pPr>
              <w:spacing w:after="0"/>
              <w:rPr>
                <w:sz w:val="1"/>
                <w:szCs w:val="1"/>
                <w:color w:val="auto"/>
              </w:rPr>
            </w:pPr>
          </w:p>
        </w:tc>
      </w:tr>
      <w:tr>
        <w:trPr>
          <w:trHeight w:val="189"/>
        </w:trPr>
        <w:tc>
          <w:tcPr>
            <w:tcW w:w="836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rPr>
              <w:t>Date Fair Value Per</w:t>
            </w:r>
          </w:p>
        </w:tc>
        <w:tc>
          <w:tcPr>
            <w:tcW w:w="0" w:type="dxa"/>
            <w:vAlign w:val="bottom"/>
          </w:tcPr>
          <w:p>
            <w:pPr>
              <w:spacing w:after="0"/>
              <w:rPr>
                <w:sz w:val="1"/>
                <w:szCs w:val="1"/>
                <w:color w:val="auto"/>
              </w:rPr>
            </w:pPr>
          </w:p>
        </w:tc>
      </w:tr>
      <w:tr>
        <w:trPr>
          <w:trHeight w:val="228"/>
        </w:trPr>
        <w:tc>
          <w:tcPr>
            <w:tcW w:w="83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Share</w:t>
            </w:r>
          </w:p>
        </w:tc>
        <w:tc>
          <w:tcPr>
            <w:tcW w:w="0" w:type="dxa"/>
            <w:vAlign w:val="bottom"/>
          </w:tcPr>
          <w:p>
            <w:pPr>
              <w:spacing w:after="0"/>
              <w:rPr>
                <w:sz w:val="1"/>
                <w:szCs w:val="1"/>
                <w:color w:val="auto"/>
              </w:rPr>
            </w:pPr>
          </w:p>
        </w:tc>
      </w:tr>
      <w:tr>
        <w:trPr>
          <w:trHeight w:val="257"/>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2015</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47,500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37.28</w:t>
            </w:r>
          </w:p>
        </w:tc>
        <w:tc>
          <w:tcPr>
            <w:tcW w:w="0" w:type="dxa"/>
            <w:vAlign w:val="bottom"/>
          </w:tcPr>
          <w:p>
            <w:pPr>
              <w:spacing w:after="0"/>
              <w:rPr>
                <w:sz w:val="1"/>
                <w:szCs w:val="1"/>
                <w:color w:val="auto"/>
              </w:rPr>
            </w:pPr>
          </w:p>
        </w:tc>
      </w:tr>
      <w:tr>
        <w:trPr>
          <w:trHeight w:val="260"/>
        </w:trPr>
        <w:tc>
          <w:tcPr>
            <w:tcW w:w="83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681,350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28.52</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27.49</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(101,519)</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31.12</w:t>
            </w:r>
          </w:p>
        </w:tc>
        <w:tc>
          <w:tcPr>
            <w:tcW w:w="0" w:type="dxa"/>
            <w:vAlign w:val="bottom"/>
          </w:tcPr>
          <w:p>
            <w:pPr>
              <w:spacing w:after="0"/>
              <w:rPr>
                <w:sz w:val="1"/>
                <w:szCs w:val="1"/>
                <w:color w:val="auto"/>
              </w:rPr>
            </w:pPr>
          </w:p>
        </w:tc>
      </w:tr>
      <w:tr>
        <w:trPr>
          <w:trHeight w:val="257"/>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2016</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587,333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28.85</w:t>
            </w:r>
          </w:p>
        </w:tc>
        <w:tc>
          <w:tcPr>
            <w:tcW w:w="0" w:type="dxa"/>
            <w:vAlign w:val="bottom"/>
          </w:tcPr>
          <w:p>
            <w:pPr>
              <w:spacing w:after="0"/>
              <w:rPr>
                <w:sz w:val="1"/>
                <w:szCs w:val="1"/>
                <w:color w:val="auto"/>
              </w:rPr>
            </w:pPr>
          </w:p>
        </w:tc>
      </w:tr>
      <w:tr>
        <w:trPr>
          <w:trHeight w:val="260"/>
        </w:trPr>
        <w:tc>
          <w:tcPr>
            <w:tcW w:w="83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1,326,849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42.69</w:t>
            </w:r>
          </w:p>
        </w:tc>
        <w:tc>
          <w:tcPr>
            <w:tcW w:w="0" w:type="dxa"/>
            <w:vAlign w:val="bottom"/>
          </w:tcPr>
          <w:p>
            <w:pPr>
              <w:spacing w:after="0"/>
              <w:rPr>
                <w:sz w:val="1"/>
                <w:szCs w:val="1"/>
                <w:color w:val="auto"/>
              </w:rPr>
            </w:pPr>
          </w:p>
        </w:tc>
      </w:tr>
      <w:tr>
        <w:trPr>
          <w:trHeight w:val="280"/>
        </w:trPr>
        <w:tc>
          <w:tcPr>
            <w:tcW w:w="8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(368,367)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33.52</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(135,227)</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32.04</w:t>
            </w:r>
          </w:p>
        </w:tc>
        <w:tc>
          <w:tcPr>
            <w:tcW w:w="0" w:type="dxa"/>
            <w:vAlign w:val="bottom"/>
          </w:tcPr>
          <w:p>
            <w:pPr>
              <w:spacing w:after="0"/>
              <w:rPr>
                <w:sz w:val="1"/>
                <w:szCs w:val="1"/>
                <w:color w:val="auto"/>
              </w:rPr>
            </w:pPr>
          </w:p>
        </w:tc>
      </w:tr>
      <w:tr>
        <w:trPr>
          <w:trHeight w:val="24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1,410,588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40.34</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40"/>
              <w:spacing w:after="0"/>
              <w:rPr>
                <w:sz w:val="20"/>
                <w:szCs w:val="20"/>
                <w:color w:val="auto"/>
              </w:rPr>
            </w:pPr>
            <w:r>
              <w:rPr>
                <w:rFonts w:ascii="Arial" w:cs="Arial" w:eastAsia="Arial" w:hAnsi="Arial"/>
                <w:sz w:val="16"/>
                <w:szCs w:val="16"/>
                <w:color w:val="auto"/>
              </w:rPr>
              <w:t>Expected to vest as of December 31, 2017</w:t>
            </w: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360" w:type="dxa"/>
            <w:vAlign w:val="bottom"/>
            <w:vMerge w:val="continue"/>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1,239,124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39.87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As of December 31, 2017, the Company had $44.6 million of unrecognized compensation cost related to unvested awards that it expects to recognize over a weighted-average period of 2.9 years.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401(k) Plan</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The Company’s 401(k) Plan (the “401(k) Plan”) was established in 2000 to provide retirement and incidental benefits for its employees. As allowed under section 401(k) of the Internal Revenue Code, the 401(k) Plan provides tax-deferred salary deductions for eligible employees. Contributions to the 401(k) Plan are limited to a maximum amount as set periodically by the Internal Revenue Service. During the years ended December 31, 2017 and 2016, the Company made contributions to the 401(k) Plan of $1.1 million and $0.6 million, respectively. During the year ended December 31, 2015, the Company made no contribution to the 401(k) Plan.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33"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00" w:type="dxa"/>
            <w:vAlign w:val="bottom"/>
          </w:tcPr>
          <w:p>
            <w:pPr>
              <w:ind w:left="40"/>
              <w:spacing w:after="0"/>
              <w:rPr>
                <w:sz w:val="20"/>
                <w:szCs w:val="20"/>
                <w:color w:val="auto"/>
              </w:rPr>
            </w:pPr>
            <w:r>
              <w:rPr>
                <w:rFonts w:ascii="Arial" w:cs="Arial" w:eastAsia="Arial" w:hAnsi="Arial"/>
                <w:sz w:val="18"/>
                <w:szCs w:val="18"/>
                <w:b w:val="1"/>
                <w:bCs w:val="1"/>
                <w:color w:val="auto"/>
              </w:rPr>
              <w:t>NOTE 8.</w:t>
            </w:r>
          </w:p>
        </w:tc>
        <w:tc>
          <w:tcPr>
            <w:tcW w:w="3580" w:type="dxa"/>
            <w:vAlign w:val="bottom"/>
          </w:tcPr>
          <w:p>
            <w:pPr>
              <w:ind w:left="100"/>
              <w:spacing w:after="0"/>
              <w:rPr>
                <w:sz w:val="20"/>
                <w:szCs w:val="20"/>
                <w:color w:val="auto"/>
              </w:rPr>
            </w:pPr>
            <w:r>
              <w:rPr>
                <w:rFonts w:ascii="Arial" w:cs="Arial" w:eastAsia="Arial" w:hAnsi="Arial"/>
                <w:sz w:val="18"/>
                <w:szCs w:val="18"/>
                <w:b w:val="1"/>
                <w:bCs w:val="1"/>
                <w:color w:val="auto"/>
              </w:rPr>
              <w:t>Other Expense, Net</w:t>
            </w:r>
          </w:p>
        </w:tc>
        <w:tc>
          <w:tcPr>
            <w:tcW w:w="1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780" w:type="dxa"/>
            <w:vAlign w:val="bottom"/>
            <w:gridSpan w:val="2"/>
          </w:tcPr>
          <w:p>
            <w:pPr>
              <w:ind w:left="420"/>
              <w:spacing w:after="0"/>
              <w:rPr>
                <w:sz w:val="20"/>
                <w:szCs w:val="20"/>
                <w:color w:val="auto"/>
              </w:rPr>
            </w:pPr>
            <w:r>
              <w:rPr>
                <w:rFonts w:ascii="Arial" w:cs="Arial" w:eastAsia="Arial" w:hAnsi="Arial"/>
                <w:sz w:val="18"/>
                <w:szCs w:val="18"/>
                <w:color w:val="auto"/>
              </w:rPr>
              <w:t>Other expense, net consists of the following:</w:t>
            </w:r>
          </w:p>
        </w:tc>
        <w:tc>
          <w:tcPr>
            <w:tcW w:w="1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left="7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2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47"/>
        </w:trPr>
        <w:tc>
          <w:tcPr>
            <w:tcW w:w="12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losses</w:t>
            </w:r>
          </w:p>
        </w:tc>
        <w:tc>
          <w:tcPr>
            <w:tcW w:w="2980" w:type="dxa"/>
            <w:vAlign w:val="bottom"/>
            <w:gridSpan w:val="2"/>
            <w:shd w:val="clear" w:color="auto" w:fill="CCEEFF"/>
          </w:tcPr>
          <w:p>
            <w:pPr>
              <w:jc w:val="right"/>
              <w:ind w:right="8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64"/>
        </w:trPr>
        <w:tc>
          <w:tcPr>
            <w:tcW w:w="1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expense</w:t>
            </w:r>
          </w:p>
        </w:tc>
        <w:tc>
          <w:tcPr>
            <w:tcW w:w="3580" w:type="dxa"/>
            <w:vAlign w:val="bottom"/>
            <w:tcBorders>
              <w:bottom w:val="single" w:sz="8" w:color="CCEEFF"/>
            </w:tcBorders>
          </w:tcPr>
          <w:p>
            <w:pPr>
              <w:spacing w:after="0"/>
              <w:rPr>
                <w:sz w:val="22"/>
                <w:szCs w:val="22"/>
                <w:color w:val="auto"/>
              </w:rPr>
            </w:pPr>
          </w:p>
        </w:tc>
        <w:tc>
          <w:tcPr>
            <w:tcW w:w="19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(181)</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67"/>
        </w:trPr>
        <w:tc>
          <w:tcPr>
            <w:tcW w:w="4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2980" w:type="dxa"/>
            <w:vAlign w:val="bottom"/>
            <w:gridSpan w:val="2"/>
            <w:shd w:val="clear" w:color="auto" w:fill="CCEEFF"/>
          </w:tcPr>
          <w:p>
            <w:pPr>
              <w:jc w:val="right"/>
              <w:ind w:right="8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857"/>
              <w:spacing w:after="0"/>
              <w:rPr>
                <w:sz w:val="20"/>
                <w:szCs w:val="20"/>
                <w:color w:val="auto"/>
              </w:rPr>
            </w:pPr>
            <w:r>
              <w:rPr>
                <w:rFonts w:ascii="Arial" w:cs="Arial" w:eastAsia="Arial" w:hAnsi="Arial"/>
                <w:sz w:val="18"/>
                <w:szCs w:val="18"/>
                <w:color w:val="auto"/>
              </w:rPr>
              <w:t>87</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9"/>
        </w:trPr>
        <w:tc>
          <w:tcPr>
            <w:tcW w:w="12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40" w:type="dxa"/>
            <w:vAlign w:val="bottom"/>
          </w:tcPr>
          <w:p>
            <w:pPr>
              <w:ind w:left="40"/>
              <w:spacing w:after="0"/>
              <w:rPr>
                <w:sz w:val="20"/>
                <w:szCs w:val="20"/>
                <w:color w:val="auto"/>
              </w:rPr>
            </w:pPr>
            <w:r>
              <w:rPr>
                <w:rFonts w:ascii="Arial" w:cs="Arial" w:eastAsia="Arial" w:hAnsi="Arial"/>
                <w:sz w:val="18"/>
                <w:szCs w:val="18"/>
                <w:b w:val="1"/>
                <w:bCs w:val="1"/>
                <w:color w:val="auto"/>
              </w:rPr>
              <w:t>NOTE 9.</w:t>
            </w:r>
          </w:p>
        </w:tc>
        <w:tc>
          <w:tcPr>
            <w:tcW w:w="5720" w:type="dxa"/>
            <w:vAlign w:val="bottom"/>
          </w:tcPr>
          <w:p>
            <w:pPr>
              <w:ind w:left="260"/>
              <w:spacing w:after="0"/>
              <w:rPr>
                <w:sz w:val="20"/>
                <w:szCs w:val="20"/>
                <w:color w:val="auto"/>
              </w:rPr>
            </w:pPr>
            <w:r>
              <w:rPr>
                <w:rFonts w:ascii="Arial" w:cs="Arial" w:eastAsia="Arial" w:hAnsi="Arial"/>
                <w:sz w:val="18"/>
                <w:szCs w:val="18"/>
                <w:b w:val="1"/>
                <w:bCs w:val="1"/>
                <w:color w:val="auto"/>
              </w:rPr>
              <w:t>Income Taxes</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7300" w:type="dxa"/>
            <w:vAlign w:val="bottom"/>
            <w:gridSpan w:val="3"/>
          </w:tcPr>
          <w:p>
            <w:pPr>
              <w:ind w:left="420"/>
              <w:spacing w:after="0"/>
              <w:rPr>
                <w:sz w:val="20"/>
                <w:szCs w:val="20"/>
                <w:color w:val="auto"/>
              </w:rPr>
            </w:pPr>
            <w:r>
              <w:rPr>
                <w:rFonts w:ascii="Arial" w:cs="Arial" w:eastAsia="Arial" w:hAnsi="Arial"/>
                <w:sz w:val="18"/>
                <w:szCs w:val="18"/>
                <w:color w:val="auto"/>
              </w:rPr>
              <w:t>The Company’s geographical breakdown of income before income taxes is as follows: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center"/>
              <w:ind w:left="5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47"/>
        </w:trPr>
        <w:tc>
          <w:tcPr>
            <w:tcW w:w="104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57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28,982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22,540</w:t>
            </w:r>
          </w:p>
        </w:tc>
        <w:tc>
          <w:tcPr>
            <w:tcW w:w="0" w:type="dxa"/>
            <w:vAlign w:val="bottom"/>
          </w:tcPr>
          <w:p>
            <w:pPr>
              <w:spacing w:after="0"/>
              <w:rPr>
                <w:sz w:val="1"/>
                <w:szCs w:val="1"/>
                <w:color w:val="auto"/>
              </w:rPr>
            </w:pPr>
          </w:p>
        </w:tc>
      </w:tr>
      <w:tr>
        <w:trPr>
          <w:trHeight w:val="264"/>
        </w:trPr>
        <w:tc>
          <w:tcPr>
            <w:tcW w:w="1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57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4,464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24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39,378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30,429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24,520</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ind w:left="420"/>
              <w:spacing w:after="0"/>
              <w:rPr>
                <w:sz w:val="20"/>
                <w:szCs w:val="20"/>
                <w:color w:val="auto"/>
              </w:rPr>
            </w:pPr>
            <w:r>
              <w:rPr>
                <w:rFonts w:ascii="Arial" w:cs="Arial" w:eastAsia="Arial" w:hAnsi="Arial"/>
                <w:sz w:val="18"/>
                <w:szCs w:val="18"/>
                <w:color w:val="auto"/>
              </w:rPr>
              <w:t>The provision for (benefit from) income taxes consists of the following:</w:t>
            </w: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676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center"/>
              <w:ind w:left="5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4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47"/>
        </w:trPr>
        <w:tc>
          <w:tcPr>
            <w:tcW w:w="104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57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40" w:type="dxa"/>
            <w:vAlign w:val="bottom"/>
          </w:tcPr>
          <w:p>
            <w:pPr>
              <w:ind w:left="380"/>
              <w:spacing w:after="0"/>
              <w:rPr>
                <w:sz w:val="20"/>
                <w:szCs w:val="20"/>
                <w:color w:val="auto"/>
              </w:rPr>
            </w:pPr>
            <w:r>
              <w:rPr>
                <w:rFonts w:ascii="Arial" w:cs="Arial" w:eastAsia="Arial" w:hAnsi="Arial"/>
                <w:sz w:val="16"/>
                <w:szCs w:val="16"/>
                <w:color w:val="auto"/>
              </w:rPr>
              <w:t>Federal</w:t>
            </w:r>
          </w:p>
        </w:tc>
        <w:tc>
          <w:tcPr>
            <w:tcW w:w="5720" w:type="dxa"/>
            <w:vAlign w:val="bottom"/>
          </w:tcPr>
          <w:p>
            <w:pPr>
              <w:spacing w:after="0"/>
              <w:rPr>
                <w:sz w:val="22"/>
                <w:szCs w:val="22"/>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8,334</w:t>
            </w:r>
          </w:p>
        </w:tc>
        <w:tc>
          <w:tcPr>
            <w:tcW w:w="10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80"/>
        </w:trPr>
        <w:tc>
          <w:tcPr>
            <w:tcW w:w="10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State</w:t>
            </w:r>
          </w:p>
        </w:tc>
        <w:tc>
          <w:tcPr>
            <w:tcW w:w="57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64"/>
        </w:trPr>
        <w:tc>
          <w:tcPr>
            <w:tcW w:w="10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Foreign</w:t>
            </w:r>
          </w:p>
        </w:tc>
        <w:tc>
          <w:tcPr>
            <w:tcW w:w="57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57"/>
        </w:trPr>
        <w:tc>
          <w:tcPr>
            <w:tcW w:w="67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current provision</w:t>
            </w:r>
          </w:p>
        </w:tc>
        <w:tc>
          <w:tcPr>
            <w:tcW w:w="5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10,422</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1,849</w:t>
            </w:r>
          </w:p>
        </w:tc>
        <w:tc>
          <w:tcPr>
            <w:tcW w:w="0" w:type="dxa"/>
            <w:vAlign w:val="bottom"/>
          </w:tcPr>
          <w:p>
            <w:pPr>
              <w:spacing w:after="0"/>
              <w:rPr>
                <w:sz w:val="1"/>
                <w:szCs w:val="1"/>
                <w:color w:val="auto"/>
              </w:rPr>
            </w:pPr>
          </w:p>
        </w:tc>
      </w:tr>
      <w:tr>
        <w:trPr>
          <w:trHeight w:val="254"/>
        </w:trPr>
        <w:tc>
          <w:tcPr>
            <w:tcW w:w="1040" w:type="dxa"/>
            <w:vAlign w:val="bottom"/>
          </w:tcPr>
          <w:p>
            <w:pPr>
              <w:ind w:left="40"/>
              <w:spacing w:after="0"/>
              <w:rPr>
                <w:sz w:val="20"/>
                <w:szCs w:val="20"/>
                <w:color w:val="auto"/>
              </w:rPr>
            </w:pPr>
            <w:r>
              <w:rPr>
                <w:rFonts w:ascii="Arial" w:cs="Arial" w:eastAsia="Arial" w:hAnsi="Arial"/>
                <w:sz w:val="16"/>
                <w:szCs w:val="16"/>
                <w:color w:val="auto"/>
              </w:rPr>
              <w:t>Deferred</w:t>
            </w:r>
          </w:p>
        </w:tc>
        <w:tc>
          <w:tcPr>
            <w:tcW w:w="5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10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Federal</w:t>
            </w:r>
          </w:p>
        </w:tc>
        <w:tc>
          <w:tcPr>
            <w:tcW w:w="57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7,115</w:t>
            </w:r>
          </w:p>
        </w:tc>
        <w:tc>
          <w:tcPr>
            <w:tcW w:w="0" w:type="dxa"/>
            <w:vAlign w:val="bottom"/>
          </w:tcPr>
          <w:p>
            <w:pPr>
              <w:spacing w:after="0"/>
              <w:rPr>
                <w:sz w:val="1"/>
                <w:szCs w:val="1"/>
                <w:color w:val="auto"/>
              </w:rPr>
            </w:pPr>
          </w:p>
        </w:tc>
      </w:tr>
      <w:tr>
        <w:trPr>
          <w:trHeight w:val="260"/>
        </w:trPr>
        <w:tc>
          <w:tcPr>
            <w:tcW w:w="1040" w:type="dxa"/>
            <w:vAlign w:val="bottom"/>
          </w:tcPr>
          <w:p>
            <w:pPr>
              <w:ind w:left="380"/>
              <w:spacing w:after="0"/>
              <w:rPr>
                <w:sz w:val="20"/>
                <w:szCs w:val="20"/>
                <w:color w:val="auto"/>
              </w:rPr>
            </w:pPr>
            <w:r>
              <w:rPr>
                <w:rFonts w:ascii="Arial" w:cs="Arial" w:eastAsia="Arial" w:hAnsi="Arial"/>
                <w:sz w:val="16"/>
                <w:szCs w:val="16"/>
                <w:color w:val="auto"/>
              </w:rPr>
              <w:t>State</w:t>
            </w:r>
          </w:p>
        </w:tc>
        <w:tc>
          <w:tcPr>
            <w:tcW w:w="5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73"/>
        </w:trPr>
        <w:tc>
          <w:tcPr>
            <w:tcW w:w="10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57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tcPr>
          <w:p>
            <w:pPr>
              <w:ind w:left="720"/>
              <w:spacing w:after="0"/>
              <w:rPr>
                <w:sz w:val="20"/>
                <w:szCs w:val="20"/>
                <w:color w:val="auto"/>
              </w:rPr>
            </w:pPr>
            <w:r>
              <w:rPr>
                <w:rFonts w:ascii="Arial" w:cs="Arial" w:eastAsia="Arial" w:hAnsi="Arial"/>
                <w:sz w:val="16"/>
                <w:szCs w:val="16"/>
                <w:color w:val="auto"/>
              </w:rPr>
              <w:t>Total deferred (benefit) provision</w:t>
            </w: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6,806</w:t>
            </w:r>
          </w:p>
        </w:tc>
        <w:tc>
          <w:tcPr>
            <w:tcW w:w="0" w:type="dxa"/>
            <w:vAlign w:val="bottom"/>
          </w:tcPr>
          <w:p>
            <w:pPr>
              <w:spacing w:after="0"/>
              <w:rPr>
                <w:sz w:val="1"/>
                <w:szCs w:val="1"/>
                <w:color w:val="auto"/>
              </w:rPr>
            </w:pPr>
          </w:p>
        </w:tc>
      </w:tr>
      <w:tr>
        <w:trPr>
          <w:trHeight w:val="240"/>
        </w:trPr>
        <w:tc>
          <w:tcPr>
            <w:tcW w:w="1040" w:type="dxa"/>
            <w:vAlign w:val="bottom"/>
            <w:tcBorders>
              <w:bottom w:val="single" w:sz="8" w:color="CCEEFF"/>
            </w:tcBorders>
            <w:shd w:val="clear" w:color="auto" w:fill="CCEEFF"/>
          </w:tcPr>
          <w:p>
            <w:pPr>
              <w:spacing w:after="0"/>
              <w:rPr>
                <w:sz w:val="20"/>
                <w:szCs w:val="20"/>
                <w:color w:val="auto"/>
              </w:rPr>
            </w:pPr>
          </w:p>
        </w:tc>
        <w:tc>
          <w:tcPr>
            <w:tcW w:w="5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Total (benefit from) provision for income taxes</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8,655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of the statutory federal income tax rate to the Company’s effective tax rate is as follows:</w:t>
      </w:r>
    </w:p>
    <w:p>
      <w:pPr>
        <w:spacing w:after="0" w:line="181"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3121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2015</w:t>
            </w:r>
          </w:p>
        </w:tc>
      </w:tr>
      <w:tr>
        <w:trPr>
          <w:trHeight w:val="432"/>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Federal statutory rate</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60"/>
        </w:trPr>
        <w:tc>
          <w:tcPr>
            <w:tcW w:w="7460" w:type="dxa"/>
            <w:vAlign w:val="bottom"/>
            <w:gridSpan w:val="2"/>
          </w:tcPr>
          <w:p>
            <w:pPr>
              <w:ind w:left="40"/>
              <w:spacing w:after="0"/>
              <w:rPr>
                <w:sz w:val="20"/>
                <w:szCs w:val="20"/>
                <w:color w:val="auto"/>
              </w:rPr>
            </w:pPr>
            <w:r>
              <w:rPr>
                <w:rFonts w:ascii="Arial" w:cs="Arial" w:eastAsia="Arial" w:hAnsi="Arial"/>
                <w:sz w:val="16"/>
                <w:szCs w:val="16"/>
                <w:color w:val="auto"/>
              </w:rPr>
              <w:t>State taxes</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2.2</w:t>
            </w:r>
          </w:p>
        </w:tc>
      </w:tr>
      <w:tr>
        <w:trPr>
          <w:trHeight w:val="280"/>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0.5</w:t>
            </w:r>
          </w:p>
        </w:tc>
      </w:tr>
      <w:tr>
        <w:trPr>
          <w:trHeight w:val="260"/>
        </w:trPr>
        <w:tc>
          <w:tcPr>
            <w:tcW w:w="7460" w:type="dxa"/>
            <w:vAlign w:val="bottom"/>
            <w:gridSpan w:val="2"/>
          </w:tcPr>
          <w:p>
            <w:pPr>
              <w:ind w:left="40"/>
              <w:spacing w:after="0"/>
              <w:rPr>
                <w:sz w:val="20"/>
                <w:szCs w:val="20"/>
                <w:color w:val="auto"/>
              </w:rPr>
            </w:pPr>
            <w:r>
              <w:rPr>
                <w:rFonts w:ascii="Arial" w:cs="Arial" w:eastAsia="Arial" w:hAnsi="Arial"/>
                <w:sz w:val="16"/>
                <w:szCs w:val="16"/>
                <w:color w:val="auto"/>
              </w:rPr>
              <w:t>Foreign source income</w:t>
            </w:r>
          </w:p>
        </w:tc>
        <w:tc>
          <w:tcPr>
            <w:tcW w:w="620" w:type="dxa"/>
            <w:vAlign w:val="bottom"/>
          </w:tcPr>
          <w:p>
            <w:pPr>
              <w:jc w:val="right"/>
              <w:ind w:right="9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2"/>
                <w:szCs w:val="22"/>
                <w:color w:val="auto"/>
              </w:rPr>
            </w:pP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0.6</w:t>
            </w:r>
          </w:p>
        </w:tc>
      </w:tr>
      <w:tr>
        <w:trPr>
          <w:trHeight w:val="280"/>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Change in valuation allowance</w:t>
            </w:r>
          </w:p>
        </w:tc>
        <w:tc>
          <w:tcPr>
            <w:tcW w:w="6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r>
      <w:tr>
        <w:trPr>
          <w:trHeight w:val="260"/>
        </w:trPr>
        <w:tc>
          <w:tcPr>
            <w:tcW w:w="7460" w:type="dxa"/>
            <w:vAlign w:val="bottom"/>
            <w:gridSpan w:val="2"/>
          </w:tcPr>
          <w:p>
            <w:pPr>
              <w:ind w:left="40"/>
              <w:spacing w:after="0"/>
              <w:rPr>
                <w:sz w:val="20"/>
                <w:szCs w:val="20"/>
                <w:color w:val="auto"/>
              </w:rPr>
            </w:pPr>
            <w:r>
              <w:rPr>
                <w:rFonts w:ascii="Arial" w:cs="Arial" w:eastAsia="Arial" w:hAnsi="Arial"/>
                <w:sz w:val="16"/>
                <w:szCs w:val="16"/>
                <w:color w:val="auto"/>
              </w:rPr>
              <w:t>Federal rate adjustment (due to 2017 Tax Act)</w:t>
            </w:r>
          </w:p>
        </w:tc>
        <w:tc>
          <w:tcPr>
            <w:tcW w:w="620" w:type="dxa"/>
            <w:vAlign w:val="bottom"/>
          </w:tcPr>
          <w:p>
            <w:pPr>
              <w:jc w:val="right"/>
              <w:ind w:right="15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2"/>
                <w:szCs w:val="22"/>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Federal and state research and development credit</w:t>
            </w:r>
          </w:p>
        </w:tc>
        <w:tc>
          <w:tcPr>
            <w:tcW w:w="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w:t>
            </w: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(0.4)</w:t>
            </w:r>
          </w:p>
        </w:tc>
      </w:tr>
      <w:tr>
        <w:trPr>
          <w:trHeight w:val="240"/>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36.8 %</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On December 22, 2017, the Tax Cuts and Jobs Act (the “2017 Tax Act”) was enacted into law. The new legislation contains several key tax provisions that impact the Company, including the reduction of the corporate income tax rate from 35% to 21% effective January 1, 2018. The new legislation also includes a variety of other changes, such as a one-time repatriation tax on accumulated foreign earnings (transition tax), acceleration of business asset expensing, and reduction in the amount of executive pay that could qualify as a tax deduction, among others. We have estimated our provision for income taxes in accordance with the 2017 Tax Act and guidance available as of the date of this filing and as a result have recorded $10.4 million as additional income tax expense due to the re-measurement of certain</w:t>
      </w:r>
    </w:p>
    <w:p>
      <w:pPr>
        <w:sectPr>
          <w:pgSz w:w="11900" w:h="16838" w:orient="portrait"/>
          <w:cols w:equalWidth="0" w:num="1">
            <w:col w:w="11420"/>
          </w:cols>
          <w:pgMar w:left="240" w:top="333" w:right="239" w:bottom="1440"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333" w:right="23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deferred tax assets and liabilities as a result of the reduction of the federal tax rate. No deferred taxes were recorded for the newly introduced provisions for Global Intangible Low Tax Income ("GILTI"), and no amount related to the one-time transition tax on the mandatory deemed repatriation of foreign earnings was recorded due to cumulative foreign losses of our subsidiaries.</w:t>
      </w:r>
    </w:p>
    <w:p>
      <w:pPr>
        <w:spacing w:after="0" w:line="148"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On December 22, 2017,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2017 Tax Act. In accordance with SAB 118, we have determined that the $10.4 million of the deferred tax expense recorded in connection with the re-measurement of certain deferred tax assets and liabilities and the $0 amount of transition tax on the mandatory deemed repatriation of foreign earnings were provisional amounts and reasonable estimates at December 31, 2017. A comprehensive analysis of GILTI, for which additional guidance is expected from the U.S. Internal Revenue Service, is required to finalize the amounts of our deferred tax assets and liabilities and a detailed analysis of historical foreign earnings and the potential correlative adjustments will be performed to verify the transitional tax does not apply. Subsequent adjustments resulting from the additional analysis to be completed will be recorded to current tax expense in the quarter of 2018 when the analysis is complete.</w:t>
      </w:r>
    </w:p>
    <w:p>
      <w:pPr>
        <w:spacing w:after="0" w:line="15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2017 Tax Act includes a mandatory one-time tax on accumulated earnings of foreign subsidiaries, and as a result, all previously unremitted earnings are no longer subject to U.S. tax after 2017. Depending on the jurisdiction, distributions of earnings could be subject to withholding taxes at rates applicable to the distributing jurisdiction. As the Company intends to continue to reinvest the earnings of foreign subsidiaries indefinitely, no U.S. income taxes or foreign withholding taxes have been provided on undistributed earnings earned by our foreign subsidiaries. The Company’s share of undistributed earnings of foreign subsidiaries that could be subject to foreign withholding taxes was $ 9.0 million and $5.7 million as of December 31, 2017 and 2016, respectively. Determination of the amount of unrecognized deferred tax liability for temporary differences related to investments in these non-U.S. subsidiaries that are essentially permanent in duration is not practicable.</w:t>
      </w:r>
    </w:p>
    <w:p>
      <w:pPr>
        <w:spacing w:after="0" w:line="15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As a result of the adoption of ASU 2016-09 on January 1, 2017 we recorded a cumulative effect adjustment to increase retained earnings by $7.7 million with a corresponding increase to deferred tax assets for the federal and state net operating losses and federal research credits attributable to excess tax benefits from stock-based compensation which had not been previously recognized. All excess tax benefits and deficiencies in the current and future periods will be recognized as income tax expense in our Consolidated Statement of Operations in the reporting period in which they occur. This will result in increased volatility in our effective tax rate. For the year ended December 31, 2017, we recognized a benefit of $27.1 million related to the excess tax benefits.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Deferred Income Taxes</w:t>
      </w:r>
    </w:p>
    <w:p>
      <w:pPr>
        <w:spacing w:after="0" w:line="17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Deferred income taxes reflect the tax effects of temporary differences between the carrying amounts of assets and liabilities for financial reporting purposes and the amounts used for income tax purposes. The components of the Company’s deferred tax assets and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33"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9"/>
                <w:szCs w:val="19"/>
                <w:color w:val="auto"/>
              </w:rPr>
            </w:pP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8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0"/>
        </w:trPr>
        <w:tc>
          <w:tcPr>
            <w:tcW w:w="8360" w:type="dxa"/>
            <w:vAlign w:val="bottom"/>
          </w:tcPr>
          <w:p>
            <w:pPr>
              <w:ind w:left="380"/>
              <w:spacing w:after="0"/>
              <w:rPr>
                <w:sz w:val="20"/>
                <w:szCs w:val="20"/>
                <w:color w:val="auto"/>
              </w:rPr>
            </w:pPr>
            <w:r>
              <w:rPr>
                <w:rFonts w:ascii="Arial" w:cs="Arial" w:eastAsia="Arial" w:hAnsi="Arial"/>
                <w:sz w:val="16"/>
                <w:szCs w:val="16"/>
                <w:color w:val="auto"/>
              </w:rPr>
              <w:t>Net operating loss carryforwards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8,947</w:t>
            </w:r>
          </w:p>
        </w:tc>
        <w:tc>
          <w:tcPr>
            <w:tcW w:w="100" w:type="dxa"/>
            <w:vAlign w:val="bottom"/>
          </w:tcPr>
          <w:p>
            <w:pPr>
              <w:spacing w:after="0"/>
              <w:rPr>
                <w:sz w:val="22"/>
                <w:szCs w:val="22"/>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1,472</w:t>
            </w:r>
          </w:p>
        </w:tc>
      </w:tr>
      <w:tr>
        <w:trPr>
          <w:trHeight w:val="280"/>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 credit carryforwards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11,493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3,334</w:t>
            </w:r>
          </w:p>
        </w:tc>
      </w:tr>
      <w:tr>
        <w:trPr>
          <w:trHeight w:val="260"/>
        </w:trPr>
        <w:tc>
          <w:tcPr>
            <w:tcW w:w="8360" w:type="dxa"/>
            <w:vAlign w:val="bottom"/>
          </w:tcPr>
          <w:p>
            <w:pPr>
              <w:ind w:left="380"/>
              <w:spacing w:after="0"/>
              <w:rPr>
                <w:sz w:val="20"/>
                <w:szCs w:val="20"/>
                <w:color w:val="auto"/>
              </w:rPr>
            </w:pPr>
            <w:r>
              <w:rPr>
                <w:rFonts w:ascii="Arial" w:cs="Arial" w:eastAsia="Arial" w:hAnsi="Arial"/>
                <w:sz w:val="16"/>
                <w:szCs w:val="16"/>
                <w:color w:val="auto"/>
              </w:rPr>
              <w:t>Foreign tax credit carryforwards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1,149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liabilities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681</w:t>
            </w:r>
          </w:p>
        </w:tc>
      </w:tr>
      <w:tr>
        <w:trPr>
          <w:trHeight w:val="260"/>
        </w:trPr>
        <w:tc>
          <w:tcPr>
            <w:tcW w:w="8360" w:type="dxa"/>
            <w:vAlign w:val="bottom"/>
          </w:tcPr>
          <w:p>
            <w:pPr>
              <w:ind w:left="380"/>
              <w:spacing w:after="0"/>
              <w:rPr>
                <w:sz w:val="20"/>
                <w:szCs w:val="20"/>
                <w:color w:val="auto"/>
              </w:rPr>
            </w:pPr>
            <w:r>
              <w:rPr>
                <w:rFonts w:ascii="Arial" w:cs="Arial" w:eastAsia="Arial" w:hAnsi="Arial"/>
                <w:sz w:val="16"/>
                <w:szCs w:val="16"/>
                <w:color w:val="auto"/>
              </w:rPr>
              <w:t>Deferred revenues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3,416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5,018</w:t>
            </w:r>
          </w:p>
        </w:tc>
      </w:tr>
      <w:tr>
        <w:trPr>
          <w:trHeight w:val="280"/>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Deferred rent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r>
      <w:tr>
        <w:trPr>
          <w:trHeight w:val="260"/>
        </w:trPr>
        <w:tc>
          <w:tcPr>
            <w:tcW w:w="8360" w:type="dxa"/>
            <w:vAlign w:val="bottom"/>
          </w:tcPr>
          <w:p>
            <w:pPr>
              <w:ind w:left="380"/>
              <w:spacing w:after="0"/>
              <w:rPr>
                <w:sz w:val="20"/>
                <w:szCs w:val="20"/>
                <w:color w:val="auto"/>
              </w:rPr>
            </w:pPr>
            <w:r>
              <w:rPr>
                <w:rFonts w:ascii="Arial" w:cs="Arial" w:eastAsia="Arial" w:hAnsi="Arial"/>
                <w:sz w:val="16"/>
                <w:szCs w:val="16"/>
                <w:color w:val="auto"/>
              </w:rPr>
              <w:t>Intangible assets</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409</w:t>
            </w:r>
          </w:p>
        </w:tc>
      </w:tr>
      <w:tr>
        <w:trPr>
          <w:trHeight w:val="280"/>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7,135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12,513</w:t>
            </w:r>
          </w:p>
        </w:tc>
      </w:tr>
      <w:tr>
        <w:trPr>
          <w:trHeight w:val="264"/>
        </w:trPr>
        <w:tc>
          <w:tcPr>
            <w:tcW w:w="83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1,225</w:t>
            </w:r>
          </w:p>
        </w:tc>
      </w:tr>
      <w:tr>
        <w:trPr>
          <w:trHeight w:val="257"/>
        </w:trPr>
        <w:tc>
          <w:tcPr>
            <w:tcW w:w="83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Gross deferred tax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34,215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24,726</w:t>
            </w:r>
          </w:p>
        </w:tc>
      </w:tr>
      <w:tr>
        <w:trPr>
          <w:trHeight w:val="264"/>
        </w:trPr>
        <w:tc>
          <w:tcPr>
            <w:tcW w:w="83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Valuation allowance</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(5,773)</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(3,688)</w:t>
            </w:r>
          </w:p>
        </w:tc>
      </w:tr>
      <w:tr>
        <w:trPr>
          <w:trHeight w:val="257"/>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deferred tax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28,442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21,038</w:t>
            </w:r>
          </w:p>
        </w:tc>
      </w:tr>
      <w:tr>
        <w:trPr>
          <w:trHeight w:val="260"/>
        </w:trPr>
        <w:tc>
          <w:tcPr>
            <w:tcW w:w="836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Fixed assets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(4,448)</w:t>
            </w:r>
          </w:p>
        </w:tc>
      </w:tr>
      <w:tr>
        <w:trPr>
          <w:trHeight w:val="264"/>
        </w:trPr>
        <w:tc>
          <w:tcPr>
            <w:tcW w:w="83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Intangible assets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deferred tax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(3,376)</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(4,448)</w:t>
            </w:r>
          </w:p>
        </w:tc>
      </w:tr>
      <w:tr>
        <w:trPr>
          <w:trHeight w:val="240"/>
        </w:trPr>
        <w:tc>
          <w:tcPr>
            <w:tcW w:w="8360" w:type="dxa"/>
            <w:vAlign w:val="bottom"/>
          </w:tcPr>
          <w:p>
            <w:pPr>
              <w:ind w:left="40"/>
              <w:spacing w:after="0"/>
              <w:rPr>
                <w:sz w:val="20"/>
                <w:szCs w:val="20"/>
                <w:color w:val="auto"/>
              </w:rPr>
            </w:pPr>
            <w:r>
              <w:rPr>
                <w:rFonts w:ascii="Arial" w:cs="Arial" w:eastAsia="Arial" w:hAnsi="Arial"/>
                <w:sz w:val="16"/>
                <w:szCs w:val="16"/>
                <w:color w:val="auto"/>
              </w:rPr>
              <w:t>Net deferred tax assets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25,066</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16,590</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Realization of deferred tax assets is dependent upon future earnings, if any, and the timing and amount of such assets are uncertain. The Company believes it is more likely than not that its California deferred tax assets will not be realized because the income attributed to California is not expected to be sufficient to recognize these deferred tax assets. Accordingly, the Company continues to record the valuation allowance of $5.8 million as of December 31, 2017 for its California deferred tax assets. During the year ended December 31, 2017, the valuation allowance had increased by $2.1 million to $5.8 million.</w:t>
      </w:r>
    </w:p>
    <w:p>
      <w:pPr>
        <w:spacing w:after="0" w:line="15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At December 31, 2017, the Company had federal and state net operating loss carryforwards of approximately $ 39.1 million and $15.3 million, respectively, available to reduce federal and state taxable income. Federal net operating losses begin to expire in 2021, and state net operating losses expire from 2029 to 2037. Utilization of the Company’s net operating loss carryforwards may be subject to an annual limitation due to the ownership change limitations provided by the Internal Revenue Code and similar state provisions. Such an annual limitation could result in the expiration of the net operating loss carryforwards before utilization. As of December 31, 2017, the Company had $8.7 million of federal and $8.7 million of state research and development credit carryforwards. Federal research and development credits expire in the years 2022 to 2037. State research and development credits do not expire. As of December 31, 2017, the Company had foreign tax credit carryforwards of $1.1 million which expire in the years 2024 to 2027.</w:t>
      </w:r>
    </w:p>
    <w:p>
      <w:pPr>
        <w:spacing w:after="0" w:line="1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evaluation of an unrecognized tax position is a two-step process. The first step requires the Company to determine whether it is more likely than not that a tax position will be sustained upon examination based on the technical merits of the position. The second step requires the Company to recognize in the financial statement each tax position that meets the more likely than not criteria, measured at the amount of benefit that has a greater than fifty percent likelihood of being realized.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Company’s unrecognized tax benefits is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33"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center"/>
              <w:ind w:left="11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6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Unrecognized tax benefits beginning balance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3,330</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Gross increase for tax positions of prior years</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decrease for tax positions of prior years</w:t>
            </w:r>
          </w:p>
        </w:tc>
        <w:tc>
          <w:tcPr>
            <w:tcW w:w="9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60"/>
        </w:trPr>
        <w:tc>
          <w:tcPr>
            <w:tcW w:w="6760" w:type="dxa"/>
            <w:vAlign w:val="bottom"/>
          </w:tcPr>
          <w:p>
            <w:pPr>
              <w:ind w:left="40"/>
              <w:spacing w:after="0"/>
              <w:rPr>
                <w:sz w:val="20"/>
                <w:szCs w:val="20"/>
                <w:color w:val="auto"/>
              </w:rPr>
            </w:pPr>
            <w:r>
              <w:rPr>
                <w:rFonts w:ascii="Arial" w:cs="Arial" w:eastAsia="Arial" w:hAnsi="Arial"/>
                <w:sz w:val="16"/>
                <w:szCs w:val="16"/>
                <w:color w:val="auto"/>
              </w:rPr>
              <w:t>Gross increase for tax positions of current year</w:t>
            </w:r>
          </w:p>
        </w:tc>
        <w:tc>
          <w:tcPr>
            <w:tcW w:w="960" w:type="dxa"/>
            <w:vAlign w:val="bottom"/>
          </w:tcPr>
          <w:p>
            <w:pPr>
              <w:spacing w:after="0"/>
              <w:rPr>
                <w:sz w:val="22"/>
                <w:szCs w:val="22"/>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659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418</w:t>
            </w:r>
          </w:p>
        </w:tc>
      </w:tr>
      <w:tr>
        <w:trPr>
          <w:trHeight w:val="273"/>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Lapse of statute of limitations</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40"/>
        </w:trPr>
        <w:tc>
          <w:tcPr>
            <w:tcW w:w="6760" w:type="dxa"/>
            <w:vAlign w:val="bottom"/>
          </w:tcPr>
          <w:p>
            <w:pPr>
              <w:ind w:left="380"/>
              <w:spacing w:after="0"/>
              <w:rPr>
                <w:sz w:val="20"/>
                <w:szCs w:val="20"/>
                <w:color w:val="auto"/>
              </w:rPr>
            </w:pPr>
            <w:r>
              <w:rPr>
                <w:rFonts w:ascii="Arial" w:cs="Arial" w:eastAsia="Arial" w:hAnsi="Arial"/>
                <w:sz w:val="16"/>
                <w:szCs w:val="16"/>
                <w:color w:val="auto"/>
              </w:rPr>
              <w:t>Total unrecognized tax benefits</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5,112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4,071</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3,506</w:t>
            </w:r>
          </w:p>
        </w:tc>
      </w:tr>
      <w:tr>
        <w:trPr>
          <w:trHeight w:val="20"/>
        </w:trPr>
        <w:tc>
          <w:tcPr>
            <w:tcW w:w="6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unrecognized tax benefits, if recognized, would impact the income tax provision by $2.8 million, $2.4 million and $2.1 million as of December 31, 2017, 2016 and 2015, respectively.</w:t>
      </w:r>
    </w:p>
    <w:p>
      <w:pPr>
        <w:spacing w:after="0" w:line="142"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The Company has elected to include interest and penalties as a component of income tax expense. The amounts were not material for 2017, 2016 </w:t>
      </w:r>
      <w:r>
        <w:rPr>
          <w:rFonts w:ascii="Arial" w:cs="Arial" w:eastAsia="Arial" w:hAnsi="Arial"/>
          <w:sz w:val="18"/>
          <w:szCs w:val="18"/>
          <w:color w:val="231F20"/>
        </w:rPr>
        <w:t>and</w:t>
      </w:r>
      <w:r>
        <w:rPr>
          <w:rFonts w:ascii="Arial" w:cs="Arial" w:eastAsia="Arial" w:hAnsi="Arial"/>
          <w:sz w:val="18"/>
          <w:szCs w:val="18"/>
          <w:color w:val="auto"/>
        </w:rPr>
        <w:t xml:space="preserve"> 2015.</w:t>
      </w:r>
    </w:p>
    <w:p>
      <w:pPr>
        <w:spacing w:after="0" w:line="14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files income tax returns in the United States, including various state jurisdictions. The Company’s subsidiaries file tax returns in various foreign jurisdictions. The tax years 2012 to 2017 remain open to examination by the major taxing jurisdictions in which the Company is subject to tax, with the exception of France which remains open to examination for the 2013 through 2017 tax years only. As of December 31, 2017, the Company was not under examination by the Internal Revenue Service or any foreign or state tax jurisdiction.</w:t>
      </w:r>
    </w:p>
    <w:p>
      <w:pPr>
        <w:spacing w:after="0" w:line="15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 retroactive and permanent reinstatement of the federal research and development tax credit was signed into law on December 18, 2015 in accordance with the Protecting Americans from Tax Hikes Act of 2015. The Company recorded a 2017 federal research and development credit of $1.3 million, net of reserves, in the fourth quarter of 2017. The California research and development credit estimated for 2017, net of reserves, is $1.3 million.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33"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Segment Information and Information about Geographic Area</w:t>
      </w:r>
    </w:p>
    <w:p>
      <w:pPr>
        <w:spacing w:after="0" w:line="26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center"/>
              <w:ind w:left="7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64"/>
        </w:trPr>
        <w:tc>
          <w:tcPr>
            <w:tcW w:w="6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6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80"/>
        </w:trPr>
        <w:tc>
          <w:tcPr>
            <w:tcW w:w="6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162,681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139,743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115,384</w:t>
            </w: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68,147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58,182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48,900</w:t>
            </w:r>
          </w:p>
        </w:tc>
      </w:tr>
      <w:tr>
        <w:trPr>
          <w:trHeight w:val="24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230,828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197,925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164,284</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9"/>
                <w:szCs w:val="19"/>
                <w:color w:val="auto"/>
              </w:rPr>
            </w:pPr>
          </w:p>
        </w:tc>
      </w:tr>
      <w:tr>
        <w:trPr>
          <w:trHeight w:val="264"/>
        </w:trPr>
        <w:tc>
          <w:tcPr>
            <w:tcW w:w="83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8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80"/>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50,785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30,733</w:t>
            </w:r>
          </w:p>
        </w:tc>
      </w:tr>
      <w:tr>
        <w:trPr>
          <w:trHeight w:val="264"/>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7,772</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8,668</w:t>
            </w:r>
          </w:p>
        </w:tc>
      </w:tr>
      <w:tr>
        <w:trPr>
          <w:trHeight w:val="24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58,557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39,401</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33"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NOTE 11.</w:t>
            </w:r>
          </w:p>
        </w:tc>
        <w:tc>
          <w:tcPr>
            <w:tcW w:w="5600" w:type="dxa"/>
            <w:vAlign w:val="bottom"/>
          </w:tcPr>
          <w:p>
            <w:pPr>
              <w:ind w:left="140"/>
              <w:spacing w:after="0"/>
              <w:rPr>
                <w:sz w:val="20"/>
                <w:szCs w:val="20"/>
                <w:color w:val="auto"/>
              </w:rPr>
            </w:pPr>
            <w:r>
              <w:rPr>
                <w:rFonts w:ascii="Arial" w:cs="Arial" w:eastAsia="Arial" w:hAnsi="Arial"/>
                <w:sz w:val="18"/>
                <w:szCs w:val="18"/>
                <w:b w:val="1"/>
                <w:bCs w:val="1"/>
                <w:color w:val="auto"/>
              </w:rPr>
              <w:t>Net Income Per Share</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760" w:type="dxa"/>
            <w:vAlign w:val="bottom"/>
            <w:gridSpan w:val="2"/>
          </w:tcPr>
          <w:p>
            <w:pPr>
              <w:ind w:left="420"/>
              <w:spacing w:after="0"/>
              <w:rPr>
                <w:sz w:val="20"/>
                <w:szCs w:val="20"/>
                <w:color w:val="auto"/>
              </w:rPr>
            </w:pPr>
            <w:r>
              <w:rPr>
                <w:rFonts w:ascii="Arial" w:cs="Arial" w:eastAsia="Arial" w:hAnsi="Arial"/>
                <w:sz w:val="18"/>
                <w:szCs w:val="18"/>
                <w:color w:val="231F20"/>
              </w:rPr>
              <w:t>The computations for basic and diluted net income per share are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73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47"/>
        </w:trPr>
        <w:tc>
          <w:tcPr>
            <w:tcW w:w="116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320" w:type="dxa"/>
            <w:vAlign w:val="bottom"/>
            <w:gridSpan w:val="7"/>
          </w:tcPr>
          <w:p>
            <w:pPr>
              <w:jc w:val="center"/>
              <w:ind w:right="239"/>
              <w:spacing w:after="0"/>
              <w:rPr>
                <w:sz w:val="20"/>
                <w:szCs w:val="20"/>
                <w:color w:val="auto"/>
              </w:rPr>
            </w:pPr>
            <w:r>
              <w:rPr>
                <w:rFonts w:ascii="Arial" w:cs="Arial" w:eastAsia="Arial" w:hAnsi="Arial"/>
                <w:sz w:val="16"/>
                <w:szCs w:val="16"/>
                <w:b w:val="1"/>
                <w:bCs w:val="1"/>
                <w:color w:val="auto"/>
              </w:rPr>
              <w:t>(in thousands, except per share data)</w:t>
            </w:r>
          </w:p>
        </w:tc>
        <w:tc>
          <w:tcPr>
            <w:tcW w:w="0" w:type="dxa"/>
            <w:vAlign w:val="bottom"/>
          </w:tcPr>
          <w:p>
            <w:pPr>
              <w:spacing w:after="0"/>
              <w:rPr>
                <w:sz w:val="1"/>
                <w:szCs w:val="1"/>
                <w:color w:val="auto"/>
              </w:rPr>
            </w:pPr>
          </w:p>
        </w:tc>
      </w:tr>
      <w:tr>
        <w:trPr>
          <w:trHeight w:val="280"/>
        </w:trPr>
        <w:tc>
          <w:tcPr>
            <w:tcW w:w="1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5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67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 - basic and diluted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40,440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19,224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15,865</w:t>
            </w:r>
          </w:p>
        </w:tc>
        <w:tc>
          <w:tcPr>
            <w:tcW w:w="0" w:type="dxa"/>
            <w:vAlign w:val="bottom"/>
          </w:tcPr>
          <w:p>
            <w:pPr>
              <w:spacing w:after="0"/>
              <w:rPr>
                <w:sz w:val="1"/>
                <w:szCs w:val="1"/>
                <w:color w:val="auto"/>
              </w:rPr>
            </w:pPr>
          </w:p>
        </w:tc>
      </w:tr>
      <w:tr>
        <w:trPr>
          <w:trHeight w:val="308"/>
        </w:trPr>
        <w:tc>
          <w:tcPr>
            <w:tcW w:w="116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160" w:type="dxa"/>
            <w:vAlign w:val="bottom"/>
          </w:tcPr>
          <w:p>
            <w:pPr>
              <w:ind w:left="40"/>
              <w:spacing w:after="0"/>
              <w:rPr>
                <w:sz w:val="20"/>
                <w:szCs w:val="20"/>
                <w:color w:val="auto"/>
              </w:rPr>
            </w:pPr>
            <w:r>
              <w:rPr>
                <w:rFonts w:ascii="Arial" w:cs="Arial" w:eastAsia="Arial" w:hAnsi="Arial"/>
                <w:sz w:val="16"/>
                <w:szCs w:val="16"/>
                <w:color w:val="auto"/>
              </w:rPr>
              <w:t>Denominator:</w:t>
            </w:r>
          </w:p>
        </w:tc>
        <w:tc>
          <w:tcPr>
            <w:tcW w:w="5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Weighted-average shares used in computing net income per share - basic</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35,247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34,050</w:t>
            </w:r>
          </w:p>
        </w:tc>
        <w:tc>
          <w:tcPr>
            <w:tcW w:w="0" w:type="dxa"/>
            <w:vAlign w:val="bottom"/>
          </w:tcPr>
          <w:p>
            <w:pPr>
              <w:spacing w:after="0"/>
              <w:rPr>
                <w:sz w:val="1"/>
                <w:szCs w:val="1"/>
                <w:color w:val="auto"/>
              </w:rPr>
            </w:pPr>
          </w:p>
        </w:tc>
      </w:tr>
      <w:tr>
        <w:trPr>
          <w:trHeight w:val="260"/>
        </w:trPr>
        <w:tc>
          <w:tcPr>
            <w:tcW w:w="6760" w:type="dxa"/>
            <w:vAlign w:val="bottom"/>
            <w:gridSpan w:val="2"/>
          </w:tcPr>
          <w:p>
            <w:pPr>
              <w:ind w:left="360"/>
              <w:spacing w:after="0"/>
              <w:rPr>
                <w:sz w:val="20"/>
                <w:szCs w:val="20"/>
                <w:color w:val="auto"/>
              </w:rPr>
            </w:pPr>
            <w:r>
              <w:rPr>
                <w:rFonts w:ascii="Arial" w:cs="Arial" w:eastAsia="Arial" w:hAnsi="Arial"/>
                <w:sz w:val="16"/>
                <w:szCs w:val="16"/>
                <w:color w:val="auto"/>
              </w:rPr>
              <w:t>Effect of potentially dilutive securities: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Common stock options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4,134</w:t>
            </w:r>
          </w:p>
        </w:tc>
        <w:tc>
          <w:tcPr>
            <w:tcW w:w="0" w:type="dxa"/>
            <w:vAlign w:val="bottom"/>
          </w:tcPr>
          <w:p>
            <w:pPr>
              <w:spacing w:after="0"/>
              <w:rPr>
                <w:sz w:val="1"/>
                <w:szCs w:val="1"/>
                <w:color w:val="auto"/>
              </w:rPr>
            </w:pPr>
          </w:p>
        </w:tc>
      </w:tr>
      <w:tr>
        <w:trPr>
          <w:trHeight w:val="264"/>
        </w:trPr>
        <w:tc>
          <w:tcPr>
            <w:tcW w:w="11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RSUs</w:t>
            </w:r>
          </w:p>
        </w:tc>
        <w:tc>
          <w:tcPr>
            <w:tcW w:w="56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7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Weighted-average shares used in computing net income per share - diluted</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40,071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38,369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38,184</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ind w:left="40"/>
              <w:spacing w:after="0"/>
              <w:rPr>
                <w:sz w:val="20"/>
                <w:szCs w:val="20"/>
                <w:color w:val="auto"/>
              </w:rPr>
            </w:pPr>
            <w:r>
              <w:rPr>
                <w:rFonts w:ascii="Arial" w:cs="Arial" w:eastAsia="Arial" w:hAnsi="Arial"/>
                <w:sz w:val="16"/>
                <w:szCs w:val="16"/>
                <w:color w:val="auto"/>
              </w:rPr>
              <w:t>Net income per share:</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6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56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60" w:type="dxa"/>
            <w:vAlign w:val="bottom"/>
          </w:tcPr>
          <w:p>
            <w:pPr>
              <w:ind w:left="360"/>
              <w:spacing w:after="0"/>
              <w:rPr>
                <w:sz w:val="20"/>
                <w:szCs w:val="20"/>
                <w:color w:val="auto"/>
              </w:rPr>
            </w:pPr>
            <w:r>
              <w:rPr>
                <w:rFonts w:ascii="Arial" w:cs="Arial" w:eastAsia="Arial" w:hAnsi="Arial"/>
                <w:sz w:val="16"/>
                <w:szCs w:val="16"/>
                <w:color w:val="auto"/>
              </w:rPr>
              <w:t>Diluted</w:t>
            </w:r>
          </w:p>
        </w:tc>
        <w:tc>
          <w:tcPr>
            <w:tcW w:w="560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152" w:lineRule="exact"/>
        <w:rPr>
          <w:sz w:val="20"/>
          <w:szCs w:val="20"/>
          <w:color w:val="auto"/>
        </w:rPr>
      </w:pPr>
    </w:p>
    <w:p>
      <w:pPr>
        <w:ind w:left="82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31750</wp:posOffset>
            </wp:positionV>
            <wp:extent cx="29584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19"/>
                <w:szCs w:val="19"/>
                <w:color w:val="auto"/>
              </w:rPr>
            </w:pPr>
          </w:p>
        </w:tc>
        <w:tc>
          <w:tcPr>
            <w:tcW w:w="1780" w:type="dxa"/>
            <w:vAlign w:val="bottom"/>
          </w:tcPr>
          <w:p>
            <w:pPr>
              <w:jc w:val="right"/>
              <w:ind w:right="759"/>
              <w:spacing w:after="0"/>
              <w:rPr>
                <w:sz w:val="20"/>
                <w:szCs w:val="20"/>
                <w:color w:val="auto"/>
              </w:rPr>
            </w:pPr>
            <w:r>
              <w:rPr>
                <w:rFonts w:ascii="Arial" w:cs="Arial" w:eastAsia="Arial" w:hAnsi="Arial"/>
                <w:sz w:val="16"/>
                <w:szCs w:val="16"/>
                <w:b w:val="1"/>
                <w:bCs w:val="1"/>
                <w:color w:val="auto"/>
              </w:rPr>
              <w:t>2016</w:t>
            </w:r>
          </w:p>
        </w:tc>
        <w:tc>
          <w:tcPr>
            <w:tcW w:w="13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47"/>
        </w:trPr>
        <w:tc>
          <w:tcPr>
            <w:tcW w:w="676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(in thousands)</w:t>
            </w:r>
          </w:p>
        </w:tc>
        <w:tc>
          <w:tcPr>
            <w:tcW w:w="1300" w:type="dxa"/>
            <w:vAlign w:val="bottom"/>
            <w:tcBorders>
              <w:top w:val="single" w:sz="8" w:color="auto"/>
            </w:tcBorders>
          </w:tcPr>
          <w:p>
            <w:pPr>
              <w:spacing w:after="0"/>
              <w:rPr>
                <w:sz w:val="21"/>
                <w:szCs w:val="21"/>
                <w:color w:val="auto"/>
              </w:rPr>
            </w:pPr>
          </w:p>
        </w:tc>
      </w:tr>
      <w:tr>
        <w:trPr>
          <w:trHeight w:val="280"/>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5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742</w:t>
            </w:r>
          </w:p>
        </w:tc>
        <w:tc>
          <w:tcPr>
            <w:tcW w:w="17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3,241</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1,582</w:t>
            </w:r>
          </w:p>
        </w:tc>
      </w:tr>
      <w:tr>
        <w:trPr>
          <w:trHeight w:val="251"/>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RSUs</w:t>
            </w: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71</w:t>
            </w:r>
          </w:p>
        </w:tc>
        <w:tc>
          <w:tcPr>
            <w:tcW w:w="1780" w:type="dxa"/>
            <w:vAlign w:val="bottom"/>
          </w:tcPr>
          <w:p>
            <w:pPr>
              <w:jc w:val="right"/>
              <w:ind w:right="299"/>
              <w:spacing w:after="0"/>
              <w:rPr>
                <w:sz w:val="20"/>
                <w:szCs w:val="20"/>
                <w:color w:val="auto"/>
              </w:rPr>
            </w:pPr>
            <w:r>
              <w:rPr>
                <w:rFonts w:ascii="Arial" w:cs="Arial" w:eastAsia="Arial" w:hAnsi="Arial"/>
                <w:sz w:val="16"/>
                <w:szCs w:val="16"/>
                <w:color w:val="auto"/>
              </w:rPr>
              <w:t>24</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33"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Selected Quarterly Financial Information (Unaudited)</w:t>
      </w:r>
    </w:p>
    <w:p>
      <w:pPr>
        <w:spacing w:after="0" w:line="261"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The following table shows a summary of the Company's quarterly financial information for each of the quarters in the two-year period ended December 31, 2017:</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center"/>
              <w:ind w:right="268"/>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75"/>
        </w:trPr>
        <w:tc>
          <w:tcPr>
            <w:tcW w:w="2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Mar. 31,</w:t>
            </w:r>
          </w:p>
        </w:tc>
        <w:tc>
          <w:tcPr>
            <w:tcW w:w="280" w:type="dxa"/>
            <w:vAlign w:val="bottom"/>
          </w:tcPr>
          <w:p>
            <w:pPr>
              <w:spacing w:after="0"/>
              <w:rPr>
                <w:sz w:val="15"/>
                <w:szCs w:val="15"/>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Jun. 30,</w:t>
            </w:r>
          </w:p>
        </w:tc>
        <w:tc>
          <w:tcPr>
            <w:tcW w:w="280" w:type="dxa"/>
            <w:vAlign w:val="bottom"/>
          </w:tcPr>
          <w:p>
            <w:pPr>
              <w:spacing w:after="0"/>
              <w:rPr>
                <w:sz w:val="15"/>
                <w:szCs w:val="15"/>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Sep. 30,</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Mar. 31,</w:t>
            </w:r>
          </w:p>
        </w:tc>
        <w:tc>
          <w:tcPr>
            <w:tcW w:w="260" w:type="dxa"/>
            <w:vAlign w:val="bottom"/>
          </w:tcPr>
          <w:p>
            <w:pPr>
              <w:spacing w:after="0"/>
              <w:rPr>
                <w:sz w:val="15"/>
                <w:szCs w:val="15"/>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Jun. 30,</w:t>
            </w:r>
          </w:p>
        </w:tc>
        <w:tc>
          <w:tcPr>
            <w:tcW w:w="260" w:type="dxa"/>
            <w:vAlign w:val="bottom"/>
          </w:tcPr>
          <w:p>
            <w:pPr>
              <w:spacing w:after="0"/>
              <w:rPr>
                <w:sz w:val="15"/>
                <w:szCs w:val="15"/>
                <w:color w:val="auto"/>
              </w:rPr>
            </w:pP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Sep. 30,</w:t>
            </w:r>
          </w:p>
        </w:tc>
        <w:tc>
          <w:tcPr>
            <w:tcW w:w="260" w:type="dxa"/>
            <w:vAlign w:val="bottom"/>
          </w:tcPr>
          <w:p>
            <w:pPr>
              <w:spacing w:after="0"/>
              <w:rPr>
                <w:sz w:val="15"/>
                <w:szCs w:val="15"/>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 31,</w:t>
            </w:r>
          </w:p>
        </w:tc>
      </w:tr>
      <w:tr>
        <w:trPr>
          <w:trHeight w:val="196"/>
        </w:trPr>
        <w:tc>
          <w:tcPr>
            <w:tcW w:w="2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1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Dec 31, 2016</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r>
      <w:tr>
        <w:trPr>
          <w:trHeight w:val="204"/>
        </w:trPr>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gridSpan w:val="3"/>
          </w:tcPr>
          <w:p>
            <w:pPr>
              <w:jc w:val="center"/>
              <w:ind w:right="268"/>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2"/>
        </w:trPr>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0" w:type="dxa"/>
            <w:vAlign w:val="bottom"/>
            <w:gridSpan w:val="6"/>
          </w:tcPr>
          <w:p>
            <w:pPr>
              <w:jc w:val="center"/>
              <w:ind w:left="508"/>
              <w:spacing w:after="0"/>
              <w:rPr>
                <w:sz w:val="20"/>
                <w:szCs w:val="20"/>
                <w:color w:val="auto"/>
              </w:rPr>
            </w:pPr>
            <w:r>
              <w:rPr>
                <w:rFonts w:ascii="Arial" w:cs="Arial" w:eastAsia="Arial" w:hAnsi="Arial"/>
                <w:sz w:val="14"/>
                <w:szCs w:val="14"/>
                <w:b w:val="1"/>
                <w:bCs w:val="1"/>
                <w:color w:val="auto"/>
              </w:rPr>
              <w:t>(in thousands, except per share data)</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46,248</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48,466</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50,987</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52,224</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53,121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55,302</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59,490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62,915</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Income from operations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7,597</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5,712</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7,987</w:t>
            </w:r>
          </w:p>
        </w:tc>
        <w:tc>
          <w:tcPr>
            <w:tcW w:w="30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8,811</w:t>
            </w:r>
          </w:p>
        </w:tc>
        <w:tc>
          <w:tcPr>
            <w:tcW w:w="24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7,656</w:t>
            </w: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9,009</w:t>
            </w: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10,849</w:t>
            </w: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9,729</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168</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453</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360</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671</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652</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7,765</w:t>
            </w:r>
          </w:p>
        </w:tc>
        <w:tc>
          <w:tcPr>
            <w:tcW w:w="28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5,752</w:t>
            </w: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8,217</w:t>
            </w:r>
          </w:p>
        </w:tc>
        <w:tc>
          <w:tcPr>
            <w:tcW w:w="30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8,695</w:t>
            </w:r>
          </w:p>
        </w:tc>
        <w:tc>
          <w:tcPr>
            <w:tcW w:w="24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8,109</w:t>
            </w: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9,369</w:t>
            </w: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11,520</w:t>
            </w:r>
          </w:p>
        </w:tc>
        <w:tc>
          <w:tcPr>
            <w:tcW w:w="2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10,381</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4,783</w:t>
            </w: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3,538</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4,996</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5,907</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21,930</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7,202</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8,452</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2,857</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Net income per share:</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24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Basic</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0.14</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0.10</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0.14</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0.17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0.60</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0.19</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0.22</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0.07</w:t>
            </w:r>
          </w:p>
        </w:tc>
      </w:tr>
      <w:tr>
        <w:trPr>
          <w:trHeight w:val="258"/>
        </w:trPr>
        <w:tc>
          <w:tcPr>
            <w:tcW w:w="2420" w:type="dxa"/>
            <w:vAlign w:val="bottom"/>
          </w:tcPr>
          <w:p>
            <w:pPr>
              <w:ind w:left="36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0.13</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0.09</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0.13</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0.15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0.56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0.18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0.21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0.07</w:t>
            </w: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33" w:right="23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65"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2017, our Chief Executive Officer and Chief Financial Officer concluded that, as of such date, our disclosure controls and procedures were effective at the reasonable assurance level.</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4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U.S. generally accepted accounting principles, or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our internal control over financial reporting as of December 31, 2017 based on the criteria established in the 2013 Internal Control - Integrated Framework issued by the Committee of Sponsoring Organizations of the Treadway Commission, or COSO. Based on our evaluation under the criteria set forth in the 2013 Internal Control - Integrated Framework issued by the COSO, our management concluded our internal control over financial reporting was effective as of December 31, 2017.</w:t>
      </w:r>
    </w:p>
    <w:p>
      <w:pPr>
        <w:spacing w:after="0" w:line="206"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The effectiveness of the Company's internal control over financial reporting as of December 31, 2017 has been audited by Grant Thornton LLP, an independent registered public accounting firm, as stated in its report, which is included in Item 8 of this Annual Report on Form 10-K.</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41" w:right="23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fourth quarter ended December 31, 2017 that has materially affected, or is reasonably likely to materially affect, our internal control over financial reporting.</w:t>
      </w:r>
    </w:p>
    <w:p>
      <w:pPr>
        <w:spacing w:after="0" w:line="200" w:lineRule="exact"/>
        <w:rPr>
          <w:sz w:val="20"/>
          <w:szCs w:val="20"/>
          <w:color w:val="auto"/>
        </w:rPr>
      </w:pPr>
    </w:p>
    <w:p>
      <w:pPr>
        <w:spacing w:after="0" w:line="25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41" w:right="23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231F20"/>
        </w:rPr>
        <w:t>PART III</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3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Executive Officers and Directors</w:t>
      </w:r>
    </w:p>
    <w:p>
      <w:pPr>
        <w:spacing w:after="0" w:line="247"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Except as set forth below, the information required by this item is incorporated by reference to our Proxy Statement for our 2018 Annual Meeting of Stockholders to be filed with the SEC within 120 days after the end of the fiscal year ended December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Codes of Business Conduct and Ethics</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financial officers. The code of business conduct and ethics is available on our website. We expect that, to the extent required by law, any amendments to the code, or any waivers of its requirements, will be disclosed on our website. We intend to disclose any waiver to the provisions of the code of business conduct and ethics that applies specifically to directors or executive officers by filing such information on a Current Report on Form 8-K with the SEC, to the extent such filing is required by the NASDAQ Stock Market's listing requirements; otherwise, we will disclose such waiver by posting such information on our website.</w:t>
      </w:r>
    </w:p>
    <w:p>
      <w:pPr>
        <w:spacing w:after="0" w:line="34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6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2018 Annual Meeting of Stockholders to be filed with the SEC within 120 days after the end of the fiscal year ended December 31, 2017.</w:t>
      </w:r>
    </w:p>
    <w:p>
      <w:pPr>
        <w:spacing w:after="0" w:line="336" w:lineRule="exact"/>
        <w:rPr>
          <w:sz w:val="20"/>
          <w:szCs w:val="20"/>
          <w:color w:val="auto"/>
        </w:rPr>
      </w:pPr>
    </w:p>
    <w:p>
      <w:pPr>
        <w:ind w:left="40" w:right="2480" w:firstLine="1040"/>
        <w:spacing w:after="0" w:line="271" w:lineRule="auto"/>
        <w:rPr>
          <w:sz w:val="20"/>
          <w:szCs w:val="20"/>
          <w:color w:val="auto"/>
        </w:rPr>
      </w:pPr>
      <w:r>
        <w:rPr>
          <w:rFonts w:ascii="Arial" w:cs="Arial" w:eastAsia="Arial" w:hAnsi="Arial"/>
          <w:sz w:val="18"/>
          <w:szCs w:val="18"/>
          <w:b w:val="1"/>
          <w:bCs w:val="1"/>
          <w:color w:val="auto"/>
        </w:rPr>
        <w:t>Security Ownership of Certain Beneficial Owners and Management and Related Stockholder Item 12.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information required by this item with respect to Item 403 of Regulation S-K regarding security ownership of certain beneficial owners and management is incorporated by reference to our Proxy Statement for our 2018 Annual Meeting of Stockholders to be filed with the SEC within 120 days after the end of the fiscal year ended December 31, 2017. For the information required by this item with respect to Item 201(d) of Regulation S-K regarding securities authorized for issuance under equity compensation plans, see “Item 5: Market for Registrant’s Common Equity, Related Stockholder Matters and Issuer Purchases of Equity Securities—Securities Authorized for Issuance under Equity Compensation Plans.”</w:t>
      </w:r>
    </w:p>
    <w:p>
      <w:pPr>
        <w:spacing w:after="0" w:line="34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6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2018 Annual Meeting of Stockholders to be filed with the SEC within 120 days after the end of the fiscal year ended December 31, 2017.</w:t>
      </w:r>
    </w:p>
    <w:p>
      <w:pPr>
        <w:spacing w:after="0" w:line="33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6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2018 Annual Meeting of Stockholders to be filed with the SEC within 120 days after the end of the fiscal year ended December 31, 2017.</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41" w:right="239" w:bottom="1440" w:gutter="0" w:footer="0" w:header="0"/>
        </w:sectPr>
      </w:pPr>
    </w:p>
    <w:bookmarkStart w:id="98" w:name="page99"/>
    <w:bookmarkEnd w:id="98"/>
    <w:p>
      <w:pPr>
        <w:spacing w:after="0" w:line="74"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231F20"/>
        </w:rPr>
        <w:t>PART IV</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261" w:lineRule="exact"/>
        <w:rPr>
          <w:sz w:val="20"/>
          <w:szCs w:val="20"/>
          <w:color w:val="auto"/>
        </w:rPr>
      </w:pPr>
    </w:p>
    <w:p>
      <w:pPr>
        <w:ind w:left="260" w:right="860"/>
        <w:spacing w:after="0" w:line="262" w:lineRule="auto"/>
        <w:rPr>
          <w:sz w:val="20"/>
          <w:szCs w:val="20"/>
          <w:color w:val="auto"/>
        </w:rPr>
      </w:pPr>
      <w:r>
        <w:rPr>
          <w:rFonts w:ascii="Arial" w:cs="Arial" w:eastAsia="Arial" w:hAnsi="Arial"/>
          <w:sz w:val="18"/>
          <w:szCs w:val="18"/>
          <w:color w:val="auto"/>
        </w:rPr>
        <w:t>(a)(1) Financial Statements - The financial statements filed as part of this Annual Report on Form 10-K are listed on the Index to Consolidated Financial Statements in Item 8.</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(a)(2) Financial Statement Schedules</w:t>
      </w:r>
    </w:p>
    <w:p>
      <w:pPr>
        <w:spacing w:after="0" w:line="200" w:lineRule="exact"/>
        <w:rPr>
          <w:sz w:val="20"/>
          <w:szCs w:val="20"/>
          <w:color w:val="auto"/>
        </w:rPr>
      </w:pPr>
    </w:p>
    <w:p>
      <w:pPr>
        <w:spacing w:after="0" w:line="21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231F20"/>
        </w:rPr>
        <w:t>SCHEDULE II</w:t>
      </w:r>
    </w:p>
    <w:p>
      <w:pPr>
        <w:spacing w:after="0" w:line="31"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231F20"/>
        </w:rPr>
        <w:t>SUPPLEMENTARY CONSOLIDATED FINANCIAL STATEMENT SCHEDULE</w:t>
      </w:r>
    </w:p>
    <w:p>
      <w:pPr>
        <w:spacing w:after="0" w:line="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231F20"/>
        </w:rPr>
        <w:t>VALUATION AND QUALIFYING ACCOUNTS</w:t>
      </w:r>
    </w:p>
    <w:p>
      <w:pPr>
        <w:spacing w:after="0" w:line="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(in thousands)</w:t>
      </w:r>
    </w:p>
    <w:p>
      <w:pPr>
        <w:spacing w:after="0" w:line="397" w:lineRule="exact"/>
        <w:rPr>
          <w:sz w:val="20"/>
          <w:szCs w:val="20"/>
          <w:color w:val="auto"/>
        </w:rPr>
      </w:pPr>
    </w:p>
    <w:tbl>
      <w:tblPr>
        <w:tblLayout w:type="fixed"/>
        <w:tblInd w:w="400" w:type="dxa"/>
        <w:tblCellMar>
          <w:top w:w="0" w:type="dxa"/>
          <w:left w:w="0" w:type="dxa"/>
          <w:bottom w:w="0" w:type="dxa"/>
          <w:right w:w="0" w:type="dxa"/>
        </w:tblCellMar>
      </w:tblPr>
      <w:tr>
        <w:trPr>
          <w:trHeight w:val="228"/>
        </w:trPr>
        <w:tc>
          <w:tcPr>
            <w:tcW w:w="3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Additions</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198"/>
        </w:trPr>
        <w:tc>
          <w:tcPr>
            <w:tcW w:w="3600" w:type="dxa"/>
            <w:vAlign w:val="bottom"/>
          </w:tcPr>
          <w:p>
            <w:pPr>
              <w:spacing w:after="0"/>
              <w:rPr>
                <w:sz w:val="17"/>
                <w:szCs w:val="17"/>
                <w:color w:val="auto"/>
              </w:rPr>
            </w:pP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rPr>
              <w:t>Balance at Beginning</w:t>
            </w:r>
          </w:p>
        </w:tc>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Charged to Costs and</w:t>
            </w:r>
          </w:p>
        </w:tc>
        <w:tc>
          <w:tcPr>
            <w:tcW w:w="30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Deductions and</w:t>
            </w:r>
          </w:p>
        </w:tc>
        <w:tc>
          <w:tcPr>
            <w:tcW w:w="160" w:type="dxa"/>
            <w:vAlign w:val="bottom"/>
          </w:tcPr>
          <w:p>
            <w:pPr>
              <w:spacing w:after="0"/>
              <w:rPr>
                <w:sz w:val="17"/>
                <w:szCs w:val="17"/>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b w:val="1"/>
                <w:bCs w:val="1"/>
                <w:color w:val="auto"/>
              </w:rPr>
              <w:t>Balance at End of</w:t>
            </w:r>
          </w:p>
        </w:tc>
      </w:tr>
      <w:tr>
        <w:trPr>
          <w:trHeight w:val="234"/>
        </w:trPr>
        <w:tc>
          <w:tcPr>
            <w:tcW w:w="3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gridSpan w:val="2"/>
          </w:tcPr>
          <w:p>
            <w:pPr>
              <w:ind w:left="240"/>
              <w:spacing w:after="0"/>
              <w:rPr>
                <w:sz w:val="20"/>
                <w:szCs w:val="20"/>
                <w:color w:val="auto"/>
              </w:rPr>
            </w:pPr>
            <w:r>
              <w:rPr>
                <w:rFonts w:ascii="Arial" w:cs="Arial" w:eastAsia="Arial" w:hAnsi="Arial"/>
                <w:sz w:val="16"/>
                <w:szCs w:val="16"/>
                <w:b w:val="1"/>
                <w:bCs w:val="1"/>
                <w:color w:val="auto"/>
              </w:rPr>
              <w:t>of Year</w:t>
            </w:r>
          </w:p>
        </w:tc>
        <w:tc>
          <w:tcPr>
            <w:tcW w:w="300" w:type="dxa"/>
            <w:vAlign w:val="bottom"/>
          </w:tcPr>
          <w:p>
            <w:pPr>
              <w:spacing w:after="0"/>
              <w:rPr>
                <w:sz w:val="20"/>
                <w:szCs w:val="20"/>
                <w:color w:val="auto"/>
              </w:rPr>
            </w:pPr>
          </w:p>
        </w:tc>
        <w:tc>
          <w:tcPr>
            <w:tcW w:w="1440" w:type="dxa"/>
            <w:vAlign w:val="bottom"/>
          </w:tcPr>
          <w:p>
            <w:pPr>
              <w:jc w:val="right"/>
              <w:ind w:right="419"/>
              <w:spacing w:after="0"/>
              <w:rPr>
                <w:sz w:val="20"/>
                <w:szCs w:val="20"/>
                <w:color w:val="auto"/>
              </w:rPr>
            </w:pPr>
            <w:r>
              <w:rPr>
                <w:rFonts w:ascii="Arial" w:cs="Arial" w:eastAsia="Arial" w:hAnsi="Arial"/>
                <w:sz w:val="16"/>
                <w:szCs w:val="16"/>
                <w:b w:val="1"/>
                <w:bCs w:val="1"/>
                <w:color w:val="auto"/>
              </w:rPr>
              <w:t>Expenses</w:t>
            </w:r>
          </w:p>
        </w:tc>
        <w:tc>
          <w:tcPr>
            <w:tcW w:w="300" w:type="dxa"/>
            <w:vAlign w:val="bottom"/>
          </w:tcPr>
          <w:p>
            <w:pPr>
              <w:spacing w:after="0"/>
              <w:rPr>
                <w:sz w:val="20"/>
                <w:szCs w:val="20"/>
                <w:color w:val="auto"/>
              </w:rPr>
            </w:pPr>
          </w:p>
        </w:tc>
        <w:tc>
          <w:tcPr>
            <w:tcW w:w="1660" w:type="dxa"/>
            <w:vAlign w:val="bottom"/>
            <w:gridSpan w:val="2"/>
          </w:tcPr>
          <w:p>
            <w:pPr>
              <w:jc w:val="center"/>
              <w:ind w:right="300"/>
              <w:spacing w:after="0" w:line="234" w:lineRule="exact"/>
              <w:rPr>
                <w:sz w:val="20"/>
                <w:szCs w:val="20"/>
                <w:color w:val="auto"/>
              </w:rPr>
            </w:pPr>
            <w:r>
              <w:rPr>
                <w:rFonts w:ascii="Arial" w:cs="Arial" w:eastAsia="Arial" w:hAnsi="Arial"/>
                <w:sz w:val="16"/>
                <w:szCs w:val="16"/>
                <w:b w:val="1"/>
                <w:bCs w:val="1"/>
                <w:color w:val="auto"/>
                <w:w w:val="93"/>
              </w:rPr>
              <w:t xml:space="preserve">Other </w:t>
            </w:r>
            <w:r>
              <w:rPr>
                <w:rFonts w:ascii="Arial" w:cs="Arial" w:eastAsia="Arial" w:hAnsi="Arial"/>
                <w:sz w:val="21"/>
                <w:szCs w:val="21"/>
                <w:b w:val="1"/>
                <w:bCs w:val="1"/>
                <w:color w:val="auto"/>
                <w:w w:val="93"/>
                <w:vertAlign w:val="superscript"/>
              </w:rPr>
              <w:t>(1)</w:t>
            </w:r>
          </w:p>
        </w:tc>
        <w:tc>
          <w:tcPr>
            <w:tcW w:w="160" w:type="dxa"/>
            <w:vAlign w:val="bottom"/>
          </w:tcPr>
          <w:p>
            <w:pPr>
              <w:spacing w:after="0"/>
              <w:rPr>
                <w:sz w:val="20"/>
                <w:szCs w:val="20"/>
                <w:color w:val="auto"/>
              </w:rPr>
            </w:pPr>
          </w:p>
        </w:tc>
        <w:tc>
          <w:tcPr>
            <w:tcW w:w="1580" w:type="dxa"/>
            <w:vAlign w:val="bottom"/>
          </w:tcPr>
          <w:p>
            <w:pPr>
              <w:jc w:val="right"/>
              <w:ind w:right="619"/>
              <w:spacing w:after="0"/>
              <w:rPr>
                <w:sz w:val="20"/>
                <w:szCs w:val="20"/>
                <w:color w:val="auto"/>
              </w:rPr>
            </w:pPr>
            <w:r>
              <w:rPr>
                <w:rFonts w:ascii="Arial" w:cs="Arial" w:eastAsia="Arial" w:hAnsi="Arial"/>
                <w:sz w:val="16"/>
                <w:szCs w:val="16"/>
                <w:b w:val="1"/>
                <w:bCs w:val="1"/>
                <w:color w:val="auto"/>
              </w:rPr>
              <w:t>Year</w:t>
            </w:r>
          </w:p>
        </w:tc>
      </w:tr>
      <w:tr>
        <w:trPr>
          <w:trHeight w:val="264"/>
        </w:trPr>
        <w:tc>
          <w:tcPr>
            <w:tcW w:w="3600" w:type="dxa"/>
            <w:vAlign w:val="bottom"/>
            <w:tcBorders>
              <w:top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Allowance for Doubtful Accounts</w:t>
            </w:r>
          </w:p>
        </w:tc>
        <w:tc>
          <w:tcPr>
            <w:tcW w:w="34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spacing w:after="0"/>
              <w:rPr>
                <w:sz w:val="22"/>
                <w:szCs w:val="22"/>
                <w:color w:val="auto"/>
              </w:rPr>
            </w:pPr>
          </w:p>
        </w:tc>
      </w:tr>
      <w:tr>
        <w:trPr>
          <w:trHeight w:val="260"/>
        </w:trPr>
        <w:tc>
          <w:tcPr>
            <w:tcW w:w="3600" w:type="dxa"/>
            <w:vAlign w:val="bottom"/>
          </w:tcPr>
          <w:p>
            <w:pPr>
              <w:jc w:val="right"/>
              <w:ind w:right="939"/>
              <w:spacing w:after="0"/>
              <w:rPr>
                <w:sz w:val="20"/>
                <w:szCs w:val="20"/>
                <w:color w:val="auto"/>
              </w:rPr>
            </w:pPr>
            <w:r>
              <w:rPr>
                <w:rFonts w:ascii="Arial" w:cs="Arial" w:eastAsia="Arial" w:hAnsi="Arial"/>
                <w:sz w:val="16"/>
                <w:szCs w:val="16"/>
                <w:color w:val="auto"/>
              </w:rPr>
              <w:t>Year Ended December 31, 2017</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657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816</w:t>
            </w:r>
          </w:p>
        </w:tc>
      </w:tr>
      <w:tr>
        <w:trPr>
          <w:trHeight w:val="280"/>
        </w:trPr>
        <w:tc>
          <w:tcPr>
            <w:tcW w:w="36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Year Ended December 31, 2016</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702</w:t>
            </w:r>
          </w:p>
        </w:tc>
      </w:tr>
      <w:tr>
        <w:trPr>
          <w:trHeight w:val="251"/>
        </w:trPr>
        <w:tc>
          <w:tcPr>
            <w:tcW w:w="3600" w:type="dxa"/>
            <w:vAlign w:val="bottom"/>
          </w:tcPr>
          <w:p>
            <w:pPr>
              <w:jc w:val="right"/>
              <w:ind w:right="939"/>
              <w:spacing w:after="0"/>
              <w:rPr>
                <w:sz w:val="20"/>
                <w:szCs w:val="20"/>
                <w:color w:val="auto"/>
              </w:rPr>
            </w:pPr>
            <w:r>
              <w:rPr>
                <w:rFonts w:ascii="Arial" w:cs="Arial" w:eastAsia="Arial" w:hAnsi="Arial"/>
                <w:sz w:val="16"/>
                <w:szCs w:val="16"/>
                <w:color w:val="auto"/>
              </w:rPr>
              <w:t>Year Ended December 31, 2015</w:t>
            </w: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851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769</w:t>
            </w:r>
          </w:p>
        </w:tc>
      </w:tr>
    </w:tbl>
    <w:p>
      <w:pPr>
        <w:spacing w:after="0" w:line="227" w:lineRule="exact"/>
        <w:rPr>
          <w:sz w:val="20"/>
          <w:szCs w:val="20"/>
          <w:color w:val="auto"/>
        </w:rPr>
      </w:pPr>
    </w:p>
    <w:p>
      <w:pPr>
        <w:ind w:left="420" w:hanging="169"/>
        <w:spacing w:after="0"/>
        <w:tabs>
          <w:tab w:leader="none" w:pos="420"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Primarily represents write-offs of uncollectible accounts, net of recoveries.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All other schedules have been omitted because they are not required, not applicable, or the required information is otherwise included.</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Exhibits</w:t>
      </w:r>
    </w:p>
    <w:p>
      <w:pPr>
        <w:sectPr>
          <w:pgSz w:w="11900" w:h="16912" w:orient="portrait"/>
          <w:cols w:equalWidth="0" w:num="1">
            <w:col w:w="11280"/>
          </w:cols>
          <w:pgMar w:left="240" w:top="14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980" w:type="dxa"/>
            <w:vAlign w:val="bottom"/>
          </w:tcPr>
          <w:p>
            <w:pPr>
              <w:jc w:val="center"/>
              <w:ind w:right="408"/>
              <w:spacing w:after="0"/>
              <w:rPr>
                <w:sz w:val="20"/>
                <w:szCs w:val="20"/>
                <w:color w:val="auto"/>
              </w:rPr>
            </w:pPr>
            <w:r>
              <w:rPr>
                <w:rFonts w:ascii="Arial" w:cs="Arial" w:eastAsia="Arial" w:hAnsi="Arial"/>
                <w:sz w:val="14"/>
                <w:szCs w:val="14"/>
                <w:color w:val="auto"/>
                <w:w w:val="99"/>
              </w:rPr>
              <w:t>Exhibit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980" w:type="dxa"/>
            <w:vAlign w:val="bottom"/>
          </w:tcPr>
          <w:p>
            <w:pPr>
              <w:jc w:val="center"/>
              <w:ind w:right="408"/>
              <w:spacing w:after="0"/>
              <w:rPr>
                <w:sz w:val="20"/>
                <w:szCs w:val="20"/>
                <w:color w:val="auto"/>
              </w:rPr>
            </w:pPr>
            <w:r>
              <w:rPr>
                <w:rFonts w:ascii="Arial" w:cs="Arial" w:eastAsia="Arial" w:hAnsi="Arial"/>
                <w:sz w:val="14"/>
                <w:szCs w:val="14"/>
                <w:color w:val="auto"/>
              </w:rPr>
              <w:t>Number</w:t>
            </w:r>
          </w:p>
        </w:tc>
        <w:tc>
          <w:tcPr>
            <w:tcW w:w="4140" w:type="dxa"/>
            <w:vAlign w:val="bottom"/>
            <w:gridSpan w:val="17"/>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309"/>
        </w:trPr>
        <w:tc>
          <w:tcPr>
            <w:tcW w:w="980" w:type="dxa"/>
            <w:vAlign w:val="bottom"/>
            <w:vMerge w:val="restart"/>
          </w:tcPr>
          <w:p>
            <w:pPr>
              <w:jc w:val="center"/>
              <w:ind w:right="388"/>
              <w:spacing w:after="0"/>
              <w:rPr>
                <w:sz w:val="20"/>
                <w:szCs w:val="20"/>
                <w:color w:val="auto"/>
              </w:rPr>
            </w:pPr>
            <w:r>
              <w:rPr>
                <w:rFonts w:ascii="Arial" w:cs="Arial" w:eastAsia="Arial" w:hAnsi="Arial"/>
                <w:sz w:val="14"/>
                <w:szCs w:val="14"/>
                <w:color w:val="auto"/>
              </w:rPr>
              <w:t>3.1</w:t>
            </w:r>
          </w:p>
        </w:tc>
        <w:tc>
          <w:tcPr>
            <w:tcW w:w="4140" w:type="dxa"/>
            <w:vAlign w:val="bottom"/>
            <w:gridSpan w:val="17"/>
          </w:tcPr>
          <w:p>
            <w:pPr>
              <w:spacing w:after="0"/>
              <w:rPr>
                <w:rFonts w:ascii="Arial" w:cs="Arial" w:eastAsia="Arial" w:hAnsi="Arial"/>
                <w:sz w:val="14"/>
                <w:szCs w:val="14"/>
                <w:color w:val="0000FF"/>
              </w:rPr>
            </w:pPr>
            <w:hyperlink r:id="rId14">
              <w:r>
                <w:rPr>
                  <w:rFonts w:ascii="Arial" w:cs="Arial" w:eastAsia="Arial" w:hAnsi="Arial"/>
                  <w:sz w:val="14"/>
                  <w:szCs w:val="14"/>
                  <w:color w:val="0000FF"/>
                </w:rPr>
                <w:t>Amended and Restated Certificate of Incorporation of Qualys,</w:t>
              </w:r>
            </w:hyperlink>
          </w:p>
        </w:tc>
        <w:tc>
          <w:tcPr>
            <w:tcW w:w="0" w:type="dxa"/>
            <w:vAlign w:val="bottom"/>
          </w:tcPr>
          <w:p>
            <w:pPr>
              <w:spacing w:after="0"/>
              <w:rPr>
                <w:sz w:val="1"/>
                <w:szCs w:val="1"/>
                <w:color w:val="auto"/>
              </w:rPr>
            </w:pPr>
          </w:p>
        </w:tc>
      </w:tr>
      <w:tr>
        <w:trPr>
          <w:trHeight w:val="90"/>
        </w:trPr>
        <w:tc>
          <w:tcPr>
            <w:tcW w:w="980" w:type="dxa"/>
            <w:vAlign w:val="bottom"/>
            <w:vMerge w:val="continue"/>
          </w:tcPr>
          <w:p>
            <w:pPr>
              <w:spacing w:after="0"/>
              <w:rPr>
                <w:sz w:val="7"/>
                <w:szCs w:val="7"/>
                <w:color w:val="auto"/>
              </w:rPr>
            </w:pPr>
          </w:p>
        </w:tc>
        <w:tc>
          <w:tcPr>
            <w:tcW w:w="3920" w:type="dxa"/>
            <w:vAlign w:val="bottom"/>
            <w:tcBorders>
              <w:top w:val="single" w:sz="8" w:color="0000FF"/>
            </w:tcBorders>
            <w:gridSpan w:val="13"/>
            <w:vMerge w:val="restart"/>
          </w:tcPr>
          <w:p>
            <w:pPr>
              <w:spacing w:after="0" w:line="142" w:lineRule="exact"/>
              <w:rPr>
                <w:rFonts w:ascii="Arial" w:cs="Arial" w:eastAsia="Arial" w:hAnsi="Arial"/>
                <w:sz w:val="14"/>
                <w:szCs w:val="14"/>
                <w:color w:val="0000FF"/>
              </w:rPr>
            </w:pPr>
            <w:hyperlink r:id="rId14">
              <w:r>
                <w:rPr>
                  <w:rFonts w:ascii="Arial" w:cs="Arial" w:eastAsia="Arial" w:hAnsi="Arial"/>
                  <w:sz w:val="14"/>
                  <w:szCs w:val="14"/>
                  <w:color w:val="0000FF"/>
                </w:rPr>
                <w:t>Inc.</w:t>
              </w:r>
            </w:hyperlink>
          </w:p>
        </w:tc>
        <w:tc>
          <w:tcPr>
            <w:tcW w:w="220" w:type="dxa"/>
            <w:vAlign w:val="bottom"/>
            <w:gridSpan w:val="4"/>
            <w:vMerge w:val="restart"/>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980" w:type="dxa"/>
            <w:vAlign w:val="bottom"/>
          </w:tcPr>
          <w:p>
            <w:pPr>
              <w:spacing w:after="0"/>
              <w:rPr>
                <w:sz w:val="4"/>
                <w:szCs w:val="4"/>
                <w:color w:val="auto"/>
              </w:rPr>
            </w:pPr>
          </w:p>
        </w:tc>
        <w:tc>
          <w:tcPr>
            <w:tcW w:w="3920" w:type="dxa"/>
            <w:vAlign w:val="bottom"/>
            <w:gridSpan w:val="13"/>
            <w:vMerge w:val="continue"/>
          </w:tcPr>
          <w:p>
            <w:pPr>
              <w:spacing w:after="0"/>
              <w:rPr>
                <w:sz w:val="4"/>
                <w:szCs w:val="4"/>
                <w:color w:val="auto"/>
              </w:rPr>
            </w:pPr>
          </w:p>
        </w:tc>
        <w:tc>
          <w:tcPr>
            <w:tcW w:w="2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tcPr>
          <w:p>
            <w:pPr>
              <w:jc w:val="center"/>
              <w:ind w:right="388"/>
              <w:spacing w:after="0"/>
              <w:rPr>
                <w:sz w:val="20"/>
                <w:szCs w:val="20"/>
                <w:color w:val="auto"/>
              </w:rPr>
            </w:pPr>
            <w:r>
              <w:rPr>
                <w:rFonts w:ascii="Arial" w:cs="Arial" w:eastAsia="Arial" w:hAnsi="Arial"/>
                <w:sz w:val="14"/>
                <w:szCs w:val="14"/>
                <w:color w:val="auto"/>
              </w:rPr>
              <w:t>3.2</w:t>
            </w:r>
          </w:p>
        </w:tc>
        <w:tc>
          <w:tcPr>
            <w:tcW w:w="4140" w:type="dxa"/>
            <w:vAlign w:val="bottom"/>
            <w:gridSpan w:val="17"/>
          </w:tcPr>
          <w:p>
            <w:pPr>
              <w:spacing w:after="0"/>
              <w:rPr>
                <w:rFonts w:ascii="Arial" w:cs="Arial" w:eastAsia="Arial" w:hAnsi="Arial"/>
                <w:sz w:val="14"/>
                <w:szCs w:val="14"/>
                <w:color w:val="0000FF"/>
              </w:rPr>
            </w:pPr>
            <w:hyperlink r:id="rId15">
              <w:r>
                <w:rPr>
                  <w:rFonts w:ascii="Arial" w:cs="Arial" w:eastAsia="Arial" w:hAnsi="Arial"/>
                  <w:sz w:val="14"/>
                  <w:szCs w:val="14"/>
                  <w:color w:val="0000FF"/>
                </w:rPr>
                <w:t>Amended and Restated Bylaws of Qualys, Inc.</w:t>
              </w:r>
            </w:hyperlink>
          </w:p>
        </w:tc>
        <w:tc>
          <w:tcPr>
            <w:tcW w:w="0" w:type="dxa"/>
            <w:vAlign w:val="bottom"/>
          </w:tcPr>
          <w:p>
            <w:pPr>
              <w:spacing w:after="0"/>
              <w:rPr>
                <w:sz w:val="1"/>
                <w:szCs w:val="1"/>
                <w:color w:val="auto"/>
              </w:rPr>
            </w:pPr>
          </w:p>
        </w:tc>
      </w:tr>
      <w:tr>
        <w:trPr>
          <w:trHeight w:val="520"/>
        </w:trPr>
        <w:tc>
          <w:tcPr>
            <w:tcW w:w="980" w:type="dxa"/>
            <w:vAlign w:val="bottom"/>
          </w:tcPr>
          <w:p>
            <w:pPr>
              <w:jc w:val="center"/>
              <w:ind w:right="388"/>
              <w:spacing w:after="0"/>
              <w:rPr>
                <w:sz w:val="20"/>
                <w:szCs w:val="20"/>
                <w:color w:val="auto"/>
              </w:rPr>
            </w:pPr>
            <w:r>
              <w:rPr>
                <w:rFonts w:ascii="Arial" w:cs="Arial" w:eastAsia="Arial" w:hAnsi="Arial"/>
                <w:sz w:val="14"/>
                <w:szCs w:val="14"/>
                <w:color w:val="auto"/>
              </w:rPr>
              <w:t>4.1</w:t>
            </w:r>
          </w:p>
        </w:tc>
        <w:tc>
          <w:tcPr>
            <w:tcW w:w="2160" w:type="dxa"/>
            <w:vAlign w:val="bottom"/>
            <w:tcBorders>
              <w:top w:val="single" w:sz="8" w:color="0000FF"/>
              <w:bottom w:val="single" w:sz="8" w:color="0000FF"/>
            </w:tcBorders>
            <w:gridSpan w:val="7"/>
          </w:tcPr>
          <w:p>
            <w:pPr>
              <w:spacing w:after="0"/>
              <w:rPr>
                <w:rFonts w:ascii="Arial" w:cs="Arial" w:eastAsia="Arial" w:hAnsi="Arial"/>
                <w:sz w:val="14"/>
                <w:szCs w:val="14"/>
                <w:color w:val="0000FF"/>
              </w:rPr>
            </w:pPr>
            <w:hyperlink r:id="rId16">
              <w:r>
                <w:rPr>
                  <w:rFonts w:ascii="Arial" w:cs="Arial" w:eastAsia="Arial" w:hAnsi="Arial"/>
                  <w:sz w:val="14"/>
                  <w:szCs w:val="14"/>
                  <w:color w:val="0000FF"/>
                </w:rPr>
                <w:t>Form of common stock certificate.</w:t>
              </w:r>
            </w:hyperlink>
          </w:p>
        </w:tc>
        <w:tc>
          <w:tcPr>
            <w:tcW w:w="800" w:type="dxa"/>
            <w:vAlign w:val="bottom"/>
            <w:tcBorders>
              <w:top w:val="single" w:sz="8" w:color="0000FF"/>
            </w:tcBorders>
            <w:gridSpan w:val="2"/>
          </w:tcPr>
          <w:p>
            <w:pPr>
              <w:spacing w:after="0"/>
              <w:rPr>
                <w:sz w:val="24"/>
                <w:szCs w:val="24"/>
                <w:color w:val="auto"/>
              </w:rPr>
            </w:pPr>
          </w:p>
        </w:tc>
        <w:tc>
          <w:tcPr>
            <w:tcW w:w="1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980" w:type="dxa"/>
            <w:vAlign w:val="bottom"/>
            <w:vMerge w:val="restart"/>
          </w:tcPr>
          <w:p>
            <w:pPr>
              <w:jc w:val="center"/>
              <w:ind w:right="408"/>
              <w:spacing w:after="0"/>
              <w:rPr>
                <w:sz w:val="20"/>
                <w:szCs w:val="20"/>
                <w:color w:val="auto"/>
              </w:rPr>
            </w:pPr>
            <w:r>
              <w:rPr>
                <w:rFonts w:ascii="Arial" w:cs="Arial" w:eastAsia="Arial" w:hAnsi="Arial"/>
                <w:sz w:val="14"/>
                <w:szCs w:val="14"/>
                <w:color w:val="auto"/>
              </w:rPr>
              <w:t>10.1*</w:t>
            </w:r>
          </w:p>
        </w:tc>
        <w:tc>
          <w:tcPr>
            <w:tcW w:w="4000" w:type="dxa"/>
            <w:vAlign w:val="bottom"/>
            <w:tcBorders>
              <w:bottom w:val="single" w:sz="8" w:color="0000FF"/>
            </w:tcBorders>
            <w:gridSpan w:val="14"/>
          </w:tcPr>
          <w:p>
            <w:pPr>
              <w:spacing w:after="0"/>
              <w:rPr>
                <w:rFonts w:ascii="Arial" w:cs="Arial" w:eastAsia="Arial" w:hAnsi="Arial"/>
                <w:sz w:val="14"/>
                <w:szCs w:val="14"/>
                <w:color w:val="0000FF"/>
              </w:rPr>
            </w:pPr>
            <w:hyperlink r:id="rId17">
              <w:r>
                <w:rPr>
                  <w:rFonts w:ascii="Arial" w:cs="Arial" w:eastAsia="Arial" w:hAnsi="Arial"/>
                  <w:sz w:val="14"/>
                  <w:szCs w:val="14"/>
                  <w:color w:val="0000FF"/>
                </w:rPr>
                <w:t>2000 Equity Incentive Plan, as amended, and the form of stock</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980" w:type="dxa"/>
            <w:vAlign w:val="bottom"/>
            <w:vMerge w:val="continue"/>
          </w:tcPr>
          <w:p>
            <w:pPr>
              <w:spacing w:after="0"/>
              <w:rPr>
                <w:sz w:val="7"/>
                <w:szCs w:val="7"/>
                <w:color w:val="auto"/>
              </w:rPr>
            </w:pPr>
          </w:p>
        </w:tc>
        <w:tc>
          <w:tcPr>
            <w:tcW w:w="4140" w:type="dxa"/>
            <w:vAlign w:val="bottom"/>
            <w:gridSpan w:val="17"/>
            <w:vMerge w:val="restart"/>
          </w:tcPr>
          <w:p>
            <w:pPr>
              <w:spacing w:after="0" w:line="142" w:lineRule="exact"/>
              <w:rPr>
                <w:rFonts w:ascii="Arial" w:cs="Arial" w:eastAsia="Arial" w:hAnsi="Arial"/>
                <w:sz w:val="14"/>
                <w:szCs w:val="14"/>
                <w:color w:val="0000FF"/>
              </w:rPr>
            </w:pPr>
            <w:hyperlink r:id="rId17">
              <w:r>
                <w:rPr>
                  <w:rFonts w:ascii="Arial" w:cs="Arial" w:eastAsia="Arial" w:hAnsi="Arial"/>
                  <w:sz w:val="14"/>
                  <w:szCs w:val="14"/>
                  <w:color w:val="0000FF"/>
                </w:rPr>
                <w:t>option agreement thereunder.</w:t>
              </w:r>
            </w:hyperlink>
          </w:p>
        </w:tc>
        <w:tc>
          <w:tcPr>
            <w:tcW w:w="0" w:type="dxa"/>
            <w:vAlign w:val="bottom"/>
          </w:tcPr>
          <w:p>
            <w:pPr>
              <w:spacing w:after="0"/>
              <w:rPr>
                <w:sz w:val="1"/>
                <w:szCs w:val="1"/>
                <w:color w:val="auto"/>
              </w:rPr>
            </w:pPr>
          </w:p>
        </w:tc>
      </w:tr>
      <w:tr>
        <w:trPr>
          <w:trHeight w:val="53"/>
        </w:trPr>
        <w:tc>
          <w:tcPr>
            <w:tcW w:w="980" w:type="dxa"/>
            <w:vAlign w:val="bottom"/>
          </w:tcPr>
          <w:p>
            <w:pPr>
              <w:spacing w:after="0"/>
              <w:rPr>
                <w:sz w:val="4"/>
                <w:szCs w:val="4"/>
                <w:color w:val="auto"/>
              </w:rPr>
            </w:pPr>
          </w:p>
        </w:tc>
        <w:tc>
          <w:tcPr>
            <w:tcW w:w="4140" w:type="dxa"/>
            <w:vAlign w:val="bottom"/>
            <w:gridSpan w:val="1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tcPr>
          <w:p>
            <w:pPr>
              <w:jc w:val="center"/>
              <w:ind w:right="408"/>
              <w:spacing w:after="0"/>
              <w:rPr>
                <w:sz w:val="20"/>
                <w:szCs w:val="20"/>
                <w:color w:val="auto"/>
              </w:rPr>
            </w:pPr>
            <w:r>
              <w:rPr>
                <w:rFonts w:ascii="Arial" w:cs="Arial" w:eastAsia="Arial" w:hAnsi="Arial"/>
                <w:sz w:val="14"/>
                <w:szCs w:val="14"/>
                <w:color w:val="auto"/>
              </w:rPr>
              <w:t>10.2*</w:t>
            </w:r>
          </w:p>
        </w:tc>
        <w:tc>
          <w:tcPr>
            <w:tcW w:w="4140" w:type="dxa"/>
            <w:vAlign w:val="bottom"/>
            <w:gridSpan w:val="17"/>
          </w:tcPr>
          <w:p>
            <w:pPr>
              <w:spacing w:after="0"/>
              <w:rPr>
                <w:rFonts w:ascii="Arial" w:cs="Arial" w:eastAsia="Arial" w:hAnsi="Arial"/>
                <w:sz w:val="14"/>
                <w:szCs w:val="14"/>
                <w:color w:val="0000FF"/>
              </w:rPr>
            </w:pPr>
            <w:hyperlink r:id="rId18">
              <w:r>
                <w:rPr>
                  <w:rFonts w:ascii="Arial" w:cs="Arial" w:eastAsia="Arial" w:hAnsi="Arial"/>
                  <w:sz w:val="14"/>
                  <w:szCs w:val="14"/>
                  <w:color w:val="0000FF"/>
                </w:rPr>
                <w:t>2012 Equity Incentive Plan and forms of agreements thereunder.</w:t>
              </w:r>
            </w:hyperlink>
          </w:p>
        </w:tc>
        <w:tc>
          <w:tcPr>
            <w:tcW w:w="0" w:type="dxa"/>
            <w:vAlign w:val="bottom"/>
          </w:tcPr>
          <w:p>
            <w:pPr>
              <w:spacing w:after="0"/>
              <w:rPr>
                <w:sz w:val="1"/>
                <w:szCs w:val="1"/>
                <w:color w:val="auto"/>
              </w:rPr>
            </w:pPr>
          </w:p>
        </w:tc>
      </w:tr>
      <w:tr>
        <w:trPr>
          <w:trHeight w:val="493"/>
        </w:trPr>
        <w:tc>
          <w:tcPr>
            <w:tcW w:w="980" w:type="dxa"/>
            <w:vAlign w:val="bottom"/>
            <w:vMerge w:val="restart"/>
          </w:tcPr>
          <w:p>
            <w:pPr>
              <w:jc w:val="center"/>
              <w:ind w:right="408"/>
              <w:spacing w:after="0"/>
              <w:rPr>
                <w:sz w:val="20"/>
                <w:szCs w:val="20"/>
                <w:color w:val="auto"/>
              </w:rPr>
            </w:pPr>
            <w:r>
              <w:rPr>
                <w:rFonts w:ascii="Arial" w:cs="Arial" w:eastAsia="Arial" w:hAnsi="Arial"/>
                <w:sz w:val="14"/>
                <w:szCs w:val="14"/>
                <w:color w:val="auto"/>
              </w:rPr>
              <w:t>10.3*</w:t>
            </w:r>
          </w:p>
        </w:tc>
        <w:tc>
          <w:tcPr>
            <w:tcW w:w="4080" w:type="dxa"/>
            <w:vAlign w:val="bottom"/>
            <w:tcBorders>
              <w:top w:val="single" w:sz="8" w:color="0000FF"/>
              <w:bottom w:val="single" w:sz="8" w:color="0000FF"/>
            </w:tcBorders>
            <w:gridSpan w:val="15"/>
          </w:tcPr>
          <w:p>
            <w:pPr>
              <w:spacing w:after="0"/>
              <w:rPr>
                <w:rFonts w:ascii="Arial" w:cs="Arial" w:eastAsia="Arial" w:hAnsi="Arial"/>
                <w:sz w:val="14"/>
                <w:szCs w:val="14"/>
                <w:color w:val="0000FF"/>
              </w:rPr>
            </w:pPr>
            <w:hyperlink r:id="rId19">
              <w:r>
                <w:rPr>
                  <w:rFonts w:ascii="Arial" w:cs="Arial" w:eastAsia="Arial" w:hAnsi="Arial"/>
                  <w:sz w:val="14"/>
                  <w:szCs w:val="14"/>
                  <w:color w:val="0000FF"/>
                </w:rPr>
                <w:t>Offer Letter, between Qualys, Inc. and Philippe F. Courtot, dated</w:t>
              </w:r>
            </w:hyperlink>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980" w:type="dxa"/>
            <w:vAlign w:val="bottom"/>
            <w:vMerge w:val="continue"/>
          </w:tcPr>
          <w:p>
            <w:pPr>
              <w:spacing w:after="0"/>
              <w:rPr>
                <w:sz w:val="7"/>
                <w:szCs w:val="7"/>
                <w:color w:val="auto"/>
              </w:rPr>
            </w:pPr>
          </w:p>
        </w:tc>
        <w:tc>
          <w:tcPr>
            <w:tcW w:w="1220" w:type="dxa"/>
            <w:vAlign w:val="bottom"/>
            <w:gridSpan w:val="4"/>
            <w:vMerge w:val="restart"/>
          </w:tcPr>
          <w:p>
            <w:pPr>
              <w:spacing w:after="0" w:line="142" w:lineRule="exact"/>
              <w:rPr>
                <w:rFonts w:ascii="Arial" w:cs="Arial" w:eastAsia="Arial" w:hAnsi="Arial"/>
                <w:sz w:val="14"/>
                <w:szCs w:val="14"/>
                <w:color w:val="0000FF"/>
              </w:rPr>
            </w:pPr>
            <w:hyperlink r:id="rId19">
              <w:r>
                <w:rPr>
                  <w:rFonts w:ascii="Arial" w:cs="Arial" w:eastAsia="Arial" w:hAnsi="Arial"/>
                  <w:sz w:val="14"/>
                  <w:szCs w:val="14"/>
                  <w:color w:val="0000FF"/>
                </w:rPr>
                <w:t>December 7, 2000.</w:t>
              </w:r>
            </w:hyperlink>
          </w:p>
        </w:tc>
        <w:tc>
          <w:tcPr>
            <w:tcW w:w="2920" w:type="dxa"/>
            <w:vAlign w:val="bottom"/>
            <w:gridSpan w:val="13"/>
            <w:vMerge w:val="restart"/>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980" w:type="dxa"/>
            <w:vAlign w:val="bottom"/>
          </w:tcPr>
          <w:p>
            <w:pPr>
              <w:spacing w:after="0"/>
              <w:rPr>
                <w:sz w:val="4"/>
                <w:szCs w:val="4"/>
                <w:color w:val="auto"/>
              </w:rPr>
            </w:pPr>
          </w:p>
        </w:tc>
        <w:tc>
          <w:tcPr>
            <w:tcW w:w="1220" w:type="dxa"/>
            <w:vAlign w:val="bottom"/>
            <w:tcBorders>
              <w:bottom w:val="single" w:sz="8" w:color="0000FF"/>
            </w:tcBorders>
            <w:gridSpan w:val="4"/>
            <w:vMerge w:val="continue"/>
          </w:tcPr>
          <w:p>
            <w:pPr>
              <w:spacing w:after="0"/>
              <w:rPr>
                <w:sz w:val="4"/>
                <w:szCs w:val="4"/>
                <w:color w:val="auto"/>
              </w:rPr>
            </w:pPr>
          </w:p>
        </w:tc>
        <w:tc>
          <w:tcPr>
            <w:tcW w:w="292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980" w:type="dxa"/>
            <w:vAlign w:val="bottom"/>
            <w:vMerge w:val="restart"/>
          </w:tcPr>
          <w:p>
            <w:pPr>
              <w:jc w:val="center"/>
              <w:ind w:right="408"/>
              <w:spacing w:after="0"/>
              <w:rPr>
                <w:sz w:val="20"/>
                <w:szCs w:val="20"/>
                <w:color w:val="auto"/>
              </w:rPr>
            </w:pPr>
            <w:r>
              <w:rPr>
                <w:rFonts w:ascii="Arial" w:cs="Arial" w:eastAsia="Arial" w:hAnsi="Arial"/>
                <w:sz w:val="14"/>
                <w:szCs w:val="14"/>
                <w:color w:val="auto"/>
              </w:rPr>
              <w:t>10.4*</w:t>
            </w:r>
          </w:p>
        </w:tc>
        <w:tc>
          <w:tcPr>
            <w:tcW w:w="4140" w:type="dxa"/>
            <w:vAlign w:val="bottom"/>
            <w:gridSpan w:val="17"/>
          </w:tcPr>
          <w:p>
            <w:pPr>
              <w:spacing w:after="0"/>
              <w:rPr>
                <w:rFonts w:ascii="Arial" w:cs="Arial" w:eastAsia="Arial" w:hAnsi="Arial"/>
                <w:sz w:val="14"/>
                <w:szCs w:val="14"/>
                <w:color w:val="0000FF"/>
              </w:rPr>
            </w:pPr>
            <w:hyperlink r:id="rId20">
              <w:r>
                <w:rPr>
                  <w:rFonts w:ascii="Arial" w:cs="Arial" w:eastAsia="Arial" w:hAnsi="Arial"/>
                  <w:sz w:val="14"/>
                  <w:szCs w:val="14"/>
                  <w:color w:val="0000FF"/>
                </w:rPr>
                <w:t>Offer Letter, between Qualys, Inc. and Amer S. Deeba, dated</w:t>
              </w:r>
            </w:hyperlink>
          </w:p>
        </w:tc>
        <w:tc>
          <w:tcPr>
            <w:tcW w:w="0" w:type="dxa"/>
            <w:vAlign w:val="bottom"/>
          </w:tcPr>
          <w:p>
            <w:pPr>
              <w:spacing w:after="0"/>
              <w:rPr>
                <w:sz w:val="1"/>
                <w:szCs w:val="1"/>
                <w:color w:val="auto"/>
              </w:rPr>
            </w:pPr>
          </w:p>
        </w:tc>
      </w:tr>
      <w:tr>
        <w:trPr>
          <w:trHeight w:val="90"/>
        </w:trPr>
        <w:tc>
          <w:tcPr>
            <w:tcW w:w="980" w:type="dxa"/>
            <w:vAlign w:val="bottom"/>
            <w:vMerge w:val="continue"/>
          </w:tcPr>
          <w:p>
            <w:pPr>
              <w:spacing w:after="0"/>
              <w:rPr>
                <w:sz w:val="7"/>
                <w:szCs w:val="7"/>
                <w:color w:val="auto"/>
              </w:rPr>
            </w:pPr>
          </w:p>
        </w:tc>
        <w:tc>
          <w:tcPr>
            <w:tcW w:w="1260" w:type="dxa"/>
            <w:vAlign w:val="bottom"/>
            <w:tcBorders>
              <w:top w:val="single" w:sz="8" w:color="0000FF"/>
            </w:tcBorders>
            <w:gridSpan w:val="5"/>
            <w:vMerge w:val="restart"/>
          </w:tcPr>
          <w:p>
            <w:pPr>
              <w:spacing w:after="0" w:line="142" w:lineRule="exact"/>
              <w:rPr>
                <w:rFonts w:ascii="Arial" w:cs="Arial" w:eastAsia="Arial" w:hAnsi="Arial"/>
                <w:sz w:val="14"/>
                <w:szCs w:val="14"/>
                <w:color w:val="0000FF"/>
              </w:rPr>
            </w:pPr>
            <w:hyperlink r:id="rId20">
              <w:r>
                <w:rPr>
                  <w:rFonts w:ascii="Arial" w:cs="Arial" w:eastAsia="Arial" w:hAnsi="Arial"/>
                  <w:sz w:val="14"/>
                  <w:szCs w:val="14"/>
                  <w:color w:val="0000FF"/>
                </w:rPr>
                <w:t>September 4, 2001.</w:t>
              </w:r>
            </w:hyperlink>
          </w:p>
        </w:tc>
        <w:tc>
          <w:tcPr>
            <w:tcW w:w="2620" w:type="dxa"/>
            <w:vAlign w:val="bottom"/>
            <w:tcBorders>
              <w:top w:val="single" w:sz="8" w:color="0000FF"/>
            </w:tcBorders>
            <w:gridSpan w:val="7"/>
            <w:vMerge w:val="restart"/>
          </w:tcPr>
          <w:p>
            <w:pPr>
              <w:spacing w:after="0"/>
              <w:rPr>
                <w:sz w:val="7"/>
                <w:szCs w:val="7"/>
                <w:color w:val="auto"/>
              </w:rPr>
            </w:pPr>
          </w:p>
        </w:tc>
        <w:tc>
          <w:tcPr>
            <w:tcW w:w="260" w:type="dxa"/>
            <w:vAlign w:val="bottom"/>
            <w:gridSpan w:val="5"/>
            <w:vMerge w:val="restart"/>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980" w:type="dxa"/>
            <w:vAlign w:val="bottom"/>
          </w:tcPr>
          <w:p>
            <w:pPr>
              <w:spacing w:after="0"/>
              <w:rPr>
                <w:sz w:val="4"/>
                <w:szCs w:val="4"/>
                <w:color w:val="auto"/>
              </w:rPr>
            </w:pPr>
          </w:p>
        </w:tc>
        <w:tc>
          <w:tcPr>
            <w:tcW w:w="1260" w:type="dxa"/>
            <w:vAlign w:val="bottom"/>
            <w:tcBorders>
              <w:bottom w:val="single" w:sz="8" w:color="0000FF"/>
            </w:tcBorders>
            <w:gridSpan w:val="5"/>
            <w:vMerge w:val="continue"/>
          </w:tcPr>
          <w:p>
            <w:pPr>
              <w:spacing w:after="0"/>
              <w:rPr>
                <w:sz w:val="4"/>
                <w:szCs w:val="4"/>
                <w:color w:val="auto"/>
              </w:rPr>
            </w:pPr>
          </w:p>
        </w:tc>
        <w:tc>
          <w:tcPr>
            <w:tcW w:w="2620" w:type="dxa"/>
            <w:vAlign w:val="bottom"/>
            <w:gridSpan w:val="7"/>
            <w:vMerge w:val="continue"/>
          </w:tcPr>
          <w:p>
            <w:pPr>
              <w:spacing w:after="0"/>
              <w:rPr>
                <w:sz w:val="4"/>
                <w:szCs w:val="4"/>
                <w:color w:val="auto"/>
              </w:rPr>
            </w:pPr>
          </w:p>
        </w:tc>
        <w:tc>
          <w:tcPr>
            <w:tcW w:w="2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980" w:type="dxa"/>
            <w:vAlign w:val="bottom"/>
            <w:vMerge w:val="restart"/>
          </w:tcPr>
          <w:p>
            <w:pPr>
              <w:jc w:val="center"/>
              <w:ind w:right="408"/>
              <w:spacing w:after="0"/>
              <w:rPr>
                <w:sz w:val="20"/>
                <w:szCs w:val="20"/>
                <w:color w:val="auto"/>
              </w:rPr>
            </w:pPr>
            <w:r>
              <w:rPr>
                <w:rFonts w:ascii="Arial" w:cs="Arial" w:eastAsia="Arial" w:hAnsi="Arial"/>
                <w:sz w:val="14"/>
                <w:szCs w:val="14"/>
                <w:color w:val="auto"/>
              </w:rPr>
              <w:t>10.5*</w:t>
            </w:r>
          </w:p>
        </w:tc>
        <w:tc>
          <w:tcPr>
            <w:tcW w:w="4140" w:type="dxa"/>
            <w:vAlign w:val="bottom"/>
            <w:gridSpan w:val="17"/>
          </w:tcPr>
          <w:p>
            <w:pPr>
              <w:spacing w:after="0"/>
              <w:rPr>
                <w:rFonts w:ascii="Arial" w:cs="Arial" w:eastAsia="Arial" w:hAnsi="Arial"/>
                <w:sz w:val="14"/>
                <w:szCs w:val="14"/>
                <w:color w:val="0000FF"/>
              </w:rPr>
            </w:pPr>
            <w:hyperlink r:id="rId21">
              <w:r>
                <w:rPr>
                  <w:rFonts w:ascii="Arial" w:cs="Arial" w:eastAsia="Arial" w:hAnsi="Arial"/>
                  <w:sz w:val="14"/>
                  <w:szCs w:val="14"/>
                  <w:color w:val="0000FF"/>
                </w:rPr>
                <w:t>Offer Letter, between Qualys, Inc. and Sumedh S. Thakar, dated</w:t>
              </w:r>
            </w:hyperlink>
          </w:p>
        </w:tc>
        <w:tc>
          <w:tcPr>
            <w:tcW w:w="0" w:type="dxa"/>
            <w:vAlign w:val="bottom"/>
          </w:tcPr>
          <w:p>
            <w:pPr>
              <w:spacing w:after="0"/>
              <w:rPr>
                <w:sz w:val="1"/>
                <w:szCs w:val="1"/>
                <w:color w:val="auto"/>
              </w:rPr>
            </w:pPr>
          </w:p>
        </w:tc>
      </w:tr>
      <w:tr>
        <w:trPr>
          <w:trHeight w:val="90"/>
        </w:trPr>
        <w:tc>
          <w:tcPr>
            <w:tcW w:w="980" w:type="dxa"/>
            <w:vAlign w:val="bottom"/>
            <w:vMerge w:val="continue"/>
          </w:tcPr>
          <w:p>
            <w:pPr>
              <w:spacing w:after="0"/>
              <w:rPr>
                <w:sz w:val="7"/>
                <w:szCs w:val="7"/>
                <w:color w:val="auto"/>
              </w:rPr>
            </w:pPr>
          </w:p>
        </w:tc>
        <w:tc>
          <w:tcPr>
            <w:tcW w:w="4080" w:type="dxa"/>
            <w:vAlign w:val="bottom"/>
            <w:tcBorders>
              <w:top w:val="single" w:sz="8" w:color="0000FF"/>
            </w:tcBorders>
            <w:gridSpan w:val="15"/>
            <w:vMerge w:val="restart"/>
          </w:tcPr>
          <w:p>
            <w:pPr>
              <w:spacing w:after="0" w:line="142" w:lineRule="exact"/>
              <w:rPr>
                <w:rFonts w:ascii="Arial" w:cs="Arial" w:eastAsia="Arial" w:hAnsi="Arial"/>
                <w:sz w:val="14"/>
                <w:szCs w:val="14"/>
                <w:color w:val="0000FF"/>
              </w:rPr>
            </w:pPr>
            <w:hyperlink r:id="rId21">
              <w:r>
                <w:rPr>
                  <w:rFonts w:ascii="Arial" w:cs="Arial" w:eastAsia="Arial" w:hAnsi="Arial"/>
                  <w:sz w:val="14"/>
                  <w:szCs w:val="14"/>
                  <w:color w:val="0000FF"/>
                </w:rPr>
                <w:t>January 20, 2003.</w:t>
              </w:r>
            </w:hyperlink>
          </w:p>
        </w:tc>
        <w:tc>
          <w:tcPr>
            <w:tcW w:w="60" w:type="dxa"/>
            <w:vAlign w:val="bottom"/>
            <w:gridSpan w:val="2"/>
            <w:vMerge w:val="restart"/>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980" w:type="dxa"/>
            <w:vAlign w:val="bottom"/>
          </w:tcPr>
          <w:p>
            <w:pPr>
              <w:spacing w:after="0"/>
              <w:rPr>
                <w:sz w:val="4"/>
                <w:szCs w:val="4"/>
                <w:color w:val="auto"/>
              </w:rPr>
            </w:pPr>
          </w:p>
        </w:tc>
        <w:tc>
          <w:tcPr>
            <w:tcW w:w="4080" w:type="dxa"/>
            <w:vAlign w:val="bottom"/>
            <w:gridSpan w:val="15"/>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vMerge w:val="restart"/>
          </w:tcPr>
          <w:p>
            <w:pPr>
              <w:jc w:val="center"/>
              <w:ind w:right="408"/>
              <w:spacing w:after="0"/>
              <w:rPr>
                <w:sz w:val="20"/>
                <w:szCs w:val="20"/>
                <w:color w:val="auto"/>
              </w:rPr>
            </w:pPr>
            <w:r>
              <w:rPr>
                <w:rFonts w:ascii="Arial" w:cs="Arial" w:eastAsia="Arial" w:hAnsi="Arial"/>
                <w:sz w:val="14"/>
                <w:szCs w:val="14"/>
                <w:color w:val="auto"/>
              </w:rPr>
              <w:t>10.6*</w:t>
            </w:r>
          </w:p>
        </w:tc>
        <w:tc>
          <w:tcPr>
            <w:tcW w:w="4000" w:type="dxa"/>
            <w:vAlign w:val="bottom"/>
            <w:tcBorders>
              <w:bottom w:val="single" w:sz="8" w:color="0000FF"/>
            </w:tcBorders>
            <w:gridSpan w:val="14"/>
          </w:tcPr>
          <w:p>
            <w:pPr>
              <w:spacing w:after="0"/>
              <w:rPr>
                <w:rFonts w:ascii="Arial" w:cs="Arial" w:eastAsia="Arial" w:hAnsi="Arial"/>
                <w:sz w:val="14"/>
                <w:szCs w:val="14"/>
                <w:color w:val="0000FF"/>
              </w:rPr>
            </w:pPr>
            <w:hyperlink r:id="rId22">
              <w:r>
                <w:rPr>
                  <w:rFonts w:ascii="Arial" w:cs="Arial" w:eastAsia="Arial" w:hAnsi="Arial"/>
                  <w:sz w:val="14"/>
                  <w:szCs w:val="14"/>
                  <w:color w:val="0000FF"/>
                </w:rPr>
                <w:t>Offer Letter, between Qualys, Inc. and Melissa B. Fisher, dated</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980" w:type="dxa"/>
            <w:vAlign w:val="bottom"/>
            <w:vMerge w:val="continue"/>
          </w:tcPr>
          <w:p>
            <w:pPr>
              <w:spacing w:after="0"/>
              <w:rPr>
                <w:sz w:val="7"/>
                <w:szCs w:val="7"/>
                <w:color w:val="auto"/>
              </w:rPr>
            </w:pPr>
          </w:p>
        </w:tc>
        <w:tc>
          <w:tcPr>
            <w:tcW w:w="4140" w:type="dxa"/>
            <w:vAlign w:val="bottom"/>
            <w:gridSpan w:val="17"/>
            <w:vMerge w:val="restart"/>
          </w:tcPr>
          <w:p>
            <w:pPr>
              <w:spacing w:after="0" w:line="142" w:lineRule="exact"/>
              <w:rPr>
                <w:rFonts w:ascii="Arial" w:cs="Arial" w:eastAsia="Arial" w:hAnsi="Arial"/>
                <w:sz w:val="14"/>
                <w:szCs w:val="14"/>
                <w:color w:val="0000FF"/>
              </w:rPr>
            </w:pPr>
            <w:hyperlink r:id="rId22">
              <w:r>
                <w:rPr>
                  <w:rFonts w:ascii="Arial" w:cs="Arial" w:eastAsia="Arial" w:hAnsi="Arial"/>
                  <w:sz w:val="14"/>
                  <w:szCs w:val="14"/>
                  <w:color w:val="0000FF"/>
                </w:rPr>
                <w:t>April 15, 2016</w:t>
              </w:r>
              <w:r>
                <w:rPr>
                  <w:rFonts w:ascii="Arial" w:cs="Arial" w:eastAsia="Arial" w:hAnsi="Arial"/>
                  <w:sz w:val="14"/>
                  <w:szCs w:val="14"/>
                  <w:color w:val="000000"/>
                </w:rPr>
                <w:t>.</w:t>
              </w:r>
            </w:hyperlink>
          </w:p>
        </w:tc>
        <w:tc>
          <w:tcPr>
            <w:tcW w:w="0" w:type="dxa"/>
            <w:vAlign w:val="bottom"/>
          </w:tcPr>
          <w:p>
            <w:pPr>
              <w:spacing w:after="0"/>
              <w:rPr>
                <w:sz w:val="1"/>
                <w:szCs w:val="1"/>
                <w:color w:val="auto"/>
              </w:rPr>
            </w:pPr>
          </w:p>
        </w:tc>
      </w:tr>
      <w:tr>
        <w:trPr>
          <w:trHeight w:val="53"/>
        </w:trPr>
        <w:tc>
          <w:tcPr>
            <w:tcW w:w="980" w:type="dxa"/>
            <w:vAlign w:val="bottom"/>
          </w:tcPr>
          <w:p>
            <w:pPr>
              <w:spacing w:after="0"/>
              <w:rPr>
                <w:sz w:val="4"/>
                <w:szCs w:val="4"/>
                <w:color w:val="auto"/>
              </w:rPr>
            </w:pPr>
          </w:p>
        </w:tc>
        <w:tc>
          <w:tcPr>
            <w:tcW w:w="4140" w:type="dxa"/>
            <w:vAlign w:val="bottom"/>
            <w:gridSpan w:val="1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580" w:type="dxa"/>
            <w:vAlign w:val="bottom"/>
            <w:tcBorders>
              <w:left w:val="single" w:sz="8" w:color="0000FF"/>
            </w:tcBorders>
            <w:gridSpan w:val="6"/>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vMerge w:val="restart"/>
          </w:tcPr>
          <w:p>
            <w:pPr>
              <w:jc w:val="center"/>
              <w:ind w:right="408"/>
              <w:spacing w:after="0"/>
              <w:rPr>
                <w:sz w:val="20"/>
                <w:szCs w:val="20"/>
                <w:color w:val="auto"/>
              </w:rPr>
            </w:pPr>
            <w:r>
              <w:rPr>
                <w:rFonts w:ascii="Arial" w:cs="Arial" w:eastAsia="Arial" w:hAnsi="Arial"/>
                <w:sz w:val="14"/>
                <w:szCs w:val="14"/>
                <w:color w:val="auto"/>
              </w:rPr>
              <w:t>10.7*</w:t>
            </w:r>
          </w:p>
        </w:tc>
        <w:tc>
          <w:tcPr>
            <w:tcW w:w="3880" w:type="dxa"/>
            <w:vAlign w:val="bottom"/>
            <w:tcBorders>
              <w:bottom w:val="single" w:sz="8" w:color="0000FF"/>
            </w:tcBorders>
            <w:gridSpan w:val="12"/>
          </w:tcPr>
          <w:p>
            <w:pPr>
              <w:spacing w:after="0"/>
              <w:rPr>
                <w:rFonts w:ascii="Arial" w:cs="Arial" w:eastAsia="Arial" w:hAnsi="Arial"/>
                <w:sz w:val="14"/>
                <w:szCs w:val="14"/>
                <w:color w:val="0000FF"/>
              </w:rPr>
            </w:pPr>
            <w:hyperlink r:id="rId23">
              <w:r>
                <w:rPr>
                  <w:rFonts w:ascii="Arial" w:cs="Arial" w:eastAsia="Arial" w:hAnsi="Arial"/>
                  <w:sz w:val="14"/>
                  <w:szCs w:val="14"/>
                  <w:color w:val="0000FF"/>
                </w:rPr>
                <w:t>Offer Letter, between Qualys, Inc. and Bruce K. Posey, dated</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980" w:type="dxa"/>
            <w:vAlign w:val="bottom"/>
            <w:vMerge w:val="continue"/>
          </w:tcPr>
          <w:p>
            <w:pPr>
              <w:spacing w:after="0"/>
              <w:rPr>
                <w:sz w:val="7"/>
                <w:szCs w:val="7"/>
                <w:color w:val="auto"/>
              </w:rPr>
            </w:pPr>
          </w:p>
        </w:tc>
        <w:tc>
          <w:tcPr>
            <w:tcW w:w="4140" w:type="dxa"/>
            <w:vAlign w:val="bottom"/>
            <w:gridSpan w:val="17"/>
            <w:vMerge w:val="restart"/>
          </w:tcPr>
          <w:p>
            <w:pPr>
              <w:spacing w:after="0" w:line="142" w:lineRule="exact"/>
              <w:rPr>
                <w:rFonts w:ascii="Arial" w:cs="Arial" w:eastAsia="Arial" w:hAnsi="Arial"/>
                <w:sz w:val="14"/>
                <w:szCs w:val="14"/>
                <w:color w:val="0000FF"/>
              </w:rPr>
            </w:pPr>
            <w:hyperlink r:id="rId23">
              <w:r>
                <w:rPr>
                  <w:rFonts w:ascii="Arial" w:cs="Arial" w:eastAsia="Arial" w:hAnsi="Arial"/>
                  <w:sz w:val="14"/>
                  <w:szCs w:val="14"/>
                  <w:color w:val="0000FF"/>
                </w:rPr>
                <w:t>May 8, 2012.</w:t>
              </w:r>
            </w:hyperlink>
          </w:p>
        </w:tc>
        <w:tc>
          <w:tcPr>
            <w:tcW w:w="0" w:type="dxa"/>
            <w:vAlign w:val="bottom"/>
          </w:tcPr>
          <w:p>
            <w:pPr>
              <w:spacing w:after="0"/>
              <w:rPr>
                <w:sz w:val="1"/>
                <w:szCs w:val="1"/>
                <w:color w:val="auto"/>
              </w:rPr>
            </w:pPr>
          </w:p>
        </w:tc>
      </w:tr>
      <w:tr>
        <w:trPr>
          <w:trHeight w:val="53"/>
        </w:trPr>
        <w:tc>
          <w:tcPr>
            <w:tcW w:w="980" w:type="dxa"/>
            <w:vAlign w:val="bottom"/>
          </w:tcPr>
          <w:p>
            <w:pPr>
              <w:spacing w:after="0"/>
              <w:rPr>
                <w:sz w:val="4"/>
                <w:szCs w:val="4"/>
                <w:color w:val="auto"/>
              </w:rPr>
            </w:pPr>
          </w:p>
        </w:tc>
        <w:tc>
          <w:tcPr>
            <w:tcW w:w="4140" w:type="dxa"/>
            <w:vAlign w:val="bottom"/>
            <w:gridSpan w:val="1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center"/>
              <w:ind w:right="408"/>
              <w:spacing w:after="0"/>
              <w:rPr>
                <w:sz w:val="20"/>
                <w:szCs w:val="20"/>
                <w:color w:val="auto"/>
              </w:rPr>
            </w:pPr>
            <w:r>
              <w:rPr>
                <w:rFonts w:ascii="Arial" w:cs="Arial" w:eastAsia="Arial" w:hAnsi="Arial"/>
                <w:sz w:val="14"/>
                <w:szCs w:val="14"/>
                <w:color w:val="auto"/>
              </w:rPr>
              <w:t>10.8*</w:t>
            </w: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980" w:type="dxa"/>
            <w:vAlign w:val="bottom"/>
            <w:vMerge w:val="continue"/>
          </w:tcPr>
          <w:p>
            <w:pPr>
              <w:spacing w:after="0"/>
              <w:rPr>
                <w:sz w:val="24"/>
                <w:szCs w:val="24"/>
                <w:color w:val="auto"/>
              </w:rPr>
            </w:pPr>
          </w:p>
        </w:tc>
        <w:tc>
          <w:tcPr>
            <w:tcW w:w="4140" w:type="dxa"/>
            <w:vAlign w:val="bottom"/>
            <w:gridSpan w:val="17"/>
            <w:vMerge w:val="restart"/>
          </w:tcPr>
          <w:p>
            <w:pPr>
              <w:spacing w:after="0"/>
              <w:rPr>
                <w:rFonts w:ascii="Arial" w:cs="Arial" w:eastAsia="Arial" w:hAnsi="Arial"/>
                <w:sz w:val="14"/>
                <w:szCs w:val="14"/>
                <w:color w:val="0000FF"/>
              </w:rPr>
            </w:pPr>
            <w:hyperlink r:id="rId24">
              <w:r>
                <w:rPr>
                  <w:rFonts w:ascii="Arial" w:cs="Arial" w:eastAsia="Arial" w:hAnsi="Arial"/>
                  <w:sz w:val="14"/>
                  <w:szCs w:val="14"/>
                  <w:color w:val="0000FF"/>
                </w:rPr>
                <w:t>Form of director and executive officer indemnification agreement.</w:t>
              </w:r>
            </w:hyperlink>
          </w:p>
        </w:tc>
        <w:tc>
          <w:tcPr>
            <w:tcW w:w="0" w:type="dxa"/>
            <w:vAlign w:val="bottom"/>
          </w:tcPr>
          <w:p>
            <w:pPr>
              <w:spacing w:after="0"/>
              <w:rPr>
                <w:sz w:val="1"/>
                <w:szCs w:val="1"/>
                <w:color w:val="auto"/>
              </w:rPr>
            </w:pPr>
          </w:p>
        </w:tc>
      </w:tr>
      <w:tr>
        <w:trPr>
          <w:trHeight w:val="58"/>
        </w:trPr>
        <w:tc>
          <w:tcPr>
            <w:tcW w:w="980" w:type="dxa"/>
            <w:vAlign w:val="bottom"/>
          </w:tcPr>
          <w:p>
            <w:pPr>
              <w:spacing w:after="0"/>
              <w:rPr>
                <w:sz w:val="4"/>
                <w:szCs w:val="4"/>
                <w:color w:val="auto"/>
              </w:rPr>
            </w:pPr>
          </w:p>
        </w:tc>
        <w:tc>
          <w:tcPr>
            <w:tcW w:w="4140" w:type="dxa"/>
            <w:vAlign w:val="bottom"/>
            <w:tcBorders>
              <w:bottom w:val="single" w:sz="8" w:color="0000FF"/>
            </w:tcBorders>
            <w:gridSpan w:val="1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7"/>
        </w:trPr>
        <w:tc>
          <w:tcPr>
            <w:tcW w:w="980" w:type="dxa"/>
            <w:vAlign w:val="bottom"/>
            <w:vMerge w:val="restart"/>
          </w:tcPr>
          <w:p>
            <w:pPr>
              <w:jc w:val="center"/>
              <w:ind w:right="388"/>
              <w:spacing w:after="0"/>
              <w:rPr>
                <w:sz w:val="20"/>
                <w:szCs w:val="20"/>
                <w:color w:val="auto"/>
              </w:rPr>
            </w:pPr>
            <w:r>
              <w:rPr>
                <w:rFonts w:ascii="Arial" w:cs="Arial" w:eastAsia="Arial" w:hAnsi="Arial"/>
                <w:sz w:val="14"/>
                <w:szCs w:val="14"/>
                <w:color w:val="auto"/>
              </w:rPr>
              <w:t>10.9</w:t>
            </w:r>
          </w:p>
        </w:tc>
        <w:tc>
          <w:tcPr>
            <w:tcW w:w="3780" w:type="dxa"/>
            <w:vAlign w:val="bottom"/>
            <w:tcBorders>
              <w:bottom w:val="single" w:sz="8" w:color="0000FF"/>
            </w:tcBorders>
            <w:gridSpan w:val="11"/>
          </w:tcPr>
          <w:p>
            <w:pPr>
              <w:spacing w:after="0"/>
              <w:rPr>
                <w:rFonts w:ascii="Arial" w:cs="Arial" w:eastAsia="Arial" w:hAnsi="Arial"/>
                <w:sz w:val="14"/>
                <w:szCs w:val="14"/>
                <w:color w:val="0000FF"/>
              </w:rPr>
            </w:pPr>
            <w:hyperlink r:id="rId25">
              <w:r>
                <w:rPr>
                  <w:rFonts w:ascii="Arial" w:cs="Arial" w:eastAsia="Arial" w:hAnsi="Arial"/>
                  <w:sz w:val="14"/>
                  <w:szCs w:val="14"/>
                  <w:color w:val="0000FF"/>
                </w:rPr>
                <w:t>Lease Agreement, between Qualys, Inc. and Hudson Metro</w:t>
              </w:r>
            </w:hyperlink>
          </w:p>
        </w:tc>
        <w:tc>
          <w:tcPr>
            <w:tcW w:w="3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980" w:type="dxa"/>
            <w:vAlign w:val="bottom"/>
            <w:vMerge w:val="continue"/>
          </w:tcPr>
          <w:p>
            <w:pPr>
              <w:spacing w:after="0"/>
              <w:rPr>
                <w:sz w:val="7"/>
                <w:szCs w:val="7"/>
                <w:color w:val="auto"/>
              </w:rPr>
            </w:pPr>
          </w:p>
        </w:tc>
        <w:tc>
          <w:tcPr>
            <w:tcW w:w="2400" w:type="dxa"/>
            <w:vAlign w:val="bottom"/>
            <w:gridSpan w:val="8"/>
            <w:vMerge w:val="restart"/>
          </w:tcPr>
          <w:p>
            <w:pPr>
              <w:spacing w:after="0" w:line="142" w:lineRule="exact"/>
              <w:rPr>
                <w:rFonts w:ascii="Arial" w:cs="Arial" w:eastAsia="Arial" w:hAnsi="Arial"/>
                <w:sz w:val="14"/>
                <w:szCs w:val="14"/>
                <w:color w:val="0000FF"/>
              </w:rPr>
            </w:pPr>
            <w:hyperlink r:id="rId25">
              <w:r>
                <w:rPr>
                  <w:rFonts w:ascii="Arial" w:cs="Arial" w:eastAsia="Arial" w:hAnsi="Arial"/>
                  <w:sz w:val="14"/>
                  <w:szCs w:val="14"/>
                  <w:color w:val="0000FF"/>
                </w:rPr>
                <w:t>Center, LLC, dated October 14, 2016.</w:t>
              </w:r>
            </w:hyperlink>
          </w:p>
        </w:tc>
        <w:tc>
          <w:tcPr>
            <w:tcW w:w="1740" w:type="dxa"/>
            <w:vAlign w:val="bottom"/>
            <w:gridSpan w:val="9"/>
            <w:vMerge w:val="restart"/>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980" w:type="dxa"/>
            <w:vAlign w:val="bottom"/>
          </w:tcPr>
          <w:p>
            <w:pPr>
              <w:spacing w:after="0"/>
              <w:rPr>
                <w:sz w:val="4"/>
                <w:szCs w:val="4"/>
                <w:color w:val="auto"/>
              </w:rPr>
            </w:pPr>
          </w:p>
        </w:tc>
        <w:tc>
          <w:tcPr>
            <w:tcW w:w="2400" w:type="dxa"/>
            <w:vAlign w:val="bottom"/>
            <w:tcBorders>
              <w:bottom w:val="single" w:sz="8" w:color="0000FF"/>
            </w:tcBorders>
            <w:gridSpan w:val="8"/>
            <w:vMerge w:val="continue"/>
          </w:tcPr>
          <w:p>
            <w:pPr>
              <w:spacing w:after="0"/>
              <w:rPr>
                <w:sz w:val="4"/>
                <w:szCs w:val="4"/>
                <w:color w:val="auto"/>
              </w:rPr>
            </w:pPr>
          </w:p>
        </w:tc>
        <w:tc>
          <w:tcPr>
            <w:tcW w:w="174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980" w:type="dxa"/>
            <w:vAlign w:val="bottom"/>
          </w:tcPr>
          <w:p>
            <w:pPr>
              <w:jc w:val="center"/>
              <w:ind w:right="408"/>
              <w:spacing w:after="0"/>
              <w:rPr>
                <w:sz w:val="20"/>
                <w:szCs w:val="20"/>
                <w:color w:val="auto"/>
              </w:rPr>
            </w:pPr>
            <w:r>
              <w:rPr>
                <w:rFonts w:ascii="Arial" w:cs="Arial" w:eastAsia="Arial" w:hAnsi="Arial"/>
                <w:sz w:val="14"/>
                <w:szCs w:val="14"/>
                <w:color w:val="auto"/>
              </w:rPr>
              <w:t>10.10*</w:t>
            </w:r>
          </w:p>
        </w:tc>
        <w:tc>
          <w:tcPr>
            <w:tcW w:w="3100" w:type="dxa"/>
            <w:vAlign w:val="bottom"/>
            <w:tcBorders>
              <w:bottom w:val="single" w:sz="8" w:color="0000FF"/>
            </w:tcBorders>
            <w:gridSpan w:val="10"/>
          </w:tcPr>
          <w:p>
            <w:pPr>
              <w:spacing w:after="0"/>
              <w:rPr>
                <w:rFonts w:ascii="Arial" w:cs="Arial" w:eastAsia="Arial" w:hAnsi="Arial"/>
                <w:sz w:val="14"/>
                <w:szCs w:val="14"/>
                <w:color w:val="0000FF"/>
              </w:rPr>
            </w:pPr>
            <w:hyperlink r:id="rId26">
              <w:r>
                <w:rPr>
                  <w:rFonts w:ascii="Arial" w:cs="Arial" w:eastAsia="Arial" w:hAnsi="Arial"/>
                  <w:sz w:val="14"/>
                  <w:szCs w:val="14"/>
                  <w:color w:val="0000FF"/>
                </w:rPr>
                <w:t>Qualys, Inc. Executive Performance Bonus Plan.</w:t>
              </w:r>
            </w:hyperlink>
          </w:p>
        </w:tc>
        <w:tc>
          <w:tcPr>
            <w:tcW w:w="10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60" w:type="dxa"/>
            <w:vAlign w:val="bottom"/>
            <w:gridSpan w:val="2"/>
          </w:tcPr>
          <w:p>
            <w:pPr>
              <w:ind w:left="140"/>
              <w:spacing w:after="0"/>
              <w:rPr>
                <w:sz w:val="20"/>
                <w:szCs w:val="20"/>
                <w:color w:val="auto"/>
              </w:rPr>
            </w:pPr>
            <w:r>
              <w:rPr>
                <w:rFonts w:ascii="Arial" w:cs="Arial" w:eastAsia="Arial" w:hAnsi="Arial"/>
                <w:sz w:val="14"/>
                <w:szCs w:val="14"/>
                <w:color w:val="auto"/>
              </w:rPr>
              <w:t>Incorporated by Reference</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700" w:type="dxa"/>
            <w:vAlign w:val="bottom"/>
          </w:tcPr>
          <w:p>
            <w:pPr>
              <w:jc w:val="center"/>
              <w:ind w:right="68"/>
              <w:spacing w:after="0"/>
              <w:rPr>
                <w:sz w:val="20"/>
                <w:szCs w:val="20"/>
                <w:color w:val="auto"/>
              </w:rPr>
            </w:pPr>
            <w:r>
              <w:rPr>
                <w:rFonts w:ascii="Arial" w:cs="Arial" w:eastAsia="Arial" w:hAnsi="Arial"/>
                <w:sz w:val="14"/>
                <w:szCs w:val="14"/>
                <w:color w:val="auto"/>
              </w:rPr>
              <w:t>Filed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00" w:type="dxa"/>
            <w:vAlign w:val="bottom"/>
          </w:tcPr>
          <w:p>
            <w:pPr>
              <w:jc w:val="center"/>
              <w:ind w:right="68"/>
              <w:spacing w:after="0"/>
              <w:rPr>
                <w:sz w:val="20"/>
                <w:szCs w:val="20"/>
                <w:color w:val="auto"/>
              </w:rPr>
            </w:pPr>
            <w:r>
              <w:rPr>
                <w:rFonts w:ascii="Arial" w:cs="Arial" w:eastAsia="Arial" w:hAnsi="Arial"/>
                <w:sz w:val="14"/>
                <w:szCs w:val="14"/>
                <w:color w:val="auto"/>
              </w:rPr>
              <w:t>Herewith</w:t>
            </w:r>
          </w:p>
        </w:tc>
        <w:tc>
          <w:tcPr>
            <w:tcW w:w="1200" w:type="dxa"/>
            <w:vAlign w:val="bottom"/>
          </w:tcPr>
          <w:p>
            <w:pPr>
              <w:jc w:val="center"/>
              <w:spacing w:after="0"/>
              <w:rPr>
                <w:sz w:val="20"/>
                <w:szCs w:val="20"/>
                <w:color w:val="auto"/>
              </w:rPr>
            </w:pPr>
            <w:r>
              <w:rPr>
                <w:rFonts w:ascii="Arial" w:cs="Arial" w:eastAsia="Arial" w:hAnsi="Arial"/>
                <w:sz w:val="14"/>
                <w:szCs w:val="14"/>
                <w:color w:val="auto"/>
                <w:w w:val="97"/>
              </w:rPr>
              <w:t>Form</w:t>
            </w:r>
          </w:p>
        </w:tc>
        <w:tc>
          <w:tcPr>
            <w:tcW w:w="1200" w:type="dxa"/>
            <w:vAlign w:val="bottom"/>
          </w:tcPr>
          <w:p>
            <w:pPr>
              <w:ind w:left="400"/>
              <w:spacing w:after="0"/>
              <w:rPr>
                <w:sz w:val="20"/>
                <w:szCs w:val="20"/>
                <w:color w:val="auto"/>
              </w:rPr>
            </w:pPr>
            <w:r>
              <w:rPr>
                <w:rFonts w:ascii="Arial" w:cs="Arial" w:eastAsia="Arial" w:hAnsi="Arial"/>
                <w:sz w:val="14"/>
                <w:szCs w:val="14"/>
                <w:color w:val="auto"/>
              </w:rPr>
              <w:t>File No.</w:t>
            </w:r>
          </w:p>
        </w:tc>
        <w:tc>
          <w:tcPr>
            <w:tcW w:w="1060" w:type="dxa"/>
            <w:vAlign w:val="bottom"/>
          </w:tcPr>
          <w:p>
            <w:pPr>
              <w:jc w:val="center"/>
              <w:spacing w:after="0"/>
              <w:rPr>
                <w:sz w:val="20"/>
                <w:szCs w:val="20"/>
                <w:color w:val="auto"/>
              </w:rPr>
            </w:pPr>
            <w:r>
              <w:rPr>
                <w:rFonts w:ascii="Arial" w:cs="Arial" w:eastAsia="Arial" w:hAnsi="Arial"/>
                <w:sz w:val="14"/>
                <w:szCs w:val="14"/>
                <w:color w:val="auto"/>
              </w:rPr>
              <w:t>Exhibit No.</w:t>
            </w:r>
          </w:p>
        </w:tc>
        <w:tc>
          <w:tcPr>
            <w:tcW w:w="1480" w:type="dxa"/>
            <w:vAlign w:val="bottom"/>
          </w:tcPr>
          <w:p>
            <w:pPr>
              <w:jc w:val="center"/>
              <w:ind w:left="128"/>
              <w:spacing w:after="0"/>
              <w:rPr>
                <w:sz w:val="20"/>
                <w:szCs w:val="20"/>
                <w:color w:val="auto"/>
              </w:rPr>
            </w:pPr>
            <w:r>
              <w:rPr>
                <w:rFonts w:ascii="Arial" w:cs="Arial" w:eastAsia="Arial" w:hAnsi="Arial"/>
                <w:sz w:val="14"/>
                <w:szCs w:val="14"/>
                <w:color w:val="auto"/>
              </w:rPr>
              <w:t>Filing Date</w:t>
            </w:r>
          </w:p>
        </w:tc>
        <w:tc>
          <w:tcPr>
            <w:tcW w:w="0" w:type="dxa"/>
            <w:vAlign w:val="bottom"/>
          </w:tcPr>
          <w:p>
            <w:pPr>
              <w:spacing w:after="0"/>
              <w:rPr>
                <w:sz w:val="1"/>
                <w:szCs w:val="1"/>
                <w:color w:val="auto"/>
              </w:rPr>
            </w:pPr>
          </w:p>
        </w:tc>
      </w:tr>
      <w:tr>
        <w:trPr>
          <w:trHeight w:val="419"/>
        </w:trPr>
        <w:tc>
          <w:tcPr>
            <w:tcW w:w="7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S-1/A</w:t>
            </w:r>
          </w:p>
        </w:tc>
        <w:tc>
          <w:tcPr>
            <w:tcW w:w="1200" w:type="dxa"/>
            <w:vAlign w:val="bottom"/>
          </w:tcPr>
          <w:p>
            <w:pPr>
              <w:jc w:val="center"/>
              <w:ind w:left="28"/>
              <w:spacing w:after="0"/>
              <w:rPr>
                <w:sz w:val="20"/>
                <w:szCs w:val="20"/>
                <w:color w:val="auto"/>
              </w:rPr>
            </w:pPr>
            <w:r>
              <w:rPr>
                <w:rFonts w:ascii="Arial" w:cs="Arial" w:eastAsia="Arial" w:hAnsi="Arial"/>
                <w:sz w:val="14"/>
                <w:szCs w:val="14"/>
                <w:color w:val="auto"/>
              </w:rPr>
              <w:t>333-182027</w:t>
            </w:r>
          </w:p>
        </w:tc>
        <w:tc>
          <w:tcPr>
            <w:tcW w:w="1060" w:type="dxa"/>
            <w:vAlign w:val="bottom"/>
          </w:tcPr>
          <w:p>
            <w:pPr>
              <w:jc w:val="center"/>
              <w:spacing w:after="0"/>
              <w:rPr>
                <w:sz w:val="20"/>
                <w:szCs w:val="20"/>
                <w:color w:val="auto"/>
              </w:rPr>
            </w:pPr>
            <w:r>
              <w:rPr>
                <w:rFonts w:ascii="Arial" w:cs="Arial" w:eastAsia="Arial" w:hAnsi="Arial"/>
                <w:sz w:val="14"/>
                <w:szCs w:val="14"/>
                <w:color w:val="auto"/>
              </w:rPr>
              <w:t>3.3</w:t>
            </w:r>
          </w:p>
        </w:tc>
        <w:tc>
          <w:tcPr>
            <w:tcW w:w="1480" w:type="dxa"/>
            <w:vAlign w:val="bottom"/>
          </w:tcPr>
          <w:p>
            <w:pPr>
              <w:jc w:val="center"/>
              <w:ind w:left="108"/>
              <w:spacing w:after="0"/>
              <w:rPr>
                <w:sz w:val="20"/>
                <w:szCs w:val="20"/>
                <w:color w:val="auto"/>
              </w:rPr>
            </w:pPr>
            <w:r>
              <w:rPr>
                <w:rFonts w:ascii="Arial" w:cs="Arial" w:eastAsia="Arial" w:hAnsi="Arial"/>
                <w:sz w:val="14"/>
                <w:szCs w:val="14"/>
                <w:color w:val="auto"/>
              </w:rPr>
              <w:t>September 12, 2012</w:t>
            </w:r>
          </w:p>
        </w:tc>
        <w:tc>
          <w:tcPr>
            <w:tcW w:w="0" w:type="dxa"/>
            <w:vAlign w:val="bottom"/>
          </w:tcPr>
          <w:p>
            <w:pPr>
              <w:spacing w:after="0"/>
              <w:rPr>
                <w:sz w:val="1"/>
                <w:szCs w:val="1"/>
                <w:color w:val="auto"/>
              </w:rPr>
            </w:pPr>
          </w:p>
        </w:tc>
      </w:tr>
      <w:tr>
        <w:trPr>
          <w:trHeight w:val="594"/>
        </w:trPr>
        <w:tc>
          <w:tcPr>
            <w:tcW w:w="7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S-1/A</w:t>
            </w:r>
          </w:p>
        </w:tc>
        <w:tc>
          <w:tcPr>
            <w:tcW w:w="1200" w:type="dxa"/>
            <w:vAlign w:val="bottom"/>
          </w:tcPr>
          <w:p>
            <w:pPr>
              <w:jc w:val="center"/>
              <w:ind w:left="28"/>
              <w:spacing w:after="0"/>
              <w:rPr>
                <w:sz w:val="20"/>
                <w:szCs w:val="20"/>
                <w:color w:val="auto"/>
              </w:rPr>
            </w:pPr>
            <w:r>
              <w:rPr>
                <w:rFonts w:ascii="Arial" w:cs="Arial" w:eastAsia="Arial" w:hAnsi="Arial"/>
                <w:sz w:val="14"/>
                <w:szCs w:val="14"/>
                <w:color w:val="auto"/>
              </w:rPr>
              <w:t>333-182027</w:t>
            </w:r>
          </w:p>
        </w:tc>
        <w:tc>
          <w:tcPr>
            <w:tcW w:w="1060" w:type="dxa"/>
            <w:vAlign w:val="bottom"/>
          </w:tcPr>
          <w:p>
            <w:pPr>
              <w:jc w:val="center"/>
              <w:spacing w:after="0"/>
              <w:rPr>
                <w:sz w:val="20"/>
                <w:szCs w:val="20"/>
                <w:color w:val="auto"/>
              </w:rPr>
            </w:pPr>
            <w:r>
              <w:rPr>
                <w:rFonts w:ascii="Arial" w:cs="Arial" w:eastAsia="Arial" w:hAnsi="Arial"/>
                <w:sz w:val="14"/>
                <w:szCs w:val="14"/>
                <w:color w:val="auto"/>
              </w:rPr>
              <w:t>3.5</w:t>
            </w:r>
          </w:p>
        </w:tc>
        <w:tc>
          <w:tcPr>
            <w:tcW w:w="1480" w:type="dxa"/>
            <w:vAlign w:val="bottom"/>
          </w:tcPr>
          <w:p>
            <w:pPr>
              <w:jc w:val="center"/>
              <w:ind w:left="108"/>
              <w:spacing w:after="0"/>
              <w:rPr>
                <w:sz w:val="20"/>
                <w:szCs w:val="20"/>
                <w:color w:val="auto"/>
              </w:rPr>
            </w:pPr>
            <w:r>
              <w:rPr>
                <w:rFonts w:ascii="Arial" w:cs="Arial" w:eastAsia="Arial" w:hAnsi="Arial"/>
                <w:sz w:val="14"/>
                <w:szCs w:val="14"/>
                <w:color w:val="auto"/>
              </w:rPr>
              <w:t>September 12, 2012</w:t>
            </w:r>
          </w:p>
        </w:tc>
        <w:tc>
          <w:tcPr>
            <w:tcW w:w="0" w:type="dxa"/>
            <w:vAlign w:val="bottom"/>
          </w:tcPr>
          <w:p>
            <w:pPr>
              <w:spacing w:after="0"/>
              <w:rPr>
                <w:sz w:val="1"/>
                <w:szCs w:val="1"/>
                <w:color w:val="auto"/>
              </w:rPr>
            </w:pPr>
          </w:p>
        </w:tc>
      </w:tr>
      <w:tr>
        <w:trPr>
          <w:trHeight w:val="540"/>
        </w:trPr>
        <w:tc>
          <w:tcPr>
            <w:tcW w:w="7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S-1/A</w:t>
            </w:r>
          </w:p>
        </w:tc>
        <w:tc>
          <w:tcPr>
            <w:tcW w:w="1200" w:type="dxa"/>
            <w:vAlign w:val="bottom"/>
          </w:tcPr>
          <w:p>
            <w:pPr>
              <w:jc w:val="center"/>
              <w:ind w:left="28"/>
              <w:spacing w:after="0"/>
              <w:rPr>
                <w:sz w:val="20"/>
                <w:szCs w:val="20"/>
                <w:color w:val="auto"/>
              </w:rPr>
            </w:pPr>
            <w:r>
              <w:rPr>
                <w:rFonts w:ascii="Arial" w:cs="Arial" w:eastAsia="Arial" w:hAnsi="Arial"/>
                <w:sz w:val="14"/>
                <w:szCs w:val="14"/>
                <w:color w:val="auto"/>
              </w:rPr>
              <w:t>333-182027</w:t>
            </w:r>
          </w:p>
        </w:tc>
        <w:tc>
          <w:tcPr>
            <w:tcW w:w="1060" w:type="dxa"/>
            <w:vAlign w:val="bottom"/>
          </w:tcPr>
          <w:p>
            <w:pPr>
              <w:jc w:val="center"/>
              <w:spacing w:after="0"/>
              <w:rPr>
                <w:sz w:val="20"/>
                <w:szCs w:val="20"/>
                <w:color w:val="auto"/>
              </w:rPr>
            </w:pPr>
            <w:r>
              <w:rPr>
                <w:rFonts w:ascii="Arial" w:cs="Arial" w:eastAsia="Arial" w:hAnsi="Arial"/>
                <w:sz w:val="14"/>
                <w:szCs w:val="14"/>
                <w:color w:val="auto"/>
              </w:rPr>
              <w:t>4.1</w:t>
            </w:r>
          </w:p>
        </w:tc>
        <w:tc>
          <w:tcPr>
            <w:tcW w:w="1480" w:type="dxa"/>
            <w:vAlign w:val="bottom"/>
          </w:tcPr>
          <w:p>
            <w:pPr>
              <w:jc w:val="center"/>
              <w:ind w:left="108"/>
              <w:spacing w:after="0"/>
              <w:rPr>
                <w:sz w:val="20"/>
                <w:szCs w:val="20"/>
                <w:color w:val="auto"/>
              </w:rPr>
            </w:pPr>
            <w:r>
              <w:rPr>
                <w:rFonts w:ascii="Arial" w:cs="Arial" w:eastAsia="Arial" w:hAnsi="Arial"/>
                <w:sz w:val="14"/>
                <w:szCs w:val="14"/>
                <w:color w:val="auto"/>
              </w:rPr>
              <w:t>September 12, 2012</w:t>
            </w:r>
          </w:p>
        </w:tc>
        <w:tc>
          <w:tcPr>
            <w:tcW w:w="0" w:type="dxa"/>
            <w:vAlign w:val="bottom"/>
          </w:tcPr>
          <w:p>
            <w:pPr>
              <w:spacing w:after="0"/>
              <w:rPr>
                <w:sz w:val="1"/>
                <w:szCs w:val="1"/>
                <w:color w:val="auto"/>
              </w:rPr>
            </w:pPr>
          </w:p>
        </w:tc>
      </w:tr>
      <w:tr>
        <w:trPr>
          <w:trHeight w:val="594"/>
        </w:trPr>
        <w:tc>
          <w:tcPr>
            <w:tcW w:w="7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S-1</w:t>
            </w:r>
          </w:p>
        </w:tc>
        <w:tc>
          <w:tcPr>
            <w:tcW w:w="1200" w:type="dxa"/>
            <w:vAlign w:val="bottom"/>
          </w:tcPr>
          <w:p>
            <w:pPr>
              <w:jc w:val="center"/>
              <w:ind w:left="28"/>
              <w:spacing w:after="0"/>
              <w:rPr>
                <w:sz w:val="20"/>
                <w:szCs w:val="20"/>
                <w:color w:val="auto"/>
              </w:rPr>
            </w:pPr>
            <w:r>
              <w:rPr>
                <w:rFonts w:ascii="Arial" w:cs="Arial" w:eastAsia="Arial" w:hAnsi="Arial"/>
                <w:sz w:val="14"/>
                <w:szCs w:val="14"/>
                <w:color w:val="auto"/>
              </w:rPr>
              <w:t>333-182027</w:t>
            </w:r>
          </w:p>
        </w:tc>
        <w:tc>
          <w:tcPr>
            <w:tcW w:w="1060" w:type="dxa"/>
            <w:vAlign w:val="bottom"/>
          </w:tcPr>
          <w:p>
            <w:pPr>
              <w:jc w:val="center"/>
              <w:spacing w:after="0"/>
              <w:rPr>
                <w:sz w:val="20"/>
                <w:szCs w:val="20"/>
                <w:color w:val="auto"/>
              </w:rPr>
            </w:pPr>
            <w:r>
              <w:rPr>
                <w:rFonts w:ascii="Arial" w:cs="Arial" w:eastAsia="Arial" w:hAnsi="Arial"/>
                <w:sz w:val="14"/>
                <w:szCs w:val="14"/>
                <w:color w:val="auto"/>
              </w:rPr>
              <w:t>10.1</w:t>
            </w:r>
          </w:p>
        </w:tc>
        <w:tc>
          <w:tcPr>
            <w:tcW w:w="1480" w:type="dxa"/>
            <w:vAlign w:val="bottom"/>
          </w:tcPr>
          <w:p>
            <w:pPr>
              <w:jc w:val="center"/>
              <w:ind w:left="128"/>
              <w:spacing w:after="0"/>
              <w:rPr>
                <w:sz w:val="20"/>
                <w:szCs w:val="20"/>
                <w:color w:val="auto"/>
              </w:rPr>
            </w:pPr>
            <w:r>
              <w:rPr>
                <w:rFonts w:ascii="Arial" w:cs="Arial" w:eastAsia="Arial" w:hAnsi="Arial"/>
                <w:sz w:val="14"/>
                <w:szCs w:val="14"/>
                <w:color w:val="auto"/>
              </w:rPr>
              <w:t>June 8, 2012</w:t>
            </w:r>
          </w:p>
        </w:tc>
        <w:tc>
          <w:tcPr>
            <w:tcW w:w="0" w:type="dxa"/>
            <w:vAlign w:val="bottom"/>
          </w:tcPr>
          <w:p>
            <w:pPr>
              <w:spacing w:after="0"/>
              <w:rPr>
                <w:sz w:val="1"/>
                <w:szCs w:val="1"/>
                <w:color w:val="auto"/>
              </w:rPr>
            </w:pPr>
          </w:p>
        </w:tc>
      </w:tr>
      <w:tr>
        <w:trPr>
          <w:trHeight w:val="594"/>
        </w:trPr>
        <w:tc>
          <w:tcPr>
            <w:tcW w:w="7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S-1/A</w:t>
            </w:r>
          </w:p>
        </w:tc>
        <w:tc>
          <w:tcPr>
            <w:tcW w:w="1200" w:type="dxa"/>
            <w:vAlign w:val="bottom"/>
          </w:tcPr>
          <w:p>
            <w:pPr>
              <w:jc w:val="center"/>
              <w:ind w:left="28"/>
              <w:spacing w:after="0"/>
              <w:rPr>
                <w:sz w:val="20"/>
                <w:szCs w:val="20"/>
                <w:color w:val="auto"/>
              </w:rPr>
            </w:pPr>
            <w:r>
              <w:rPr>
                <w:rFonts w:ascii="Arial" w:cs="Arial" w:eastAsia="Arial" w:hAnsi="Arial"/>
                <w:sz w:val="14"/>
                <w:szCs w:val="14"/>
                <w:color w:val="auto"/>
              </w:rPr>
              <w:t>333-182027</w:t>
            </w:r>
          </w:p>
        </w:tc>
        <w:tc>
          <w:tcPr>
            <w:tcW w:w="1060" w:type="dxa"/>
            <w:vAlign w:val="bottom"/>
          </w:tcPr>
          <w:p>
            <w:pPr>
              <w:jc w:val="center"/>
              <w:spacing w:after="0"/>
              <w:rPr>
                <w:sz w:val="20"/>
                <w:szCs w:val="20"/>
                <w:color w:val="auto"/>
              </w:rPr>
            </w:pPr>
            <w:r>
              <w:rPr>
                <w:rFonts w:ascii="Arial" w:cs="Arial" w:eastAsia="Arial" w:hAnsi="Arial"/>
                <w:sz w:val="14"/>
                <w:szCs w:val="14"/>
                <w:color w:val="auto"/>
              </w:rPr>
              <w:t>10.2</w:t>
            </w:r>
          </w:p>
        </w:tc>
        <w:tc>
          <w:tcPr>
            <w:tcW w:w="1480" w:type="dxa"/>
            <w:vAlign w:val="bottom"/>
          </w:tcPr>
          <w:p>
            <w:pPr>
              <w:jc w:val="center"/>
              <w:ind w:left="108"/>
              <w:spacing w:after="0"/>
              <w:rPr>
                <w:sz w:val="20"/>
                <w:szCs w:val="20"/>
                <w:color w:val="auto"/>
              </w:rPr>
            </w:pPr>
            <w:r>
              <w:rPr>
                <w:rFonts w:ascii="Arial" w:cs="Arial" w:eastAsia="Arial" w:hAnsi="Arial"/>
                <w:sz w:val="14"/>
                <w:szCs w:val="14"/>
                <w:color w:val="auto"/>
              </w:rPr>
              <w:t>September 12, 2012</w:t>
            </w:r>
          </w:p>
        </w:tc>
        <w:tc>
          <w:tcPr>
            <w:tcW w:w="0" w:type="dxa"/>
            <w:vAlign w:val="bottom"/>
          </w:tcPr>
          <w:p>
            <w:pPr>
              <w:spacing w:after="0"/>
              <w:rPr>
                <w:sz w:val="1"/>
                <w:szCs w:val="1"/>
                <w:color w:val="auto"/>
              </w:rPr>
            </w:pPr>
          </w:p>
        </w:tc>
      </w:tr>
      <w:tr>
        <w:trPr>
          <w:trHeight w:val="594"/>
        </w:trPr>
        <w:tc>
          <w:tcPr>
            <w:tcW w:w="7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S-1</w:t>
            </w:r>
          </w:p>
        </w:tc>
        <w:tc>
          <w:tcPr>
            <w:tcW w:w="1200" w:type="dxa"/>
            <w:vAlign w:val="bottom"/>
          </w:tcPr>
          <w:p>
            <w:pPr>
              <w:jc w:val="center"/>
              <w:ind w:left="28"/>
              <w:spacing w:after="0"/>
              <w:rPr>
                <w:sz w:val="20"/>
                <w:szCs w:val="20"/>
                <w:color w:val="auto"/>
              </w:rPr>
            </w:pPr>
            <w:r>
              <w:rPr>
                <w:rFonts w:ascii="Arial" w:cs="Arial" w:eastAsia="Arial" w:hAnsi="Arial"/>
                <w:sz w:val="14"/>
                <w:szCs w:val="14"/>
                <w:color w:val="auto"/>
              </w:rPr>
              <w:t>333-182027</w:t>
            </w:r>
          </w:p>
        </w:tc>
        <w:tc>
          <w:tcPr>
            <w:tcW w:w="1060" w:type="dxa"/>
            <w:vAlign w:val="bottom"/>
          </w:tcPr>
          <w:p>
            <w:pPr>
              <w:jc w:val="center"/>
              <w:spacing w:after="0"/>
              <w:rPr>
                <w:sz w:val="20"/>
                <w:szCs w:val="20"/>
                <w:color w:val="auto"/>
              </w:rPr>
            </w:pPr>
            <w:r>
              <w:rPr>
                <w:rFonts w:ascii="Arial" w:cs="Arial" w:eastAsia="Arial" w:hAnsi="Arial"/>
                <w:sz w:val="14"/>
                <w:szCs w:val="14"/>
                <w:color w:val="auto"/>
              </w:rPr>
              <w:t>10.3</w:t>
            </w:r>
          </w:p>
        </w:tc>
        <w:tc>
          <w:tcPr>
            <w:tcW w:w="1480" w:type="dxa"/>
            <w:vAlign w:val="bottom"/>
          </w:tcPr>
          <w:p>
            <w:pPr>
              <w:jc w:val="center"/>
              <w:ind w:left="128"/>
              <w:spacing w:after="0"/>
              <w:rPr>
                <w:sz w:val="20"/>
                <w:szCs w:val="20"/>
                <w:color w:val="auto"/>
              </w:rPr>
            </w:pPr>
            <w:r>
              <w:rPr>
                <w:rFonts w:ascii="Arial" w:cs="Arial" w:eastAsia="Arial" w:hAnsi="Arial"/>
                <w:sz w:val="14"/>
                <w:szCs w:val="14"/>
                <w:color w:val="auto"/>
              </w:rPr>
              <w:t>June 8, 2012</w:t>
            </w:r>
          </w:p>
        </w:tc>
        <w:tc>
          <w:tcPr>
            <w:tcW w:w="0" w:type="dxa"/>
            <w:vAlign w:val="bottom"/>
          </w:tcPr>
          <w:p>
            <w:pPr>
              <w:spacing w:after="0"/>
              <w:rPr>
                <w:sz w:val="1"/>
                <w:szCs w:val="1"/>
                <w:color w:val="auto"/>
              </w:rPr>
            </w:pPr>
          </w:p>
        </w:tc>
      </w:tr>
      <w:tr>
        <w:trPr>
          <w:trHeight w:val="648"/>
        </w:trPr>
        <w:tc>
          <w:tcPr>
            <w:tcW w:w="7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S-1</w:t>
            </w:r>
          </w:p>
        </w:tc>
        <w:tc>
          <w:tcPr>
            <w:tcW w:w="1200" w:type="dxa"/>
            <w:vAlign w:val="bottom"/>
          </w:tcPr>
          <w:p>
            <w:pPr>
              <w:jc w:val="center"/>
              <w:ind w:left="28"/>
              <w:spacing w:after="0"/>
              <w:rPr>
                <w:sz w:val="20"/>
                <w:szCs w:val="20"/>
                <w:color w:val="auto"/>
              </w:rPr>
            </w:pPr>
            <w:r>
              <w:rPr>
                <w:rFonts w:ascii="Arial" w:cs="Arial" w:eastAsia="Arial" w:hAnsi="Arial"/>
                <w:sz w:val="14"/>
                <w:szCs w:val="14"/>
                <w:color w:val="auto"/>
              </w:rPr>
              <w:t>333-182027</w:t>
            </w:r>
          </w:p>
        </w:tc>
        <w:tc>
          <w:tcPr>
            <w:tcW w:w="1060" w:type="dxa"/>
            <w:vAlign w:val="bottom"/>
          </w:tcPr>
          <w:p>
            <w:pPr>
              <w:jc w:val="center"/>
              <w:spacing w:after="0"/>
              <w:rPr>
                <w:sz w:val="20"/>
                <w:szCs w:val="20"/>
                <w:color w:val="auto"/>
              </w:rPr>
            </w:pPr>
            <w:r>
              <w:rPr>
                <w:rFonts w:ascii="Arial" w:cs="Arial" w:eastAsia="Arial" w:hAnsi="Arial"/>
                <w:sz w:val="14"/>
                <w:szCs w:val="14"/>
                <w:color w:val="auto"/>
              </w:rPr>
              <w:t>10.4</w:t>
            </w:r>
          </w:p>
        </w:tc>
        <w:tc>
          <w:tcPr>
            <w:tcW w:w="1480" w:type="dxa"/>
            <w:vAlign w:val="bottom"/>
          </w:tcPr>
          <w:p>
            <w:pPr>
              <w:jc w:val="center"/>
              <w:ind w:left="128"/>
              <w:spacing w:after="0"/>
              <w:rPr>
                <w:sz w:val="20"/>
                <w:szCs w:val="20"/>
                <w:color w:val="auto"/>
              </w:rPr>
            </w:pPr>
            <w:r>
              <w:rPr>
                <w:rFonts w:ascii="Arial" w:cs="Arial" w:eastAsia="Arial" w:hAnsi="Arial"/>
                <w:sz w:val="14"/>
                <w:szCs w:val="14"/>
                <w:color w:val="auto"/>
              </w:rPr>
              <w:t>June 8, 2012</w:t>
            </w:r>
          </w:p>
        </w:tc>
        <w:tc>
          <w:tcPr>
            <w:tcW w:w="0" w:type="dxa"/>
            <w:vAlign w:val="bottom"/>
          </w:tcPr>
          <w:p>
            <w:pPr>
              <w:spacing w:after="0"/>
              <w:rPr>
                <w:sz w:val="1"/>
                <w:szCs w:val="1"/>
                <w:color w:val="auto"/>
              </w:rPr>
            </w:pPr>
          </w:p>
        </w:tc>
      </w:tr>
      <w:tr>
        <w:trPr>
          <w:trHeight w:val="648"/>
        </w:trPr>
        <w:tc>
          <w:tcPr>
            <w:tcW w:w="7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S-1</w:t>
            </w:r>
          </w:p>
        </w:tc>
        <w:tc>
          <w:tcPr>
            <w:tcW w:w="1200" w:type="dxa"/>
            <w:vAlign w:val="bottom"/>
          </w:tcPr>
          <w:p>
            <w:pPr>
              <w:jc w:val="center"/>
              <w:ind w:left="28"/>
              <w:spacing w:after="0"/>
              <w:rPr>
                <w:sz w:val="20"/>
                <w:szCs w:val="20"/>
                <w:color w:val="auto"/>
              </w:rPr>
            </w:pPr>
            <w:r>
              <w:rPr>
                <w:rFonts w:ascii="Arial" w:cs="Arial" w:eastAsia="Arial" w:hAnsi="Arial"/>
                <w:sz w:val="14"/>
                <w:szCs w:val="14"/>
                <w:color w:val="auto"/>
              </w:rPr>
              <w:t>333-182027</w:t>
            </w:r>
          </w:p>
        </w:tc>
        <w:tc>
          <w:tcPr>
            <w:tcW w:w="1060" w:type="dxa"/>
            <w:vAlign w:val="bottom"/>
          </w:tcPr>
          <w:p>
            <w:pPr>
              <w:jc w:val="center"/>
              <w:spacing w:after="0"/>
              <w:rPr>
                <w:sz w:val="20"/>
                <w:szCs w:val="20"/>
                <w:color w:val="auto"/>
              </w:rPr>
            </w:pPr>
            <w:r>
              <w:rPr>
                <w:rFonts w:ascii="Arial" w:cs="Arial" w:eastAsia="Arial" w:hAnsi="Arial"/>
                <w:sz w:val="14"/>
                <w:szCs w:val="14"/>
                <w:color w:val="auto"/>
              </w:rPr>
              <w:t>10.5</w:t>
            </w:r>
          </w:p>
        </w:tc>
        <w:tc>
          <w:tcPr>
            <w:tcW w:w="1480" w:type="dxa"/>
            <w:vAlign w:val="bottom"/>
          </w:tcPr>
          <w:p>
            <w:pPr>
              <w:jc w:val="center"/>
              <w:ind w:left="128"/>
              <w:spacing w:after="0"/>
              <w:rPr>
                <w:sz w:val="20"/>
                <w:szCs w:val="20"/>
                <w:color w:val="auto"/>
              </w:rPr>
            </w:pPr>
            <w:r>
              <w:rPr>
                <w:rFonts w:ascii="Arial" w:cs="Arial" w:eastAsia="Arial" w:hAnsi="Arial"/>
                <w:sz w:val="14"/>
                <w:szCs w:val="14"/>
                <w:color w:val="auto"/>
              </w:rPr>
              <w:t>June 8, 2012</w:t>
            </w:r>
          </w:p>
        </w:tc>
        <w:tc>
          <w:tcPr>
            <w:tcW w:w="0" w:type="dxa"/>
            <w:vAlign w:val="bottom"/>
          </w:tcPr>
          <w:p>
            <w:pPr>
              <w:spacing w:after="0"/>
              <w:rPr>
                <w:sz w:val="1"/>
                <w:szCs w:val="1"/>
                <w:color w:val="auto"/>
              </w:rPr>
            </w:pPr>
          </w:p>
        </w:tc>
      </w:tr>
      <w:tr>
        <w:trPr>
          <w:trHeight w:val="648"/>
        </w:trPr>
        <w:tc>
          <w:tcPr>
            <w:tcW w:w="7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8-K</w:t>
            </w:r>
          </w:p>
        </w:tc>
        <w:tc>
          <w:tcPr>
            <w:tcW w:w="1200" w:type="dxa"/>
            <w:vAlign w:val="bottom"/>
          </w:tcPr>
          <w:p>
            <w:pPr>
              <w:jc w:val="center"/>
              <w:ind w:left="28"/>
              <w:spacing w:after="0"/>
              <w:rPr>
                <w:sz w:val="20"/>
                <w:szCs w:val="20"/>
                <w:color w:val="auto"/>
              </w:rPr>
            </w:pPr>
            <w:r>
              <w:rPr>
                <w:rFonts w:ascii="Arial" w:cs="Arial" w:eastAsia="Arial" w:hAnsi="Arial"/>
                <w:sz w:val="14"/>
                <w:szCs w:val="14"/>
                <w:color w:val="auto"/>
              </w:rPr>
              <w:t>001-35662</w:t>
            </w:r>
          </w:p>
        </w:tc>
        <w:tc>
          <w:tcPr>
            <w:tcW w:w="1060" w:type="dxa"/>
            <w:vAlign w:val="bottom"/>
          </w:tcPr>
          <w:p>
            <w:pPr>
              <w:jc w:val="center"/>
              <w:spacing w:after="0"/>
              <w:rPr>
                <w:sz w:val="20"/>
                <w:szCs w:val="20"/>
                <w:color w:val="auto"/>
              </w:rPr>
            </w:pPr>
            <w:r>
              <w:rPr>
                <w:rFonts w:ascii="Arial" w:cs="Arial" w:eastAsia="Arial" w:hAnsi="Arial"/>
                <w:sz w:val="14"/>
                <w:szCs w:val="14"/>
                <w:color w:val="auto"/>
              </w:rPr>
              <w:t>10.1</w:t>
            </w:r>
          </w:p>
        </w:tc>
        <w:tc>
          <w:tcPr>
            <w:tcW w:w="1480" w:type="dxa"/>
            <w:vAlign w:val="bottom"/>
          </w:tcPr>
          <w:p>
            <w:pPr>
              <w:jc w:val="center"/>
              <w:ind w:left="128"/>
              <w:spacing w:after="0"/>
              <w:rPr>
                <w:sz w:val="20"/>
                <w:szCs w:val="20"/>
                <w:color w:val="auto"/>
              </w:rPr>
            </w:pPr>
            <w:r>
              <w:rPr>
                <w:rFonts w:ascii="Arial" w:cs="Arial" w:eastAsia="Arial" w:hAnsi="Arial"/>
                <w:sz w:val="14"/>
                <w:szCs w:val="14"/>
                <w:color w:val="auto"/>
              </w:rPr>
              <w:t>May 2, 2016</w:t>
            </w:r>
          </w:p>
        </w:tc>
        <w:tc>
          <w:tcPr>
            <w:tcW w:w="0" w:type="dxa"/>
            <w:vAlign w:val="bottom"/>
          </w:tcPr>
          <w:p>
            <w:pPr>
              <w:spacing w:after="0"/>
              <w:rPr>
                <w:sz w:val="1"/>
                <w:szCs w:val="1"/>
                <w:color w:val="auto"/>
              </w:rPr>
            </w:pPr>
          </w:p>
        </w:tc>
      </w:tr>
      <w:tr>
        <w:trPr>
          <w:trHeight w:val="648"/>
        </w:trPr>
        <w:tc>
          <w:tcPr>
            <w:tcW w:w="7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S-1</w:t>
            </w:r>
          </w:p>
        </w:tc>
        <w:tc>
          <w:tcPr>
            <w:tcW w:w="1200" w:type="dxa"/>
            <w:vAlign w:val="bottom"/>
          </w:tcPr>
          <w:p>
            <w:pPr>
              <w:jc w:val="center"/>
              <w:ind w:left="28"/>
              <w:spacing w:after="0"/>
              <w:rPr>
                <w:sz w:val="20"/>
                <w:szCs w:val="20"/>
                <w:color w:val="auto"/>
              </w:rPr>
            </w:pPr>
            <w:r>
              <w:rPr>
                <w:rFonts w:ascii="Arial" w:cs="Arial" w:eastAsia="Arial" w:hAnsi="Arial"/>
                <w:sz w:val="14"/>
                <w:szCs w:val="14"/>
                <w:color w:val="auto"/>
              </w:rPr>
              <w:t>333-182027</w:t>
            </w:r>
          </w:p>
        </w:tc>
        <w:tc>
          <w:tcPr>
            <w:tcW w:w="1060" w:type="dxa"/>
            <w:vAlign w:val="bottom"/>
          </w:tcPr>
          <w:p>
            <w:pPr>
              <w:jc w:val="center"/>
              <w:spacing w:after="0"/>
              <w:rPr>
                <w:sz w:val="20"/>
                <w:szCs w:val="20"/>
                <w:color w:val="auto"/>
              </w:rPr>
            </w:pPr>
            <w:r>
              <w:rPr>
                <w:rFonts w:ascii="Arial" w:cs="Arial" w:eastAsia="Arial" w:hAnsi="Arial"/>
                <w:sz w:val="14"/>
                <w:szCs w:val="14"/>
                <w:color w:val="auto"/>
              </w:rPr>
              <w:t>10.9</w:t>
            </w:r>
          </w:p>
        </w:tc>
        <w:tc>
          <w:tcPr>
            <w:tcW w:w="1480" w:type="dxa"/>
            <w:vAlign w:val="bottom"/>
          </w:tcPr>
          <w:p>
            <w:pPr>
              <w:jc w:val="center"/>
              <w:ind w:left="128"/>
              <w:spacing w:after="0"/>
              <w:rPr>
                <w:sz w:val="20"/>
                <w:szCs w:val="20"/>
                <w:color w:val="auto"/>
              </w:rPr>
            </w:pPr>
            <w:r>
              <w:rPr>
                <w:rFonts w:ascii="Arial" w:cs="Arial" w:eastAsia="Arial" w:hAnsi="Arial"/>
                <w:sz w:val="14"/>
                <w:szCs w:val="14"/>
                <w:color w:val="auto"/>
              </w:rPr>
              <w:t>June 8, 2012</w:t>
            </w:r>
          </w:p>
        </w:tc>
        <w:tc>
          <w:tcPr>
            <w:tcW w:w="0" w:type="dxa"/>
            <w:vAlign w:val="bottom"/>
          </w:tcPr>
          <w:p>
            <w:pPr>
              <w:spacing w:after="0"/>
              <w:rPr>
                <w:sz w:val="1"/>
                <w:szCs w:val="1"/>
                <w:color w:val="auto"/>
              </w:rPr>
            </w:pPr>
          </w:p>
        </w:tc>
      </w:tr>
      <w:tr>
        <w:trPr>
          <w:trHeight w:val="567"/>
        </w:trPr>
        <w:tc>
          <w:tcPr>
            <w:tcW w:w="7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S-1/A</w:t>
            </w:r>
          </w:p>
        </w:tc>
        <w:tc>
          <w:tcPr>
            <w:tcW w:w="1200" w:type="dxa"/>
            <w:vAlign w:val="bottom"/>
          </w:tcPr>
          <w:p>
            <w:pPr>
              <w:jc w:val="center"/>
              <w:ind w:left="28"/>
              <w:spacing w:after="0"/>
              <w:rPr>
                <w:sz w:val="20"/>
                <w:szCs w:val="20"/>
                <w:color w:val="auto"/>
              </w:rPr>
            </w:pPr>
            <w:r>
              <w:rPr>
                <w:rFonts w:ascii="Arial" w:cs="Arial" w:eastAsia="Arial" w:hAnsi="Arial"/>
                <w:sz w:val="14"/>
                <w:szCs w:val="14"/>
                <w:color w:val="auto"/>
              </w:rPr>
              <w:t>333-182027</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10.10</w:t>
            </w:r>
          </w:p>
        </w:tc>
        <w:tc>
          <w:tcPr>
            <w:tcW w:w="1480" w:type="dxa"/>
            <w:vAlign w:val="bottom"/>
          </w:tcPr>
          <w:p>
            <w:pPr>
              <w:jc w:val="center"/>
              <w:ind w:left="128"/>
              <w:spacing w:after="0"/>
              <w:rPr>
                <w:sz w:val="20"/>
                <w:szCs w:val="20"/>
                <w:color w:val="auto"/>
              </w:rPr>
            </w:pPr>
            <w:r>
              <w:rPr>
                <w:rFonts w:ascii="Arial" w:cs="Arial" w:eastAsia="Arial" w:hAnsi="Arial"/>
                <w:sz w:val="14"/>
                <w:szCs w:val="14"/>
                <w:color w:val="auto"/>
              </w:rPr>
              <w:t>August 10, 2012</w:t>
            </w: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8"/>
        </w:trPr>
        <w:tc>
          <w:tcPr>
            <w:tcW w:w="7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8-K</w:t>
            </w:r>
          </w:p>
        </w:tc>
        <w:tc>
          <w:tcPr>
            <w:tcW w:w="1200" w:type="dxa"/>
            <w:vAlign w:val="bottom"/>
          </w:tcPr>
          <w:p>
            <w:pPr>
              <w:jc w:val="center"/>
              <w:ind w:left="28"/>
              <w:spacing w:after="0"/>
              <w:rPr>
                <w:sz w:val="20"/>
                <w:szCs w:val="20"/>
                <w:color w:val="auto"/>
              </w:rPr>
            </w:pPr>
            <w:r>
              <w:rPr>
                <w:rFonts w:ascii="Arial" w:cs="Arial" w:eastAsia="Arial" w:hAnsi="Arial"/>
                <w:sz w:val="14"/>
                <w:szCs w:val="14"/>
                <w:color w:val="auto"/>
              </w:rPr>
              <w:t>001-35662</w:t>
            </w:r>
          </w:p>
        </w:tc>
        <w:tc>
          <w:tcPr>
            <w:tcW w:w="1060" w:type="dxa"/>
            <w:vAlign w:val="bottom"/>
          </w:tcPr>
          <w:p>
            <w:pPr>
              <w:jc w:val="center"/>
              <w:spacing w:after="0"/>
              <w:rPr>
                <w:sz w:val="20"/>
                <w:szCs w:val="20"/>
                <w:color w:val="auto"/>
              </w:rPr>
            </w:pPr>
            <w:r>
              <w:rPr>
                <w:rFonts w:ascii="Arial" w:cs="Arial" w:eastAsia="Arial" w:hAnsi="Arial"/>
                <w:sz w:val="14"/>
                <w:szCs w:val="14"/>
                <w:color w:val="auto"/>
              </w:rPr>
              <w:t>10.1</w:t>
            </w:r>
          </w:p>
        </w:tc>
        <w:tc>
          <w:tcPr>
            <w:tcW w:w="1480" w:type="dxa"/>
            <w:vAlign w:val="bottom"/>
          </w:tcPr>
          <w:p>
            <w:pPr>
              <w:jc w:val="center"/>
              <w:ind w:left="128"/>
              <w:spacing w:after="0"/>
              <w:rPr>
                <w:sz w:val="20"/>
                <w:szCs w:val="20"/>
                <w:color w:val="auto"/>
              </w:rPr>
            </w:pPr>
            <w:r>
              <w:rPr>
                <w:rFonts w:ascii="Arial" w:cs="Arial" w:eastAsia="Arial" w:hAnsi="Arial"/>
                <w:sz w:val="14"/>
                <w:szCs w:val="14"/>
                <w:color w:val="auto"/>
              </w:rPr>
              <w:t>October 19, 2016</w:t>
            </w:r>
          </w:p>
        </w:tc>
        <w:tc>
          <w:tcPr>
            <w:tcW w:w="0" w:type="dxa"/>
            <w:vAlign w:val="bottom"/>
          </w:tcPr>
          <w:p>
            <w:pPr>
              <w:spacing w:after="0"/>
              <w:rPr>
                <w:sz w:val="1"/>
                <w:szCs w:val="1"/>
                <w:color w:val="auto"/>
              </w:rPr>
            </w:pPr>
          </w:p>
        </w:tc>
      </w:tr>
      <w:tr>
        <w:trPr>
          <w:trHeight w:val="557"/>
        </w:trPr>
        <w:tc>
          <w:tcPr>
            <w:tcW w:w="7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Schedule 14A,</w:t>
            </w:r>
          </w:p>
        </w:tc>
        <w:tc>
          <w:tcPr>
            <w:tcW w:w="1200" w:type="dxa"/>
            <w:vAlign w:val="bottom"/>
          </w:tcPr>
          <w:p>
            <w:pPr>
              <w:jc w:val="center"/>
              <w:ind w:left="28"/>
              <w:spacing w:after="0"/>
              <w:rPr>
                <w:sz w:val="20"/>
                <w:szCs w:val="20"/>
                <w:color w:val="auto"/>
              </w:rPr>
            </w:pPr>
            <w:r>
              <w:rPr>
                <w:rFonts w:ascii="Arial" w:cs="Arial" w:eastAsia="Arial" w:hAnsi="Arial"/>
                <w:sz w:val="14"/>
                <w:szCs w:val="14"/>
                <w:color w:val="auto"/>
              </w:rPr>
              <w:t>001-35662</w:t>
            </w:r>
          </w:p>
        </w:tc>
        <w:tc>
          <w:tcPr>
            <w:tcW w:w="1060" w:type="dxa"/>
            <w:vAlign w:val="bottom"/>
          </w:tcPr>
          <w:p>
            <w:pPr>
              <w:jc w:val="center"/>
              <w:spacing w:after="0"/>
              <w:rPr>
                <w:sz w:val="20"/>
                <w:szCs w:val="20"/>
                <w:color w:val="auto"/>
              </w:rPr>
            </w:pPr>
            <w:r>
              <w:rPr>
                <w:rFonts w:ascii="Arial" w:cs="Arial" w:eastAsia="Arial" w:hAnsi="Arial"/>
                <w:sz w:val="14"/>
                <w:szCs w:val="14"/>
                <w:color w:val="auto"/>
              </w:rPr>
              <w:t>N/A</w:t>
            </w:r>
          </w:p>
        </w:tc>
        <w:tc>
          <w:tcPr>
            <w:tcW w:w="1480" w:type="dxa"/>
            <w:vAlign w:val="bottom"/>
          </w:tcPr>
          <w:p>
            <w:pPr>
              <w:jc w:val="center"/>
              <w:ind w:left="128"/>
              <w:spacing w:after="0"/>
              <w:rPr>
                <w:sz w:val="20"/>
                <w:szCs w:val="20"/>
                <w:color w:val="auto"/>
              </w:rPr>
            </w:pPr>
            <w:r>
              <w:rPr>
                <w:rFonts w:ascii="Arial" w:cs="Arial" w:eastAsia="Arial" w:hAnsi="Arial"/>
                <w:sz w:val="14"/>
                <w:szCs w:val="14"/>
                <w:color w:val="auto"/>
              </w:rPr>
              <w:t>April 25, 2016</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Appendix A</w:t>
            </w: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912" w:orient="portrait"/>
          <w:cols w:equalWidth="0" w:num="2">
            <w:col w:w="5220" w:space="240"/>
            <w:col w:w="5820"/>
          </w:cols>
          <w:pgMar w:left="240" w:top="141" w:right="379" w:bottom="0" w:gutter="0" w:footer="0" w:header="0"/>
          <w:type w:val="continuous"/>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ind w:right="368"/>
              <w:spacing w:after="0"/>
              <w:rPr>
                <w:sz w:val="20"/>
                <w:szCs w:val="20"/>
                <w:color w:val="auto"/>
              </w:rPr>
            </w:pPr>
            <w:r>
              <w:rPr>
                <w:rFonts w:ascii="Arial" w:cs="Arial" w:eastAsia="Arial" w:hAnsi="Arial"/>
                <w:sz w:val="14"/>
                <w:szCs w:val="14"/>
                <w:color w:val="auto"/>
              </w:rPr>
              <w:t>10.11*†</w:t>
            </w:r>
          </w:p>
        </w:tc>
        <w:tc>
          <w:tcPr>
            <w:tcW w:w="4360" w:type="dxa"/>
            <w:vAlign w:val="bottom"/>
            <w:gridSpan w:val="22"/>
          </w:tcPr>
          <w:p>
            <w:pPr>
              <w:spacing w:after="0"/>
              <w:rPr>
                <w:rFonts w:ascii="Arial" w:cs="Arial" w:eastAsia="Arial" w:hAnsi="Arial"/>
                <w:sz w:val="14"/>
                <w:szCs w:val="14"/>
                <w:color w:val="0000FF"/>
              </w:rPr>
            </w:pPr>
            <w:hyperlink r:id="rId27">
              <w:r>
                <w:rPr>
                  <w:rFonts w:ascii="Arial" w:cs="Arial" w:eastAsia="Arial" w:hAnsi="Arial"/>
                  <w:sz w:val="14"/>
                  <w:szCs w:val="14"/>
                  <w:color w:val="0000FF"/>
                </w:rPr>
                <w:t>Qualys, Inc. 2016 Corporate Bonus Plan, as amended.</w:t>
              </w:r>
            </w:hyperlink>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20" w:type="dxa"/>
            <w:vAlign w:val="bottom"/>
            <w:vMerge w:val="restart"/>
          </w:tcPr>
          <w:p>
            <w:pPr>
              <w:jc w:val="center"/>
              <w:ind w:right="348"/>
              <w:spacing w:after="0"/>
              <w:rPr>
                <w:sz w:val="20"/>
                <w:szCs w:val="20"/>
                <w:color w:val="auto"/>
              </w:rPr>
            </w:pPr>
            <w:r>
              <w:rPr>
                <w:rFonts w:ascii="Arial" w:cs="Arial" w:eastAsia="Arial" w:hAnsi="Arial"/>
                <w:sz w:val="14"/>
                <w:szCs w:val="14"/>
                <w:color w:val="auto"/>
              </w:rPr>
              <w:t>10.12</w:t>
            </w:r>
          </w:p>
        </w:tc>
        <w:tc>
          <w:tcPr>
            <w:tcW w:w="3940" w:type="dxa"/>
            <w:vAlign w:val="bottom"/>
            <w:tcBorders>
              <w:bottom w:val="single" w:sz="8" w:color="0000FF"/>
            </w:tcBorders>
            <w:gridSpan w:val="14"/>
          </w:tcPr>
          <w:p>
            <w:pPr>
              <w:spacing w:after="0"/>
              <w:rPr>
                <w:rFonts w:ascii="Arial" w:cs="Arial" w:eastAsia="Arial" w:hAnsi="Arial"/>
                <w:sz w:val="14"/>
                <w:szCs w:val="14"/>
                <w:color w:val="0000FF"/>
              </w:rPr>
            </w:pPr>
            <w:hyperlink r:id="rId28">
              <w:r>
                <w:rPr>
                  <w:rFonts w:ascii="Arial" w:cs="Arial" w:eastAsia="Arial" w:hAnsi="Arial"/>
                  <w:sz w:val="14"/>
                  <w:szCs w:val="14"/>
                  <w:color w:val="0000FF"/>
                </w:rPr>
                <w:t>Master Services Agreement, between Qualys, Inc. and Savvis</w:t>
              </w:r>
            </w:hyperlink>
          </w:p>
        </w:tc>
        <w:tc>
          <w:tcPr>
            <w:tcW w:w="420" w:type="dxa"/>
            <w:vAlign w:val="bottom"/>
            <w:gridSpan w:val="8"/>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20" w:type="dxa"/>
            <w:vAlign w:val="bottom"/>
            <w:vMerge w:val="continue"/>
          </w:tcPr>
          <w:p>
            <w:pPr>
              <w:spacing w:after="0"/>
              <w:rPr>
                <w:sz w:val="7"/>
                <w:szCs w:val="7"/>
                <w:color w:val="auto"/>
              </w:rPr>
            </w:pPr>
          </w:p>
        </w:tc>
        <w:tc>
          <w:tcPr>
            <w:tcW w:w="3300" w:type="dxa"/>
            <w:vAlign w:val="bottom"/>
            <w:gridSpan w:val="9"/>
            <w:vMerge w:val="restart"/>
          </w:tcPr>
          <w:p>
            <w:pPr>
              <w:spacing w:after="0" w:line="142" w:lineRule="exact"/>
              <w:rPr>
                <w:rFonts w:ascii="Arial" w:cs="Arial" w:eastAsia="Arial" w:hAnsi="Arial"/>
                <w:sz w:val="14"/>
                <w:szCs w:val="14"/>
                <w:color w:val="0000FF"/>
              </w:rPr>
            </w:pPr>
            <w:hyperlink r:id="rId28">
              <w:r>
                <w:rPr>
                  <w:rFonts w:ascii="Arial" w:cs="Arial" w:eastAsia="Arial" w:hAnsi="Arial"/>
                  <w:sz w:val="14"/>
                  <w:szCs w:val="14"/>
                  <w:color w:val="0000FF"/>
                </w:rPr>
                <w:t>Communications Corporation, dated June 22, 2010.</w:t>
              </w:r>
            </w:hyperlink>
          </w:p>
        </w:tc>
        <w:tc>
          <w:tcPr>
            <w:tcW w:w="1060" w:type="dxa"/>
            <w:vAlign w:val="bottom"/>
            <w:gridSpan w:val="13"/>
            <w:vMerge w:val="restart"/>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020" w:type="dxa"/>
            <w:vAlign w:val="bottom"/>
          </w:tcPr>
          <w:p>
            <w:pPr>
              <w:spacing w:after="0"/>
              <w:rPr>
                <w:sz w:val="4"/>
                <w:szCs w:val="4"/>
                <w:color w:val="auto"/>
              </w:rPr>
            </w:pPr>
          </w:p>
        </w:tc>
        <w:tc>
          <w:tcPr>
            <w:tcW w:w="3300" w:type="dxa"/>
            <w:vAlign w:val="bottom"/>
            <w:tcBorders>
              <w:bottom w:val="single" w:sz="8" w:color="0000FF"/>
            </w:tcBorders>
            <w:gridSpan w:val="9"/>
            <w:vMerge w:val="continue"/>
          </w:tcPr>
          <w:p>
            <w:pPr>
              <w:spacing w:after="0"/>
              <w:rPr>
                <w:sz w:val="4"/>
                <w:szCs w:val="4"/>
                <w:color w:val="auto"/>
              </w:rPr>
            </w:pPr>
          </w:p>
        </w:tc>
        <w:tc>
          <w:tcPr>
            <w:tcW w:w="1060" w:type="dxa"/>
            <w:vAlign w:val="bottom"/>
            <w:gridSpan w:val="13"/>
            <w:vMerge w:val="continue"/>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020" w:type="dxa"/>
            <w:vAlign w:val="bottom"/>
            <w:vMerge w:val="restart"/>
          </w:tcPr>
          <w:p>
            <w:pPr>
              <w:jc w:val="center"/>
              <w:ind w:right="348"/>
              <w:spacing w:after="0"/>
              <w:rPr>
                <w:sz w:val="20"/>
                <w:szCs w:val="20"/>
                <w:color w:val="auto"/>
              </w:rPr>
            </w:pPr>
            <w:r>
              <w:rPr>
                <w:rFonts w:ascii="Arial" w:cs="Arial" w:eastAsia="Arial" w:hAnsi="Arial"/>
                <w:sz w:val="14"/>
                <w:szCs w:val="14"/>
                <w:color w:val="auto"/>
              </w:rPr>
              <w:t>10.13†</w:t>
            </w:r>
          </w:p>
        </w:tc>
        <w:tc>
          <w:tcPr>
            <w:tcW w:w="3500" w:type="dxa"/>
            <w:vAlign w:val="bottom"/>
            <w:tcBorders>
              <w:bottom w:val="single" w:sz="8" w:color="0000FF"/>
            </w:tcBorders>
            <w:gridSpan w:val="11"/>
          </w:tcPr>
          <w:p>
            <w:pPr>
              <w:spacing w:after="0"/>
              <w:rPr>
                <w:rFonts w:ascii="Arial" w:cs="Arial" w:eastAsia="Arial" w:hAnsi="Arial"/>
                <w:sz w:val="14"/>
                <w:szCs w:val="14"/>
                <w:color w:val="0000FF"/>
              </w:rPr>
            </w:pPr>
            <w:hyperlink r:id="rId29">
              <w:r>
                <w:rPr>
                  <w:rFonts w:ascii="Arial" w:cs="Arial" w:eastAsia="Arial" w:hAnsi="Arial"/>
                  <w:sz w:val="14"/>
                  <w:szCs w:val="14"/>
                  <w:color w:val="0000FF"/>
                </w:rPr>
                <w:t>Master Agreement, between Qualys, Inc. and Interoute</w:t>
              </w:r>
            </w:hyperlink>
          </w:p>
        </w:tc>
        <w:tc>
          <w:tcPr>
            <w:tcW w:w="860" w:type="dxa"/>
            <w:vAlign w:val="bottom"/>
            <w:gridSpan w:val="11"/>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20" w:type="dxa"/>
            <w:vAlign w:val="bottom"/>
            <w:vMerge w:val="continue"/>
          </w:tcPr>
          <w:p>
            <w:pPr>
              <w:spacing w:after="0"/>
              <w:rPr>
                <w:sz w:val="7"/>
                <w:szCs w:val="7"/>
                <w:color w:val="auto"/>
              </w:rPr>
            </w:pPr>
          </w:p>
        </w:tc>
        <w:tc>
          <w:tcPr>
            <w:tcW w:w="3100" w:type="dxa"/>
            <w:vAlign w:val="bottom"/>
            <w:gridSpan w:val="8"/>
            <w:vMerge w:val="restart"/>
          </w:tcPr>
          <w:p>
            <w:pPr>
              <w:spacing w:after="0" w:line="142" w:lineRule="exact"/>
              <w:rPr>
                <w:rFonts w:ascii="Arial" w:cs="Arial" w:eastAsia="Arial" w:hAnsi="Arial"/>
                <w:sz w:val="14"/>
                <w:szCs w:val="14"/>
                <w:color w:val="0000FF"/>
              </w:rPr>
            </w:pPr>
            <w:hyperlink r:id="rId29">
              <w:r>
                <w:rPr>
                  <w:rFonts w:ascii="Arial" w:cs="Arial" w:eastAsia="Arial" w:hAnsi="Arial"/>
                  <w:sz w:val="14"/>
                  <w:szCs w:val="14"/>
                  <w:color w:val="0000FF"/>
                </w:rPr>
                <w:t>Communications Limited, dated March 31, 2008.</w:t>
              </w:r>
            </w:hyperlink>
          </w:p>
        </w:tc>
        <w:tc>
          <w:tcPr>
            <w:tcW w:w="1260" w:type="dxa"/>
            <w:vAlign w:val="bottom"/>
            <w:gridSpan w:val="14"/>
            <w:vMerge w:val="restart"/>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020" w:type="dxa"/>
            <w:vAlign w:val="bottom"/>
          </w:tcPr>
          <w:p>
            <w:pPr>
              <w:spacing w:after="0"/>
              <w:rPr>
                <w:sz w:val="4"/>
                <w:szCs w:val="4"/>
                <w:color w:val="auto"/>
              </w:rPr>
            </w:pPr>
          </w:p>
        </w:tc>
        <w:tc>
          <w:tcPr>
            <w:tcW w:w="3100" w:type="dxa"/>
            <w:vAlign w:val="bottom"/>
            <w:tcBorders>
              <w:bottom w:val="single" w:sz="8" w:color="0000FF"/>
            </w:tcBorders>
            <w:gridSpan w:val="8"/>
            <w:vMerge w:val="continue"/>
          </w:tcPr>
          <w:p>
            <w:pPr>
              <w:spacing w:after="0"/>
              <w:rPr>
                <w:sz w:val="4"/>
                <w:szCs w:val="4"/>
                <w:color w:val="auto"/>
              </w:rPr>
            </w:pPr>
          </w:p>
        </w:tc>
        <w:tc>
          <w:tcPr>
            <w:tcW w:w="1260" w:type="dxa"/>
            <w:vAlign w:val="bottom"/>
            <w:gridSpan w:val="14"/>
            <w:vMerge w:val="continue"/>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020" w:type="dxa"/>
            <w:vAlign w:val="bottom"/>
            <w:vMerge w:val="restart"/>
          </w:tcPr>
          <w:p>
            <w:pPr>
              <w:jc w:val="center"/>
              <w:ind w:right="348"/>
              <w:spacing w:after="0"/>
              <w:rPr>
                <w:sz w:val="20"/>
                <w:szCs w:val="20"/>
                <w:color w:val="auto"/>
              </w:rPr>
            </w:pPr>
            <w:r>
              <w:rPr>
                <w:rFonts w:ascii="Arial" w:cs="Arial" w:eastAsia="Arial" w:hAnsi="Arial"/>
                <w:sz w:val="14"/>
                <w:szCs w:val="14"/>
                <w:color w:val="auto"/>
              </w:rPr>
              <w:t>10.14†</w:t>
            </w:r>
          </w:p>
        </w:tc>
        <w:tc>
          <w:tcPr>
            <w:tcW w:w="4360" w:type="dxa"/>
            <w:vAlign w:val="bottom"/>
            <w:gridSpan w:val="22"/>
          </w:tcPr>
          <w:p>
            <w:pPr>
              <w:spacing w:after="0"/>
              <w:rPr>
                <w:rFonts w:ascii="Arial" w:cs="Arial" w:eastAsia="Arial" w:hAnsi="Arial"/>
                <w:sz w:val="14"/>
                <w:szCs w:val="14"/>
                <w:color w:val="0000FF"/>
              </w:rPr>
            </w:pPr>
            <w:hyperlink r:id="rId30">
              <w:r>
                <w:rPr>
                  <w:rFonts w:ascii="Arial" w:cs="Arial" w:eastAsia="Arial" w:hAnsi="Arial"/>
                  <w:sz w:val="14"/>
                  <w:szCs w:val="14"/>
                  <w:color w:val="0000FF"/>
                </w:rPr>
                <w:t>Manufacturing Services Agreement, between Qualys, Inc. and</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20" w:type="dxa"/>
            <w:vAlign w:val="bottom"/>
            <w:vMerge w:val="continue"/>
          </w:tcPr>
          <w:p>
            <w:pPr>
              <w:spacing w:after="0"/>
              <w:rPr>
                <w:sz w:val="7"/>
                <w:szCs w:val="7"/>
                <w:color w:val="auto"/>
              </w:rPr>
            </w:pPr>
          </w:p>
        </w:tc>
        <w:tc>
          <w:tcPr>
            <w:tcW w:w="3940" w:type="dxa"/>
            <w:vAlign w:val="bottom"/>
            <w:tcBorders>
              <w:top w:val="single" w:sz="8" w:color="0000FF"/>
            </w:tcBorders>
            <w:gridSpan w:val="14"/>
            <w:vMerge w:val="restart"/>
          </w:tcPr>
          <w:p>
            <w:pPr>
              <w:spacing w:after="0" w:line="142" w:lineRule="exact"/>
              <w:rPr>
                <w:rFonts w:ascii="Arial" w:cs="Arial" w:eastAsia="Arial" w:hAnsi="Arial"/>
                <w:sz w:val="14"/>
                <w:szCs w:val="14"/>
                <w:color w:val="0000FF"/>
              </w:rPr>
            </w:pPr>
            <w:hyperlink r:id="rId30">
              <w:r>
                <w:rPr>
                  <w:rFonts w:ascii="Arial" w:cs="Arial" w:eastAsia="Arial" w:hAnsi="Arial"/>
                  <w:sz w:val="14"/>
                  <w:szCs w:val="14"/>
                  <w:color w:val="0000FF"/>
                </w:rPr>
                <w:t>Synnex Corporation, dated March 1, 2011.</w:t>
              </w:r>
            </w:hyperlink>
          </w:p>
        </w:tc>
        <w:tc>
          <w:tcPr>
            <w:tcW w:w="420" w:type="dxa"/>
            <w:vAlign w:val="bottom"/>
            <w:gridSpan w:val="8"/>
            <w:vMerge w:val="restart"/>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020" w:type="dxa"/>
            <w:vAlign w:val="bottom"/>
          </w:tcPr>
          <w:p>
            <w:pPr>
              <w:spacing w:after="0"/>
              <w:rPr>
                <w:sz w:val="4"/>
                <w:szCs w:val="4"/>
                <w:color w:val="auto"/>
              </w:rPr>
            </w:pPr>
          </w:p>
        </w:tc>
        <w:tc>
          <w:tcPr>
            <w:tcW w:w="3940" w:type="dxa"/>
            <w:vAlign w:val="bottom"/>
            <w:gridSpan w:val="14"/>
            <w:vMerge w:val="continue"/>
          </w:tcPr>
          <w:p>
            <w:pPr>
              <w:spacing w:after="0"/>
              <w:rPr>
                <w:sz w:val="4"/>
                <w:szCs w:val="4"/>
                <w:color w:val="auto"/>
              </w:rPr>
            </w:pPr>
          </w:p>
        </w:tc>
        <w:tc>
          <w:tcPr>
            <w:tcW w:w="420" w:type="dxa"/>
            <w:vAlign w:val="bottom"/>
            <w:gridSpan w:val="8"/>
            <w:vMerge w:val="continue"/>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93"/>
        </w:trPr>
        <w:tc>
          <w:tcPr>
            <w:tcW w:w="1020" w:type="dxa"/>
            <w:vAlign w:val="bottom"/>
          </w:tcPr>
          <w:p>
            <w:pPr>
              <w:jc w:val="center"/>
              <w:ind w:right="348"/>
              <w:spacing w:after="0"/>
              <w:rPr>
                <w:sz w:val="20"/>
                <w:szCs w:val="20"/>
                <w:color w:val="auto"/>
              </w:rPr>
            </w:pPr>
            <w:r>
              <w:rPr>
                <w:rFonts w:ascii="Arial" w:cs="Arial" w:eastAsia="Arial" w:hAnsi="Arial"/>
                <w:sz w:val="14"/>
                <w:szCs w:val="14"/>
                <w:color w:val="auto"/>
              </w:rPr>
              <w:t>21.1</w:t>
            </w:r>
          </w:p>
        </w:tc>
        <w:tc>
          <w:tcPr>
            <w:tcW w:w="2140" w:type="dxa"/>
            <w:vAlign w:val="bottom"/>
            <w:tcBorders>
              <w:top w:val="single" w:sz="8" w:color="0000FF"/>
              <w:bottom w:val="single" w:sz="8" w:color="0000FF"/>
            </w:tcBorders>
            <w:gridSpan w:val="5"/>
          </w:tcPr>
          <w:p>
            <w:pPr>
              <w:spacing w:after="0"/>
              <w:rPr>
                <w:rFonts w:ascii="Arial" w:cs="Arial" w:eastAsia="Arial" w:hAnsi="Arial"/>
                <w:sz w:val="14"/>
                <w:szCs w:val="14"/>
                <w:color w:val="0000FF"/>
              </w:rPr>
            </w:pPr>
            <w:hyperlink w:anchor="page102">
              <w:r>
                <w:rPr>
                  <w:rFonts w:ascii="Arial" w:cs="Arial" w:eastAsia="Arial" w:hAnsi="Arial"/>
                  <w:sz w:val="14"/>
                  <w:szCs w:val="14"/>
                  <w:color w:val="0000FF"/>
                </w:rPr>
                <w:t>List of subsidiaries of Qualys, Inc.</w:t>
              </w:r>
            </w:hyperlink>
          </w:p>
        </w:tc>
        <w:tc>
          <w:tcPr>
            <w:tcW w:w="560" w:type="dxa"/>
            <w:vAlign w:val="bottom"/>
            <w:tcBorders>
              <w:top w:val="single" w:sz="8" w:color="0000FF"/>
            </w:tcBorders>
            <w:gridSpan w:val="2"/>
          </w:tcPr>
          <w:p>
            <w:pPr>
              <w:spacing w:after="0"/>
              <w:rPr>
                <w:sz w:val="24"/>
                <w:szCs w:val="24"/>
                <w:color w:val="auto"/>
              </w:rPr>
            </w:pPr>
          </w:p>
        </w:tc>
        <w:tc>
          <w:tcPr>
            <w:tcW w:w="1660" w:type="dxa"/>
            <w:vAlign w:val="bottom"/>
            <w:gridSpan w:val="15"/>
          </w:tcPr>
          <w:p>
            <w:pPr>
              <w:spacing w:after="0"/>
              <w:rPr>
                <w:sz w:val="24"/>
                <w:szCs w:val="24"/>
                <w:color w:val="auto"/>
              </w:rPr>
            </w:pPr>
          </w:p>
        </w:tc>
        <w:tc>
          <w:tcPr>
            <w:tcW w:w="340" w:type="dxa"/>
            <w:vAlign w:val="bottom"/>
          </w:tcPr>
          <w:p>
            <w:pPr>
              <w:ind w:left="2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547"/>
        </w:trPr>
        <w:tc>
          <w:tcPr>
            <w:tcW w:w="1020" w:type="dxa"/>
            <w:vAlign w:val="bottom"/>
            <w:vMerge w:val="restart"/>
          </w:tcPr>
          <w:p>
            <w:pPr>
              <w:jc w:val="center"/>
              <w:ind w:right="348"/>
              <w:spacing w:after="0"/>
              <w:rPr>
                <w:sz w:val="20"/>
                <w:szCs w:val="20"/>
                <w:color w:val="auto"/>
              </w:rPr>
            </w:pPr>
            <w:r>
              <w:rPr>
                <w:rFonts w:ascii="Arial" w:cs="Arial" w:eastAsia="Arial" w:hAnsi="Arial"/>
                <w:sz w:val="14"/>
                <w:szCs w:val="14"/>
                <w:color w:val="auto"/>
              </w:rPr>
              <w:t>23.1</w:t>
            </w:r>
          </w:p>
        </w:tc>
        <w:tc>
          <w:tcPr>
            <w:tcW w:w="3960" w:type="dxa"/>
            <w:vAlign w:val="bottom"/>
            <w:tcBorders>
              <w:bottom w:val="single" w:sz="8" w:color="0000FF"/>
            </w:tcBorders>
            <w:gridSpan w:val="15"/>
          </w:tcPr>
          <w:p>
            <w:pPr>
              <w:spacing w:after="0"/>
              <w:rPr>
                <w:rFonts w:ascii="Arial" w:cs="Arial" w:eastAsia="Arial" w:hAnsi="Arial"/>
                <w:sz w:val="14"/>
                <w:szCs w:val="14"/>
                <w:color w:val="0000FF"/>
              </w:rPr>
            </w:pPr>
            <w:hyperlink w:anchor="page103">
              <w:r>
                <w:rPr>
                  <w:rFonts w:ascii="Arial" w:cs="Arial" w:eastAsia="Arial" w:hAnsi="Arial"/>
                  <w:sz w:val="14"/>
                  <w:szCs w:val="14"/>
                  <w:color w:val="0000FF"/>
                </w:rPr>
                <w:t>Consent of Grant Thornton LLP, independent registered public</w:t>
              </w:r>
            </w:hyperlink>
          </w:p>
        </w:tc>
        <w:tc>
          <w:tcPr>
            <w:tcW w:w="400" w:type="dxa"/>
            <w:vAlign w:val="bottom"/>
            <w:gridSpan w:val="7"/>
          </w:tcPr>
          <w:p>
            <w:pPr>
              <w:spacing w:after="0"/>
              <w:rPr>
                <w:sz w:val="24"/>
                <w:szCs w:val="24"/>
                <w:color w:val="auto"/>
              </w:rPr>
            </w:pPr>
          </w:p>
        </w:tc>
        <w:tc>
          <w:tcPr>
            <w:tcW w:w="340" w:type="dxa"/>
            <w:vAlign w:val="bottom"/>
            <w:vMerge w:val="restart"/>
          </w:tcPr>
          <w:p>
            <w:pPr>
              <w:ind w:left="2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90"/>
        </w:trPr>
        <w:tc>
          <w:tcPr>
            <w:tcW w:w="1020" w:type="dxa"/>
            <w:vAlign w:val="bottom"/>
            <w:vMerge w:val="continue"/>
          </w:tcPr>
          <w:p>
            <w:pPr>
              <w:spacing w:after="0"/>
              <w:rPr>
                <w:sz w:val="7"/>
                <w:szCs w:val="7"/>
                <w:color w:val="auto"/>
              </w:rPr>
            </w:pPr>
          </w:p>
        </w:tc>
        <w:tc>
          <w:tcPr>
            <w:tcW w:w="1020" w:type="dxa"/>
            <w:vAlign w:val="bottom"/>
            <w:gridSpan w:val="3"/>
            <w:vMerge w:val="restart"/>
          </w:tcPr>
          <w:p>
            <w:pPr>
              <w:spacing w:after="0" w:line="142" w:lineRule="exact"/>
              <w:rPr>
                <w:rFonts w:ascii="Arial" w:cs="Arial" w:eastAsia="Arial" w:hAnsi="Arial"/>
                <w:sz w:val="14"/>
                <w:szCs w:val="14"/>
                <w:color w:val="0000FF"/>
              </w:rPr>
            </w:pPr>
            <w:hyperlink w:anchor="page103">
              <w:r>
                <w:rPr>
                  <w:rFonts w:ascii="Arial" w:cs="Arial" w:eastAsia="Arial" w:hAnsi="Arial"/>
                  <w:sz w:val="14"/>
                  <w:szCs w:val="14"/>
                  <w:color w:val="0000FF"/>
                </w:rPr>
                <w:t>accounting firm.</w:t>
              </w:r>
            </w:hyperlink>
          </w:p>
        </w:tc>
        <w:tc>
          <w:tcPr>
            <w:tcW w:w="3340" w:type="dxa"/>
            <w:vAlign w:val="bottom"/>
            <w:gridSpan w:val="19"/>
            <w:vMerge w:val="restart"/>
          </w:tcPr>
          <w:p>
            <w:pPr>
              <w:spacing w:after="0"/>
              <w:rPr>
                <w:sz w:val="7"/>
                <w:szCs w:val="7"/>
                <w:color w:val="auto"/>
              </w:rPr>
            </w:pPr>
          </w:p>
        </w:tc>
        <w:tc>
          <w:tcPr>
            <w:tcW w:w="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020" w:type="dxa"/>
            <w:vAlign w:val="bottom"/>
          </w:tcPr>
          <w:p>
            <w:pPr>
              <w:spacing w:after="0"/>
              <w:rPr>
                <w:sz w:val="4"/>
                <w:szCs w:val="4"/>
                <w:color w:val="auto"/>
              </w:rPr>
            </w:pPr>
          </w:p>
        </w:tc>
        <w:tc>
          <w:tcPr>
            <w:tcW w:w="1020" w:type="dxa"/>
            <w:vAlign w:val="bottom"/>
            <w:tcBorders>
              <w:bottom w:val="single" w:sz="8" w:color="0000FF"/>
            </w:tcBorders>
            <w:gridSpan w:val="3"/>
            <w:vMerge w:val="continue"/>
          </w:tcPr>
          <w:p>
            <w:pPr>
              <w:spacing w:after="0"/>
              <w:rPr>
                <w:sz w:val="4"/>
                <w:szCs w:val="4"/>
                <w:color w:val="auto"/>
              </w:rPr>
            </w:pPr>
          </w:p>
        </w:tc>
        <w:tc>
          <w:tcPr>
            <w:tcW w:w="3340" w:type="dxa"/>
            <w:vAlign w:val="bottom"/>
            <w:gridSpan w:val="19"/>
            <w:vMerge w:val="continue"/>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0"/>
        </w:trPr>
        <w:tc>
          <w:tcPr>
            <w:tcW w:w="1020" w:type="dxa"/>
            <w:vAlign w:val="bottom"/>
          </w:tcPr>
          <w:p>
            <w:pPr>
              <w:spacing w:after="0"/>
              <w:rPr>
                <w:sz w:val="24"/>
                <w:szCs w:val="24"/>
                <w:color w:val="auto"/>
              </w:rPr>
            </w:pPr>
          </w:p>
        </w:tc>
        <w:tc>
          <w:tcPr>
            <w:tcW w:w="3840" w:type="dxa"/>
            <w:vAlign w:val="bottom"/>
            <w:tcBorders>
              <w:bottom w:val="single" w:sz="8" w:color="0000FF"/>
            </w:tcBorders>
            <w:gridSpan w:val="12"/>
          </w:tcPr>
          <w:p>
            <w:pPr>
              <w:spacing w:after="0"/>
              <w:rPr>
                <w:rFonts w:ascii="Arial" w:cs="Arial" w:eastAsia="Arial" w:hAnsi="Arial"/>
                <w:sz w:val="14"/>
                <w:szCs w:val="14"/>
                <w:color w:val="0000FF"/>
              </w:rPr>
            </w:pPr>
            <w:hyperlink w:anchor="page104">
              <w:r>
                <w:rPr>
                  <w:rFonts w:ascii="Arial" w:cs="Arial" w:eastAsia="Arial" w:hAnsi="Arial"/>
                  <w:sz w:val="14"/>
                  <w:szCs w:val="14"/>
                  <w:color w:val="0000FF"/>
                </w:rPr>
                <w:t>Certification of Chief Executive Officer pursuant to Rule 13a-</w:t>
              </w:r>
            </w:hyperlink>
          </w:p>
        </w:tc>
        <w:tc>
          <w:tcPr>
            <w:tcW w:w="520" w:type="dxa"/>
            <w:vAlign w:val="bottom"/>
            <w:gridSpan w:val="10"/>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jc w:val="center"/>
              <w:ind w:right="348"/>
              <w:spacing w:after="0"/>
              <w:rPr>
                <w:sz w:val="20"/>
                <w:szCs w:val="20"/>
                <w:color w:val="auto"/>
              </w:rPr>
            </w:pPr>
            <w:r>
              <w:rPr>
                <w:rFonts w:ascii="Arial" w:cs="Arial" w:eastAsia="Arial" w:hAnsi="Arial"/>
                <w:sz w:val="14"/>
                <w:szCs w:val="14"/>
                <w:color w:val="auto"/>
              </w:rPr>
              <w:t>31.1</w:t>
            </w:r>
          </w:p>
        </w:tc>
        <w:tc>
          <w:tcPr>
            <w:tcW w:w="4060" w:type="dxa"/>
            <w:vAlign w:val="bottom"/>
            <w:tcBorders>
              <w:bottom w:val="single" w:sz="8" w:color="0000FF"/>
            </w:tcBorders>
            <w:gridSpan w:val="19"/>
          </w:tcPr>
          <w:p>
            <w:pPr>
              <w:spacing w:after="0" w:line="142" w:lineRule="exact"/>
              <w:rPr>
                <w:rFonts w:ascii="Arial" w:cs="Arial" w:eastAsia="Arial" w:hAnsi="Arial"/>
                <w:sz w:val="14"/>
                <w:szCs w:val="14"/>
                <w:color w:val="0000FF"/>
              </w:rPr>
            </w:pPr>
            <w:hyperlink w:anchor="page104">
              <w:r>
                <w:rPr>
                  <w:rFonts w:ascii="Arial" w:cs="Arial" w:eastAsia="Arial" w:hAnsi="Arial"/>
                  <w:sz w:val="14"/>
                  <w:szCs w:val="14"/>
                  <w:color w:val="0000FF"/>
                </w:rPr>
                <w:t>14(a) or Rule 15d-14(a) of the Securities Exchange Act of 1934,</w:t>
              </w:r>
            </w:hyperlink>
          </w:p>
        </w:tc>
        <w:tc>
          <w:tcPr>
            <w:tcW w:w="300" w:type="dxa"/>
            <w:vAlign w:val="bottom"/>
            <w:gridSpan w:val="3"/>
          </w:tcPr>
          <w:p>
            <w:pPr>
              <w:spacing w:after="0"/>
              <w:rPr>
                <w:sz w:val="12"/>
                <w:szCs w:val="12"/>
                <w:color w:val="auto"/>
              </w:rPr>
            </w:pPr>
          </w:p>
        </w:tc>
        <w:tc>
          <w:tcPr>
            <w:tcW w:w="340" w:type="dxa"/>
            <w:vAlign w:val="bottom"/>
            <w:vMerge w:val="restart"/>
          </w:tcPr>
          <w:p>
            <w:pPr>
              <w:ind w:left="2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90"/>
        </w:trPr>
        <w:tc>
          <w:tcPr>
            <w:tcW w:w="1020" w:type="dxa"/>
            <w:vAlign w:val="bottom"/>
            <w:vMerge w:val="continue"/>
          </w:tcPr>
          <w:p>
            <w:pPr>
              <w:spacing w:after="0"/>
              <w:rPr>
                <w:sz w:val="7"/>
                <w:szCs w:val="7"/>
                <w:color w:val="auto"/>
              </w:rPr>
            </w:pPr>
          </w:p>
        </w:tc>
        <w:tc>
          <w:tcPr>
            <w:tcW w:w="4040" w:type="dxa"/>
            <w:vAlign w:val="bottom"/>
            <w:gridSpan w:val="18"/>
            <w:vMerge w:val="restart"/>
          </w:tcPr>
          <w:p>
            <w:pPr>
              <w:spacing w:after="0" w:line="142" w:lineRule="exact"/>
              <w:rPr>
                <w:rFonts w:ascii="Arial" w:cs="Arial" w:eastAsia="Arial" w:hAnsi="Arial"/>
                <w:sz w:val="14"/>
                <w:szCs w:val="14"/>
                <w:color w:val="0000FF"/>
              </w:rPr>
            </w:pPr>
            <w:hyperlink w:anchor="page104">
              <w:r>
                <w:rPr>
                  <w:rFonts w:ascii="Arial" w:cs="Arial" w:eastAsia="Arial" w:hAnsi="Arial"/>
                  <w:sz w:val="14"/>
                  <w:szCs w:val="14"/>
                  <w:color w:val="0000FF"/>
                </w:rPr>
                <w:t>as adopted pursuant to Section 302 of The Sarbanes-Oxley Act</w:t>
              </w:r>
            </w:hyperlink>
          </w:p>
        </w:tc>
        <w:tc>
          <w:tcPr>
            <w:tcW w:w="320" w:type="dxa"/>
            <w:vAlign w:val="bottom"/>
            <w:gridSpan w:val="4"/>
            <w:vMerge w:val="restart"/>
          </w:tcPr>
          <w:p>
            <w:pPr>
              <w:spacing w:after="0"/>
              <w:rPr>
                <w:sz w:val="7"/>
                <w:szCs w:val="7"/>
                <w:color w:val="auto"/>
              </w:rPr>
            </w:pPr>
          </w:p>
        </w:tc>
        <w:tc>
          <w:tcPr>
            <w:tcW w:w="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020" w:type="dxa"/>
            <w:vAlign w:val="bottom"/>
          </w:tcPr>
          <w:p>
            <w:pPr>
              <w:spacing w:after="0"/>
              <w:rPr>
                <w:sz w:val="4"/>
                <w:szCs w:val="4"/>
                <w:color w:val="auto"/>
              </w:rPr>
            </w:pPr>
          </w:p>
        </w:tc>
        <w:tc>
          <w:tcPr>
            <w:tcW w:w="4040" w:type="dxa"/>
            <w:vAlign w:val="bottom"/>
            <w:tcBorders>
              <w:bottom w:val="single" w:sz="8" w:color="0000FF"/>
            </w:tcBorders>
            <w:gridSpan w:val="18"/>
            <w:vMerge w:val="continue"/>
          </w:tcPr>
          <w:p>
            <w:pPr>
              <w:spacing w:after="0"/>
              <w:rPr>
                <w:sz w:val="4"/>
                <w:szCs w:val="4"/>
                <w:color w:val="auto"/>
              </w:rPr>
            </w:pPr>
          </w:p>
        </w:tc>
        <w:tc>
          <w:tcPr>
            <w:tcW w:w="3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520" w:type="dxa"/>
            <w:vAlign w:val="bottom"/>
            <w:tcBorders>
              <w:bottom w:val="single" w:sz="8" w:color="0000FF"/>
            </w:tcBorders>
            <w:gridSpan w:val="2"/>
          </w:tcPr>
          <w:p>
            <w:pPr>
              <w:spacing w:after="0" w:line="142" w:lineRule="exact"/>
              <w:rPr>
                <w:rFonts w:ascii="Arial" w:cs="Arial" w:eastAsia="Arial" w:hAnsi="Arial"/>
                <w:sz w:val="14"/>
                <w:szCs w:val="14"/>
                <w:color w:val="0000FF"/>
                <w:w w:val="98"/>
              </w:rPr>
            </w:pPr>
            <w:hyperlink w:anchor="page104">
              <w:r>
                <w:rPr>
                  <w:rFonts w:ascii="Arial" w:cs="Arial" w:eastAsia="Arial" w:hAnsi="Arial"/>
                  <w:sz w:val="14"/>
                  <w:szCs w:val="14"/>
                  <w:color w:val="0000FF"/>
                  <w:w w:val="98"/>
                </w:rPr>
                <w:t>of 2002.</w:t>
              </w:r>
            </w:hyperlink>
          </w:p>
        </w:tc>
        <w:tc>
          <w:tcPr>
            <w:tcW w:w="3840" w:type="dxa"/>
            <w:vAlign w:val="bottom"/>
            <w:gridSpan w:val="20"/>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0"/>
        </w:trPr>
        <w:tc>
          <w:tcPr>
            <w:tcW w:w="1020" w:type="dxa"/>
            <w:vAlign w:val="bottom"/>
          </w:tcPr>
          <w:p>
            <w:pPr>
              <w:spacing w:after="0"/>
              <w:rPr>
                <w:sz w:val="24"/>
                <w:szCs w:val="24"/>
                <w:color w:val="auto"/>
              </w:rPr>
            </w:pPr>
          </w:p>
        </w:tc>
        <w:tc>
          <w:tcPr>
            <w:tcW w:w="4360" w:type="dxa"/>
            <w:vAlign w:val="bottom"/>
            <w:gridSpan w:val="22"/>
          </w:tcPr>
          <w:p>
            <w:pPr>
              <w:spacing w:after="0"/>
              <w:rPr>
                <w:rFonts w:ascii="Arial" w:cs="Arial" w:eastAsia="Arial" w:hAnsi="Arial"/>
                <w:sz w:val="14"/>
                <w:szCs w:val="14"/>
                <w:color w:val="0000FF"/>
              </w:rPr>
            </w:pPr>
            <w:hyperlink w:anchor="page105">
              <w:r>
                <w:rPr>
                  <w:rFonts w:ascii="Arial" w:cs="Arial" w:eastAsia="Arial" w:hAnsi="Arial"/>
                  <w:sz w:val="14"/>
                  <w:szCs w:val="14"/>
                  <w:color w:val="0000FF"/>
                </w:rPr>
                <w:t>Certification of Chief Financial Officer pursuant to Rule 13a-14(a)</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jc w:val="center"/>
              <w:ind w:right="348"/>
              <w:spacing w:after="0"/>
              <w:rPr>
                <w:sz w:val="20"/>
                <w:szCs w:val="20"/>
                <w:color w:val="auto"/>
              </w:rPr>
            </w:pPr>
            <w:r>
              <w:rPr>
                <w:rFonts w:ascii="Arial" w:cs="Arial" w:eastAsia="Arial" w:hAnsi="Arial"/>
                <w:sz w:val="14"/>
                <w:szCs w:val="14"/>
                <w:color w:val="auto"/>
              </w:rPr>
              <w:t>31.2</w:t>
            </w:r>
          </w:p>
        </w:tc>
        <w:tc>
          <w:tcPr>
            <w:tcW w:w="3880" w:type="dxa"/>
            <w:vAlign w:val="bottom"/>
            <w:tcBorders>
              <w:top w:val="single" w:sz="8" w:color="0000FF"/>
              <w:bottom w:val="single" w:sz="8" w:color="0000FF"/>
            </w:tcBorders>
            <w:gridSpan w:val="13"/>
          </w:tcPr>
          <w:p>
            <w:pPr>
              <w:spacing w:after="0" w:line="142" w:lineRule="exact"/>
              <w:rPr>
                <w:rFonts w:ascii="Arial" w:cs="Arial" w:eastAsia="Arial" w:hAnsi="Arial"/>
                <w:sz w:val="14"/>
                <w:szCs w:val="14"/>
                <w:color w:val="0000FF"/>
              </w:rPr>
            </w:pPr>
            <w:hyperlink w:anchor="page105">
              <w:r>
                <w:rPr>
                  <w:rFonts w:ascii="Arial" w:cs="Arial" w:eastAsia="Arial" w:hAnsi="Arial"/>
                  <w:sz w:val="14"/>
                  <w:szCs w:val="14"/>
                  <w:color w:val="0000FF"/>
                </w:rPr>
                <w:t>or Rule 15d-14(a) of the Securities Exchange Act of 1934, as</w:t>
              </w:r>
            </w:hyperlink>
          </w:p>
        </w:tc>
        <w:tc>
          <w:tcPr>
            <w:tcW w:w="240" w:type="dxa"/>
            <w:vAlign w:val="bottom"/>
            <w:tcBorders>
              <w:top w:val="single" w:sz="8" w:color="0000FF"/>
            </w:tcBorders>
            <w:gridSpan w:val="8"/>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restart"/>
          </w:tcPr>
          <w:p>
            <w:pPr>
              <w:ind w:left="2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90"/>
        </w:trPr>
        <w:tc>
          <w:tcPr>
            <w:tcW w:w="1020" w:type="dxa"/>
            <w:vAlign w:val="bottom"/>
            <w:vMerge w:val="continue"/>
          </w:tcPr>
          <w:p>
            <w:pPr>
              <w:spacing w:after="0"/>
              <w:rPr>
                <w:sz w:val="7"/>
                <w:szCs w:val="7"/>
                <w:color w:val="auto"/>
              </w:rPr>
            </w:pPr>
          </w:p>
        </w:tc>
        <w:tc>
          <w:tcPr>
            <w:tcW w:w="4360" w:type="dxa"/>
            <w:vAlign w:val="bottom"/>
            <w:gridSpan w:val="22"/>
            <w:vMerge w:val="restart"/>
          </w:tcPr>
          <w:p>
            <w:pPr>
              <w:spacing w:after="0" w:line="142" w:lineRule="exact"/>
              <w:rPr>
                <w:rFonts w:ascii="Arial" w:cs="Arial" w:eastAsia="Arial" w:hAnsi="Arial"/>
                <w:sz w:val="14"/>
                <w:szCs w:val="14"/>
                <w:color w:val="0000FF"/>
              </w:rPr>
            </w:pPr>
            <w:hyperlink w:anchor="page105">
              <w:r>
                <w:rPr>
                  <w:rFonts w:ascii="Arial" w:cs="Arial" w:eastAsia="Arial" w:hAnsi="Arial"/>
                  <w:sz w:val="14"/>
                  <w:szCs w:val="14"/>
                  <w:color w:val="0000FF"/>
                </w:rPr>
                <w:t>adopted pursuant to Section 302 of The Sarbanes-Oxley Act of</w:t>
              </w:r>
            </w:hyperlink>
          </w:p>
        </w:tc>
        <w:tc>
          <w:tcPr>
            <w:tcW w:w="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1020" w:type="dxa"/>
            <w:vAlign w:val="bottom"/>
          </w:tcPr>
          <w:p>
            <w:pPr>
              <w:spacing w:after="0"/>
              <w:rPr>
                <w:sz w:val="4"/>
                <w:szCs w:val="4"/>
                <w:color w:val="auto"/>
              </w:rPr>
            </w:pPr>
          </w:p>
        </w:tc>
        <w:tc>
          <w:tcPr>
            <w:tcW w:w="4360" w:type="dxa"/>
            <w:vAlign w:val="bottom"/>
            <w:gridSpan w:val="22"/>
            <w:vMerge w:val="continue"/>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360" w:type="dxa"/>
            <w:vAlign w:val="bottom"/>
            <w:tcBorders>
              <w:top w:val="single" w:sz="8" w:color="0000FF"/>
              <w:bottom w:val="single" w:sz="8" w:color="0000FF"/>
            </w:tcBorders>
          </w:tcPr>
          <w:p>
            <w:pPr>
              <w:spacing w:after="0" w:line="142" w:lineRule="exact"/>
              <w:rPr>
                <w:rFonts w:ascii="Arial" w:cs="Arial" w:eastAsia="Arial" w:hAnsi="Arial"/>
                <w:sz w:val="14"/>
                <w:szCs w:val="14"/>
                <w:color w:val="0000FF"/>
                <w:w w:val="96"/>
              </w:rPr>
            </w:pPr>
            <w:hyperlink w:anchor="page105">
              <w:r>
                <w:rPr>
                  <w:rFonts w:ascii="Arial" w:cs="Arial" w:eastAsia="Arial" w:hAnsi="Arial"/>
                  <w:sz w:val="14"/>
                  <w:szCs w:val="14"/>
                  <w:color w:val="0000FF"/>
                  <w:w w:val="96"/>
                </w:rPr>
                <w:t>2002.</w:t>
              </w:r>
            </w:hyperlink>
          </w:p>
        </w:tc>
        <w:tc>
          <w:tcPr>
            <w:tcW w:w="16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8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0"/>
        </w:trPr>
        <w:tc>
          <w:tcPr>
            <w:tcW w:w="1020" w:type="dxa"/>
            <w:vAlign w:val="bottom"/>
          </w:tcPr>
          <w:p>
            <w:pPr>
              <w:spacing w:after="0"/>
              <w:rPr>
                <w:sz w:val="24"/>
                <w:szCs w:val="24"/>
                <w:color w:val="auto"/>
              </w:rPr>
            </w:pPr>
          </w:p>
        </w:tc>
        <w:tc>
          <w:tcPr>
            <w:tcW w:w="3840" w:type="dxa"/>
            <w:vAlign w:val="bottom"/>
            <w:tcBorders>
              <w:bottom w:val="single" w:sz="8" w:color="0000FF"/>
            </w:tcBorders>
            <w:gridSpan w:val="12"/>
          </w:tcPr>
          <w:p>
            <w:pPr>
              <w:spacing w:after="0"/>
              <w:rPr>
                <w:rFonts w:ascii="Arial" w:cs="Arial" w:eastAsia="Arial" w:hAnsi="Arial"/>
                <w:sz w:val="14"/>
                <w:szCs w:val="14"/>
                <w:color w:val="0000FF"/>
              </w:rPr>
            </w:pPr>
            <w:hyperlink w:anchor="page106">
              <w:r>
                <w:rPr>
                  <w:rFonts w:ascii="Arial" w:cs="Arial" w:eastAsia="Arial" w:hAnsi="Arial"/>
                  <w:sz w:val="14"/>
                  <w:szCs w:val="14"/>
                  <w:color w:val="0000FF"/>
                </w:rPr>
                <w:t>Certification of Chief Executive Officer pursuant to Rule 13a-</w:t>
              </w:r>
            </w:hyperlink>
          </w:p>
        </w:tc>
        <w:tc>
          <w:tcPr>
            <w:tcW w:w="520" w:type="dxa"/>
            <w:vAlign w:val="bottom"/>
            <w:gridSpan w:val="10"/>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jc w:val="center"/>
              <w:ind w:right="348"/>
              <w:spacing w:after="0"/>
              <w:rPr>
                <w:sz w:val="20"/>
                <w:szCs w:val="20"/>
                <w:color w:val="auto"/>
              </w:rPr>
            </w:pPr>
            <w:r>
              <w:rPr>
                <w:rFonts w:ascii="Arial" w:cs="Arial" w:eastAsia="Arial" w:hAnsi="Arial"/>
                <w:sz w:val="14"/>
                <w:szCs w:val="14"/>
                <w:color w:val="auto"/>
              </w:rPr>
              <w:t>32.1</w:t>
            </w:r>
          </w:p>
        </w:tc>
        <w:tc>
          <w:tcPr>
            <w:tcW w:w="4020" w:type="dxa"/>
            <w:vAlign w:val="bottom"/>
            <w:tcBorders>
              <w:bottom w:val="single" w:sz="8" w:color="0000FF"/>
            </w:tcBorders>
            <w:gridSpan w:val="17"/>
          </w:tcPr>
          <w:p>
            <w:pPr>
              <w:spacing w:after="0" w:line="142" w:lineRule="exact"/>
              <w:rPr>
                <w:rFonts w:ascii="Arial" w:cs="Arial" w:eastAsia="Arial" w:hAnsi="Arial"/>
                <w:sz w:val="14"/>
                <w:szCs w:val="14"/>
                <w:color w:val="0000FF"/>
              </w:rPr>
            </w:pPr>
            <w:hyperlink w:anchor="page106">
              <w:r>
                <w:rPr>
                  <w:rFonts w:ascii="Arial" w:cs="Arial" w:eastAsia="Arial" w:hAnsi="Arial"/>
                  <w:sz w:val="14"/>
                  <w:szCs w:val="14"/>
                  <w:color w:val="0000FF"/>
                </w:rPr>
                <w:t>14(b) or Rule 15d-14(b) of the Securities Exchange Act of 1934</w:t>
              </w:r>
            </w:hyperlink>
          </w:p>
        </w:tc>
        <w:tc>
          <w:tcPr>
            <w:tcW w:w="340" w:type="dxa"/>
            <w:vAlign w:val="bottom"/>
            <w:gridSpan w:val="5"/>
          </w:tcPr>
          <w:p>
            <w:pPr>
              <w:spacing w:after="0"/>
              <w:rPr>
                <w:sz w:val="12"/>
                <w:szCs w:val="12"/>
                <w:color w:val="auto"/>
              </w:rPr>
            </w:pPr>
          </w:p>
        </w:tc>
        <w:tc>
          <w:tcPr>
            <w:tcW w:w="340" w:type="dxa"/>
            <w:vAlign w:val="bottom"/>
            <w:vMerge w:val="restart"/>
          </w:tcPr>
          <w:p>
            <w:pPr>
              <w:ind w:left="2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90"/>
        </w:trPr>
        <w:tc>
          <w:tcPr>
            <w:tcW w:w="1020" w:type="dxa"/>
            <w:vAlign w:val="bottom"/>
            <w:vMerge w:val="continue"/>
          </w:tcPr>
          <w:p>
            <w:pPr>
              <w:spacing w:after="0"/>
              <w:rPr>
                <w:sz w:val="7"/>
                <w:szCs w:val="7"/>
                <w:color w:val="auto"/>
              </w:rPr>
            </w:pPr>
          </w:p>
        </w:tc>
        <w:tc>
          <w:tcPr>
            <w:tcW w:w="4100" w:type="dxa"/>
            <w:vAlign w:val="bottom"/>
            <w:gridSpan w:val="20"/>
            <w:vMerge w:val="restart"/>
          </w:tcPr>
          <w:p>
            <w:pPr>
              <w:spacing w:after="0" w:line="142" w:lineRule="exact"/>
              <w:rPr>
                <w:rFonts w:ascii="Arial" w:cs="Arial" w:eastAsia="Arial" w:hAnsi="Arial"/>
                <w:sz w:val="14"/>
                <w:szCs w:val="14"/>
                <w:color w:val="0000FF"/>
              </w:rPr>
            </w:pPr>
            <w:hyperlink w:anchor="page106">
              <w:r>
                <w:rPr>
                  <w:rFonts w:ascii="Arial" w:cs="Arial" w:eastAsia="Arial" w:hAnsi="Arial"/>
                  <w:sz w:val="14"/>
                  <w:szCs w:val="14"/>
                  <w:color w:val="0000FF"/>
                </w:rPr>
                <w:t>and 18 U.S.C. Section 1350 as adopted pursuant to Section 906</w:t>
              </w:r>
            </w:hyperlink>
          </w:p>
        </w:tc>
        <w:tc>
          <w:tcPr>
            <w:tcW w:w="260" w:type="dxa"/>
            <w:vAlign w:val="bottom"/>
            <w:gridSpan w:val="2"/>
            <w:vMerge w:val="restart"/>
          </w:tcPr>
          <w:p>
            <w:pPr>
              <w:spacing w:after="0"/>
              <w:rPr>
                <w:sz w:val="7"/>
                <w:szCs w:val="7"/>
                <w:color w:val="auto"/>
              </w:rPr>
            </w:pPr>
          </w:p>
        </w:tc>
        <w:tc>
          <w:tcPr>
            <w:tcW w:w="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020" w:type="dxa"/>
            <w:vAlign w:val="bottom"/>
          </w:tcPr>
          <w:p>
            <w:pPr>
              <w:spacing w:after="0"/>
              <w:rPr>
                <w:sz w:val="4"/>
                <w:szCs w:val="4"/>
                <w:color w:val="auto"/>
              </w:rPr>
            </w:pPr>
          </w:p>
        </w:tc>
        <w:tc>
          <w:tcPr>
            <w:tcW w:w="4100" w:type="dxa"/>
            <w:vAlign w:val="bottom"/>
            <w:tcBorders>
              <w:bottom w:val="single" w:sz="8" w:color="0000FF"/>
            </w:tcBorders>
            <w:gridSpan w:val="20"/>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360" w:type="dxa"/>
            <w:vAlign w:val="bottom"/>
            <w:gridSpan w:val="22"/>
          </w:tcPr>
          <w:p>
            <w:pPr>
              <w:spacing w:after="0" w:line="142" w:lineRule="exact"/>
              <w:rPr>
                <w:rFonts w:ascii="Arial" w:cs="Arial" w:eastAsia="Arial" w:hAnsi="Arial"/>
                <w:sz w:val="14"/>
                <w:szCs w:val="14"/>
                <w:color w:val="0000FF"/>
              </w:rPr>
            </w:pPr>
            <w:hyperlink w:anchor="page106">
              <w:r>
                <w:rPr>
                  <w:rFonts w:ascii="Arial" w:cs="Arial" w:eastAsia="Arial" w:hAnsi="Arial"/>
                  <w:sz w:val="14"/>
                  <w:szCs w:val="14"/>
                  <w:color w:val="0000FF"/>
                </w:rPr>
                <w:t>of The Sarbanes-Oxley Act of 2002.</w:t>
              </w:r>
            </w:hyperlink>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78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20" w:type="dxa"/>
            <w:vAlign w:val="bottom"/>
          </w:tcPr>
          <w:p>
            <w:pPr>
              <w:spacing w:after="0"/>
              <w:rPr>
                <w:sz w:val="24"/>
                <w:szCs w:val="24"/>
                <w:color w:val="auto"/>
              </w:rPr>
            </w:pPr>
          </w:p>
        </w:tc>
        <w:tc>
          <w:tcPr>
            <w:tcW w:w="4360" w:type="dxa"/>
            <w:vAlign w:val="bottom"/>
            <w:gridSpan w:val="22"/>
          </w:tcPr>
          <w:p>
            <w:pPr>
              <w:spacing w:after="0"/>
              <w:rPr>
                <w:rFonts w:ascii="Arial" w:cs="Arial" w:eastAsia="Arial" w:hAnsi="Arial"/>
                <w:sz w:val="14"/>
                <w:szCs w:val="14"/>
                <w:color w:val="0000FF"/>
              </w:rPr>
            </w:pPr>
            <w:hyperlink w:anchor="page107">
              <w:r>
                <w:rPr>
                  <w:rFonts w:ascii="Arial" w:cs="Arial" w:eastAsia="Arial" w:hAnsi="Arial"/>
                  <w:sz w:val="14"/>
                  <w:szCs w:val="14"/>
                  <w:color w:val="0000FF"/>
                </w:rPr>
                <w:t>Certification of Chief Financial Officer pursuant to Rule 13a-14(b)</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2220" w:type="dxa"/>
            <w:vAlign w:val="bottom"/>
            <w:gridSpan w:val="15"/>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20" w:type="dxa"/>
            <w:vAlign w:val="bottom"/>
            <w:vMerge w:val="restart"/>
          </w:tcPr>
          <w:p>
            <w:pPr>
              <w:jc w:val="center"/>
              <w:ind w:right="348"/>
              <w:spacing w:after="0"/>
              <w:rPr>
                <w:sz w:val="20"/>
                <w:szCs w:val="20"/>
                <w:color w:val="auto"/>
              </w:rPr>
            </w:pPr>
            <w:r>
              <w:rPr>
                <w:rFonts w:ascii="Arial" w:cs="Arial" w:eastAsia="Arial" w:hAnsi="Arial"/>
                <w:sz w:val="14"/>
                <w:szCs w:val="14"/>
                <w:color w:val="auto"/>
              </w:rPr>
              <w:t>32.2</w:t>
            </w:r>
          </w:p>
        </w:tc>
        <w:tc>
          <w:tcPr>
            <w:tcW w:w="4360" w:type="dxa"/>
            <w:vAlign w:val="bottom"/>
            <w:gridSpan w:val="22"/>
          </w:tcPr>
          <w:p>
            <w:pPr>
              <w:spacing w:after="0" w:line="142" w:lineRule="exact"/>
              <w:rPr>
                <w:rFonts w:ascii="Arial" w:cs="Arial" w:eastAsia="Arial" w:hAnsi="Arial"/>
                <w:sz w:val="14"/>
                <w:szCs w:val="14"/>
                <w:color w:val="0000FF"/>
              </w:rPr>
            </w:pPr>
            <w:hyperlink w:anchor="page107">
              <w:r>
                <w:rPr>
                  <w:rFonts w:ascii="Arial" w:cs="Arial" w:eastAsia="Arial" w:hAnsi="Arial"/>
                  <w:sz w:val="14"/>
                  <w:szCs w:val="14"/>
                  <w:color w:val="0000FF"/>
                </w:rPr>
                <w:t>or Rule 15d-14(b) of the Securities Exchange Act of 1934 and 18</w:t>
              </w:r>
            </w:hyperlink>
          </w:p>
        </w:tc>
        <w:tc>
          <w:tcPr>
            <w:tcW w:w="340" w:type="dxa"/>
            <w:vAlign w:val="bottom"/>
            <w:vMerge w:val="restart"/>
          </w:tcPr>
          <w:p>
            <w:pPr>
              <w:ind w:left="2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90"/>
        </w:trPr>
        <w:tc>
          <w:tcPr>
            <w:tcW w:w="1020" w:type="dxa"/>
            <w:vAlign w:val="bottom"/>
            <w:vMerge w:val="continue"/>
          </w:tcPr>
          <w:p>
            <w:pPr>
              <w:spacing w:after="0"/>
              <w:rPr>
                <w:sz w:val="7"/>
                <w:szCs w:val="7"/>
                <w:color w:val="auto"/>
              </w:rPr>
            </w:pPr>
          </w:p>
        </w:tc>
        <w:tc>
          <w:tcPr>
            <w:tcW w:w="4060" w:type="dxa"/>
            <w:vAlign w:val="bottom"/>
            <w:tcBorders>
              <w:top w:val="single" w:sz="8" w:color="0000FF"/>
            </w:tcBorders>
            <w:gridSpan w:val="19"/>
            <w:vMerge w:val="restart"/>
          </w:tcPr>
          <w:p>
            <w:pPr>
              <w:spacing w:after="0" w:line="142" w:lineRule="exact"/>
              <w:rPr>
                <w:rFonts w:ascii="Arial" w:cs="Arial" w:eastAsia="Arial" w:hAnsi="Arial"/>
                <w:sz w:val="14"/>
                <w:szCs w:val="14"/>
                <w:color w:val="0000FF"/>
              </w:rPr>
            </w:pPr>
            <w:hyperlink w:anchor="page107">
              <w:r>
                <w:rPr>
                  <w:rFonts w:ascii="Arial" w:cs="Arial" w:eastAsia="Arial" w:hAnsi="Arial"/>
                  <w:sz w:val="14"/>
                  <w:szCs w:val="14"/>
                  <w:color w:val="0000FF"/>
                </w:rPr>
                <w:t>U.S.C. Section 1350 as adopted pursuant to Section 906 of The</w:t>
              </w:r>
            </w:hyperlink>
          </w:p>
        </w:tc>
        <w:tc>
          <w:tcPr>
            <w:tcW w:w="60" w:type="dxa"/>
            <w:vAlign w:val="bottom"/>
            <w:tcBorders>
              <w:top w:val="single" w:sz="8" w:color="0000FF"/>
            </w:tcBorders>
            <w:gridSpan w:val="2"/>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020" w:type="dxa"/>
            <w:vAlign w:val="bottom"/>
          </w:tcPr>
          <w:p>
            <w:pPr>
              <w:spacing w:after="0"/>
              <w:rPr>
                <w:sz w:val="4"/>
                <w:szCs w:val="4"/>
                <w:color w:val="auto"/>
              </w:rPr>
            </w:pPr>
          </w:p>
        </w:tc>
        <w:tc>
          <w:tcPr>
            <w:tcW w:w="4060" w:type="dxa"/>
            <w:vAlign w:val="bottom"/>
            <w:tcBorders>
              <w:bottom w:val="single" w:sz="8" w:color="0000FF"/>
            </w:tcBorders>
            <w:gridSpan w:val="19"/>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1840" w:type="dxa"/>
            <w:vAlign w:val="bottom"/>
            <w:tcBorders>
              <w:bottom w:val="single" w:sz="8" w:color="0000FF"/>
            </w:tcBorders>
            <w:gridSpan w:val="4"/>
          </w:tcPr>
          <w:p>
            <w:pPr>
              <w:spacing w:after="0" w:line="142" w:lineRule="exact"/>
              <w:rPr>
                <w:rFonts w:ascii="Arial" w:cs="Arial" w:eastAsia="Arial" w:hAnsi="Arial"/>
                <w:sz w:val="14"/>
                <w:szCs w:val="14"/>
                <w:color w:val="0000FF"/>
              </w:rPr>
            </w:pPr>
            <w:hyperlink w:anchor="page107">
              <w:r>
                <w:rPr>
                  <w:rFonts w:ascii="Arial" w:cs="Arial" w:eastAsia="Arial" w:hAnsi="Arial"/>
                  <w:sz w:val="14"/>
                  <w:szCs w:val="14"/>
                  <w:color w:val="0000FF"/>
                </w:rPr>
                <w:t>Sarbanes-Oxley Act of 2002.</w:t>
              </w:r>
            </w:hyperlink>
          </w:p>
        </w:tc>
        <w:tc>
          <w:tcPr>
            <w:tcW w:w="2520" w:type="dxa"/>
            <w:vAlign w:val="bottom"/>
            <w:gridSpan w:val="18"/>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1020" w:type="dxa"/>
            <w:vAlign w:val="bottom"/>
          </w:tcPr>
          <w:p>
            <w:pPr>
              <w:jc w:val="center"/>
              <w:ind w:right="348"/>
              <w:spacing w:after="0"/>
              <w:rPr>
                <w:sz w:val="20"/>
                <w:szCs w:val="20"/>
                <w:color w:val="auto"/>
              </w:rPr>
            </w:pPr>
            <w:r>
              <w:rPr>
                <w:rFonts w:ascii="Arial" w:cs="Arial" w:eastAsia="Arial" w:hAnsi="Arial"/>
                <w:sz w:val="14"/>
                <w:szCs w:val="14"/>
                <w:color w:val="auto"/>
              </w:rPr>
              <w:t>101.INS</w:t>
            </w:r>
          </w:p>
        </w:tc>
        <w:tc>
          <w:tcPr>
            <w:tcW w:w="4360" w:type="dxa"/>
            <w:vAlign w:val="bottom"/>
            <w:gridSpan w:val="22"/>
          </w:tcPr>
          <w:p>
            <w:pPr>
              <w:spacing w:after="0"/>
              <w:rPr>
                <w:sz w:val="20"/>
                <w:szCs w:val="20"/>
                <w:color w:val="auto"/>
              </w:rPr>
            </w:pPr>
            <w:r>
              <w:rPr>
                <w:rFonts w:ascii="Arial" w:cs="Arial" w:eastAsia="Arial" w:hAnsi="Arial"/>
                <w:sz w:val="14"/>
                <w:szCs w:val="14"/>
                <w:color w:val="auto"/>
              </w:rPr>
              <w:t>XBRL Instance Document</w:t>
            </w:r>
          </w:p>
        </w:tc>
        <w:tc>
          <w:tcPr>
            <w:tcW w:w="340" w:type="dxa"/>
            <w:vAlign w:val="bottom"/>
          </w:tcPr>
          <w:p>
            <w:pPr>
              <w:ind w:left="2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594"/>
        </w:trPr>
        <w:tc>
          <w:tcPr>
            <w:tcW w:w="1020" w:type="dxa"/>
            <w:vAlign w:val="bottom"/>
          </w:tcPr>
          <w:p>
            <w:pPr>
              <w:jc w:val="center"/>
              <w:ind w:right="368"/>
              <w:spacing w:after="0"/>
              <w:rPr>
                <w:sz w:val="20"/>
                <w:szCs w:val="20"/>
                <w:color w:val="auto"/>
              </w:rPr>
            </w:pPr>
            <w:r>
              <w:rPr>
                <w:rFonts w:ascii="Arial" w:cs="Arial" w:eastAsia="Arial" w:hAnsi="Arial"/>
                <w:sz w:val="14"/>
                <w:szCs w:val="14"/>
                <w:color w:val="auto"/>
              </w:rPr>
              <w:t>101.SCH</w:t>
            </w:r>
          </w:p>
        </w:tc>
        <w:tc>
          <w:tcPr>
            <w:tcW w:w="4360" w:type="dxa"/>
            <w:vAlign w:val="bottom"/>
            <w:gridSpan w:val="22"/>
          </w:tcPr>
          <w:p>
            <w:pPr>
              <w:spacing w:after="0"/>
              <w:rPr>
                <w:sz w:val="20"/>
                <w:szCs w:val="20"/>
                <w:color w:val="auto"/>
              </w:rPr>
            </w:pPr>
            <w:r>
              <w:rPr>
                <w:rFonts w:ascii="Arial" w:cs="Arial" w:eastAsia="Arial" w:hAnsi="Arial"/>
                <w:sz w:val="14"/>
                <w:szCs w:val="14"/>
                <w:color w:val="auto"/>
              </w:rPr>
              <w:t>XBRL Taxonomy Extension Schema Document</w:t>
            </w:r>
          </w:p>
        </w:tc>
        <w:tc>
          <w:tcPr>
            <w:tcW w:w="340" w:type="dxa"/>
            <w:vAlign w:val="bottom"/>
          </w:tcPr>
          <w:p>
            <w:pPr>
              <w:ind w:left="2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594"/>
        </w:trPr>
        <w:tc>
          <w:tcPr>
            <w:tcW w:w="1020" w:type="dxa"/>
            <w:vAlign w:val="bottom"/>
          </w:tcPr>
          <w:p>
            <w:pPr>
              <w:jc w:val="center"/>
              <w:ind w:right="348"/>
              <w:spacing w:after="0"/>
              <w:rPr>
                <w:sz w:val="20"/>
                <w:szCs w:val="20"/>
                <w:color w:val="auto"/>
              </w:rPr>
            </w:pPr>
            <w:r>
              <w:rPr>
                <w:rFonts w:ascii="Arial" w:cs="Arial" w:eastAsia="Arial" w:hAnsi="Arial"/>
                <w:sz w:val="14"/>
                <w:szCs w:val="14"/>
                <w:color w:val="auto"/>
              </w:rPr>
              <w:t>101.CAL</w:t>
            </w:r>
          </w:p>
        </w:tc>
        <w:tc>
          <w:tcPr>
            <w:tcW w:w="4360" w:type="dxa"/>
            <w:vAlign w:val="bottom"/>
            <w:gridSpan w:val="22"/>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340" w:type="dxa"/>
            <w:vAlign w:val="bottom"/>
          </w:tcPr>
          <w:p>
            <w:pPr>
              <w:ind w:left="2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594"/>
        </w:trPr>
        <w:tc>
          <w:tcPr>
            <w:tcW w:w="1020" w:type="dxa"/>
            <w:vAlign w:val="bottom"/>
          </w:tcPr>
          <w:p>
            <w:pPr>
              <w:jc w:val="center"/>
              <w:ind w:right="368"/>
              <w:spacing w:after="0"/>
              <w:rPr>
                <w:sz w:val="20"/>
                <w:szCs w:val="20"/>
                <w:color w:val="auto"/>
              </w:rPr>
            </w:pPr>
            <w:r>
              <w:rPr>
                <w:rFonts w:ascii="Arial" w:cs="Arial" w:eastAsia="Arial" w:hAnsi="Arial"/>
                <w:sz w:val="14"/>
                <w:szCs w:val="14"/>
                <w:color w:val="auto"/>
              </w:rPr>
              <w:t>101.DEF</w:t>
            </w:r>
          </w:p>
        </w:tc>
        <w:tc>
          <w:tcPr>
            <w:tcW w:w="4360" w:type="dxa"/>
            <w:vAlign w:val="bottom"/>
            <w:gridSpan w:val="22"/>
          </w:tcPr>
          <w:p>
            <w:pPr>
              <w:spacing w:after="0"/>
              <w:rPr>
                <w:sz w:val="20"/>
                <w:szCs w:val="20"/>
                <w:color w:val="auto"/>
              </w:rPr>
            </w:pPr>
            <w:r>
              <w:rPr>
                <w:rFonts w:ascii="Arial" w:cs="Arial" w:eastAsia="Arial" w:hAnsi="Arial"/>
                <w:sz w:val="14"/>
                <w:szCs w:val="14"/>
                <w:color w:val="auto"/>
              </w:rPr>
              <w:t>XBRL Taxonomy Extension Definition Linkbase</w:t>
            </w:r>
          </w:p>
        </w:tc>
        <w:tc>
          <w:tcPr>
            <w:tcW w:w="340" w:type="dxa"/>
            <w:vAlign w:val="bottom"/>
          </w:tcPr>
          <w:p>
            <w:pPr>
              <w:ind w:left="2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594"/>
        </w:trPr>
        <w:tc>
          <w:tcPr>
            <w:tcW w:w="1020" w:type="dxa"/>
            <w:vAlign w:val="bottom"/>
          </w:tcPr>
          <w:p>
            <w:pPr>
              <w:jc w:val="center"/>
              <w:ind w:right="368"/>
              <w:spacing w:after="0"/>
              <w:rPr>
                <w:sz w:val="20"/>
                <w:szCs w:val="20"/>
                <w:color w:val="auto"/>
              </w:rPr>
            </w:pPr>
            <w:r>
              <w:rPr>
                <w:rFonts w:ascii="Arial" w:cs="Arial" w:eastAsia="Arial" w:hAnsi="Arial"/>
                <w:sz w:val="14"/>
                <w:szCs w:val="14"/>
                <w:color w:val="auto"/>
              </w:rPr>
              <w:t>101.LAB</w:t>
            </w:r>
          </w:p>
        </w:tc>
        <w:tc>
          <w:tcPr>
            <w:tcW w:w="4360" w:type="dxa"/>
            <w:vAlign w:val="bottom"/>
            <w:gridSpan w:val="22"/>
          </w:tcPr>
          <w:p>
            <w:pPr>
              <w:spacing w:after="0"/>
              <w:rPr>
                <w:sz w:val="20"/>
                <w:szCs w:val="20"/>
                <w:color w:val="auto"/>
              </w:rPr>
            </w:pPr>
            <w:r>
              <w:rPr>
                <w:rFonts w:ascii="Arial" w:cs="Arial" w:eastAsia="Arial" w:hAnsi="Arial"/>
                <w:sz w:val="14"/>
                <w:szCs w:val="14"/>
                <w:color w:val="auto"/>
              </w:rPr>
              <w:t>XBRL Taxonomy Extension Labels Linkbase Document</w:t>
            </w:r>
          </w:p>
        </w:tc>
        <w:tc>
          <w:tcPr>
            <w:tcW w:w="340" w:type="dxa"/>
            <w:vAlign w:val="bottom"/>
          </w:tcPr>
          <w:p>
            <w:pPr>
              <w:ind w:left="2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594"/>
        </w:trPr>
        <w:tc>
          <w:tcPr>
            <w:tcW w:w="1020" w:type="dxa"/>
            <w:vAlign w:val="bottom"/>
          </w:tcPr>
          <w:p>
            <w:pPr>
              <w:jc w:val="center"/>
              <w:ind w:right="368"/>
              <w:spacing w:after="0"/>
              <w:rPr>
                <w:sz w:val="20"/>
                <w:szCs w:val="20"/>
                <w:color w:val="auto"/>
              </w:rPr>
            </w:pPr>
            <w:r>
              <w:rPr>
                <w:rFonts w:ascii="Arial" w:cs="Arial" w:eastAsia="Arial" w:hAnsi="Arial"/>
                <w:sz w:val="14"/>
                <w:szCs w:val="14"/>
                <w:color w:val="auto"/>
              </w:rPr>
              <w:t>101.PRE</w:t>
            </w:r>
          </w:p>
        </w:tc>
        <w:tc>
          <w:tcPr>
            <w:tcW w:w="4360" w:type="dxa"/>
            <w:vAlign w:val="bottom"/>
            <w:gridSpan w:val="22"/>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340" w:type="dxa"/>
            <w:vAlign w:val="bottom"/>
          </w:tcPr>
          <w:p>
            <w:pPr>
              <w:ind w:left="240"/>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bl>
    <w:p>
      <w:pPr>
        <w:spacing w:after="0" w:line="395" w:lineRule="exact"/>
        <w:rPr>
          <w:sz w:val="20"/>
          <w:szCs w:val="20"/>
          <w:color w:val="auto"/>
        </w:rPr>
      </w:pPr>
    </w:p>
    <w:p>
      <w:pPr>
        <w:ind w:left="1020" w:right="1060" w:hanging="356"/>
        <w:spacing w:after="0" w:line="258" w:lineRule="auto"/>
        <w:tabs>
          <w:tab w:leader="none" w:pos="10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or arrangement.</w:t>
      </w:r>
    </w:p>
    <w:p>
      <w:pPr>
        <w:spacing w:after="0" w:line="32" w:lineRule="exact"/>
        <w:rPr>
          <w:sz w:val="20"/>
          <w:szCs w:val="20"/>
          <w:color w:val="auto"/>
        </w:rPr>
      </w:pPr>
    </w:p>
    <w:p>
      <w:pPr>
        <w:jc w:val="both"/>
        <w:ind w:left="1020" w:right="680" w:hanging="356"/>
        <w:spacing w:after="0" w:line="250" w:lineRule="auto"/>
        <w:tabs>
          <w:tab w:leader="none" w:pos="10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Portions of this exhibit have been omitted due to a determination by the Securities and Exchange Commission that these portions should be granted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700" w:type="dxa"/>
            <w:vAlign w:val="bottom"/>
          </w:tcPr>
          <w:p>
            <w:pPr>
              <w:jc w:val="center"/>
              <w:ind w:right="268"/>
              <w:spacing w:after="0"/>
              <w:rPr>
                <w:sz w:val="20"/>
                <w:szCs w:val="20"/>
                <w:color w:val="auto"/>
              </w:rPr>
            </w:pPr>
            <w:r>
              <w:rPr>
                <w:rFonts w:ascii="Arial" w:cs="Arial" w:eastAsia="Arial" w:hAnsi="Arial"/>
                <w:sz w:val="14"/>
                <w:szCs w:val="14"/>
                <w:color w:val="auto"/>
              </w:rPr>
              <w:t>10-Q</w:t>
            </w:r>
          </w:p>
        </w:tc>
        <w:tc>
          <w:tcPr>
            <w:tcW w:w="1380" w:type="dxa"/>
            <w:vAlign w:val="bottom"/>
          </w:tcPr>
          <w:p>
            <w:pPr>
              <w:jc w:val="center"/>
              <w:ind w:left="8"/>
              <w:spacing w:after="0"/>
              <w:rPr>
                <w:sz w:val="20"/>
                <w:szCs w:val="20"/>
                <w:color w:val="auto"/>
              </w:rPr>
            </w:pPr>
            <w:r>
              <w:rPr>
                <w:rFonts w:ascii="Arial" w:cs="Arial" w:eastAsia="Arial" w:hAnsi="Arial"/>
                <w:sz w:val="14"/>
                <w:szCs w:val="14"/>
                <w:color w:val="auto"/>
              </w:rPr>
              <w:t>135,662,000</w:t>
            </w:r>
          </w:p>
        </w:tc>
        <w:tc>
          <w:tcPr>
            <w:tcW w:w="880" w:type="dxa"/>
            <w:vAlign w:val="bottom"/>
          </w:tcPr>
          <w:p>
            <w:pPr>
              <w:jc w:val="center"/>
              <w:spacing w:after="0"/>
              <w:rPr>
                <w:sz w:val="20"/>
                <w:szCs w:val="20"/>
                <w:color w:val="auto"/>
              </w:rPr>
            </w:pPr>
            <w:r>
              <w:rPr>
                <w:rFonts w:ascii="Arial" w:cs="Arial" w:eastAsia="Arial" w:hAnsi="Arial"/>
                <w:sz w:val="14"/>
                <w:szCs w:val="14"/>
                <w:color w:val="auto"/>
              </w:rPr>
              <w:t>10.3</w:t>
            </w:r>
          </w:p>
        </w:tc>
        <w:tc>
          <w:tcPr>
            <w:tcW w:w="1560" w:type="dxa"/>
            <w:vAlign w:val="bottom"/>
          </w:tcPr>
          <w:p>
            <w:pPr>
              <w:jc w:val="center"/>
              <w:ind w:left="208"/>
              <w:spacing w:after="0"/>
              <w:rPr>
                <w:sz w:val="20"/>
                <w:szCs w:val="20"/>
                <w:color w:val="auto"/>
              </w:rPr>
            </w:pPr>
            <w:r>
              <w:rPr>
                <w:rFonts w:ascii="Arial" w:cs="Arial" w:eastAsia="Arial" w:hAnsi="Arial"/>
                <w:sz w:val="14"/>
                <w:szCs w:val="14"/>
                <w:color w:val="auto"/>
              </w:rPr>
              <w:t>August 4, 2016</w:t>
            </w:r>
          </w:p>
        </w:tc>
      </w:tr>
      <w:tr>
        <w:trPr>
          <w:trHeight w:val="594"/>
        </w:trPr>
        <w:tc>
          <w:tcPr>
            <w:tcW w:w="700" w:type="dxa"/>
            <w:vAlign w:val="bottom"/>
          </w:tcPr>
          <w:p>
            <w:pPr>
              <w:jc w:val="center"/>
              <w:ind w:right="268"/>
              <w:spacing w:after="0"/>
              <w:rPr>
                <w:sz w:val="20"/>
                <w:szCs w:val="20"/>
                <w:color w:val="auto"/>
              </w:rPr>
            </w:pPr>
            <w:r>
              <w:rPr>
                <w:rFonts w:ascii="Arial" w:cs="Arial" w:eastAsia="Arial" w:hAnsi="Arial"/>
                <w:sz w:val="14"/>
                <w:szCs w:val="14"/>
                <w:color w:val="auto"/>
              </w:rPr>
              <w:t>S-1/A</w:t>
            </w:r>
          </w:p>
        </w:tc>
        <w:tc>
          <w:tcPr>
            <w:tcW w:w="1380" w:type="dxa"/>
            <w:vAlign w:val="bottom"/>
          </w:tcPr>
          <w:p>
            <w:pPr>
              <w:jc w:val="center"/>
              <w:ind w:left="8"/>
              <w:spacing w:after="0"/>
              <w:rPr>
                <w:sz w:val="20"/>
                <w:szCs w:val="20"/>
                <w:color w:val="auto"/>
              </w:rPr>
            </w:pPr>
            <w:r>
              <w:rPr>
                <w:rFonts w:ascii="Arial" w:cs="Arial" w:eastAsia="Arial" w:hAnsi="Arial"/>
                <w:sz w:val="14"/>
                <w:szCs w:val="14"/>
                <w:color w:val="auto"/>
              </w:rPr>
              <w:t>333-182027</w:t>
            </w:r>
          </w:p>
        </w:tc>
        <w:tc>
          <w:tcPr>
            <w:tcW w:w="880" w:type="dxa"/>
            <w:vAlign w:val="bottom"/>
          </w:tcPr>
          <w:p>
            <w:pPr>
              <w:jc w:val="center"/>
              <w:spacing w:after="0"/>
              <w:rPr>
                <w:sz w:val="20"/>
                <w:szCs w:val="20"/>
                <w:color w:val="auto"/>
              </w:rPr>
            </w:pPr>
            <w:r>
              <w:rPr>
                <w:rFonts w:ascii="Arial" w:cs="Arial" w:eastAsia="Arial" w:hAnsi="Arial"/>
                <w:sz w:val="14"/>
                <w:szCs w:val="14"/>
                <w:color w:val="auto"/>
              </w:rPr>
              <w:t>10.14</w:t>
            </w:r>
          </w:p>
        </w:tc>
        <w:tc>
          <w:tcPr>
            <w:tcW w:w="1560" w:type="dxa"/>
            <w:vAlign w:val="bottom"/>
          </w:tcPr>
          <w:p>
            <w:pPr>
              <w:jc w:val="center"/>
              <w:ind w:left="188"/>
              <w:spacing w:after="0"/>
              <w:rPr>
                <w:sz w:val="20"/>
                <w:szCs w:val="20"/>
                <w:color w:val="auto"/>
              </w:rPr>
            </w:pPr>
            <w:r>
              <w:rPr>
                <w:rFonts w:ascii="Arial" w:cs="Arial" w:eastAsia="Arial" w:hAnsi="Arial"/>
                <w:sz w:val="14"/>
                <w:szCs w:val="14"/>
                <w:color w:val="auto"/>
              </w:rPr>
              <w:t>September 12, 2012</w:t>
            </w:r>
          </w:p>
        </w:tc>
      </w:tr>
      <w:tr>
        <w:trPr>
          <w:trHeight w:val="648"/>
        </w:trPr>
        <w:tc>
          <w:tcPr>
            <w:tcW w:w="700" w:type="dxa"/>
            <w:vAlign w:val="bottom"/>
          </w:tcPr>
          <w:p>
            <w:pPr>
              <w:jc w:val="center"/>
              <w:ind w:right="268"/>
              <w:spacing w:after="0"/>
              <w:rPr>
                <w:sz w:val="20"/>
                <w:szCs w:val="20"/>
                <w:color w:val="auto"/>
              </w:rPr>
            </w:pPr>
            <w:r>
              <w:rPr>
                <w:rFonts w:ascii="Arial" w:cs="Arial" w:eastAsia="Arial" w:hAnsi="Arial"/>
                <w:sz w:val="14"/>
                <w:szCs w:val="14"/>
                <w:color w:val="auto"/>
              </w:rPr>
              <w:t>S-1/A</w:t>
            </w:r>
          </w:p>
        </w:tc>
        <w:tc>
          <w:tcPr>
            <w:tcW w:w="1380" w:type="dxa"/>
            <w:vAlign w:val="bottom"/>
          </w:tcPr>
          <w:p>
            <w:pPr>
              <w:jc w:val="center"/>
              <w:ind w:left="8"/>
              <w:spacing w:after="0"/>
              <w:rPr>
                <w:sz w:val="20"/>
                <w:szCs w:val="20"/>
                <w:color w:val="auto"/>
              </w:rPr>
            </w:pPr>
            <w:r>
              <w:rPr>
                <w:rFonts w:ascii="Arial" w:cs="Arial" w:eastAsia="Arial" w:hAnsi="Arial"/>
                <w:sz w:val="14"/>
                <w:szCs w:val="14"/>
                <w:color w:val="auto"/>
              </w:rPr>
              <w:t>333-182027</w:t>
            </w:r>
          </w:p>
        </w:tc>
        <w:tc>
          <w:tcPr>
            <w:tcW w:w="880" w:type="dxa"/>
            <w:vAlign w:val="bottom"/>
          </w:tcPr>
          <w:p>
            <w:pPr>
              <w:jc w:val="center"/>
              <w:spacing w:after="0"/>
              <w:rPr>
                <w:sz w:val="20"/>
                <w:szCs w:val="20"/>
                <w:color w:val="auto"/>
              </w:rPr>
            </w:pPr>
            <w:r>
              <w:rPr>
                <w:rFonts w:ascii="Arial" w:cs="Arial" w:eastAsia="Arial" w:hAnsi="Arial"/>
                <w:sz w:val="14"/>
                <w:szCs w:val="14"/>
                <w:color w:val="auto"/>
              </w:rPr>
              <w:t>10.15</w:t>
            </w:r>
          </w:p>
        </w:tc>
        <w:tc>
          <w:tcPr>
            <w:tcW w:w="1560" w:type="dxa"/>
            <w:vAlign w:val="bottom"/>
          </w:tcPr>
          <w:p>
            <w:pPr>
              <w:jc w:val="center"/>
              <w:ind w:left="188"/>
              <w:spacing w:after="0"/>
              <w:rPr>
                <w:sz w:val="20"/>
                <w:szCs w:val="20"/>
                <w:color w:val="auto"/>
              </w:rPr>
            </w:pPr>
            <w:r>
              <w:rPr>
                <w:rFonts w:ascii="Arial" w:cs="Arial" w:eastAsia="Arial" w:hAnsi="Arial"/>
                <w:sz w:val="14"/>
                <w:szCs w:val="14"/>
                <w:color w:val="auto"/>
              </w:rPr>
              <w:t>September 12, 2012</w:t>
            </w:r>
          </w:p>
        </w:tc>
      </w:tr>
      <w:tr>
        <w:trPr>
          <w:trHeight w:val="648"/>
        </w:trPr>
        <w:tc>
          <w:tcPr>
            <w:tcW w:w="700" w:type="dxa"/>
            <w:vAlign w:val="bottom"/>
          </w:tcPr>
          <w:p>
            <w:pPr>
              <w:jc w:val="center"/>
              <w:ind w:right="268"/>
              <w:spacing w:after="0"/>
              <w:rPr>
                <w:sz w:val="20"/>
                <w:szCs w:val="20"/>
                <w:color w:val="auto"/>
              </w:rPr>
            </w:pPr>
            <w:r>
              <w:rPr>
                <w:rFonts w:ascii="Arial" w:cs="Arial" w:eastAsia="Arial" w:hAnsi="Arial"/>
                <w:sz w:val="14"/>
                <w:szCs w:val="14"/>
                <w:color w:val="auto"/>
              </w:rPr>
              <w:t>S-1/A</w:t>
            </w:r>
          </w:p>
        </w:tc>
        <w:tc>
          <w:tcPr>
            <w:tcW w:w="1380" w:type="dxa"/>
            <w:vAlign w:val="bottom"/>
          </w:tcPr>
          <w:p>
            <w:pPr>
              <w:jc w:val="center"/>
              <w:ind w:left="8"/>
              <w:spacing w:after="0"/>
              <w:rPr>
                <w:sz w:val="20"/>
                <w:szCs w:val="20"/>
                <w:color w:val="auto"/>
              </w:rPr>
            </w:pPr>
            <w:r>
              <w:rPr>
                <w:rFonts w:ascii="Arial" w:cs="Arial" w:eastAsia="Arial" w:hAnsi="Arial"/>
                <w:sz w:val="14"/>
                <w:szCs w:val="14"/>
                <w:color w:val="auto"/>
              </w:rPr>
              <w:t>333-182027</w:t>
            </w:r>
          </w:p>
        </w:tc>
        <w:tc>
          <w:tcPr>
            <w:tcW w:w="880" w:type="dxa"/>
            <w:vAlign w:val="bottom"/>
          </w:tcPr>
          <w:p>
            <w:pPr>
              <w:jc w:val="center"/>
              <w:spacing w:after="0"/>
              <w:rPr>
                <w:sz w:val="20"/>
                <w:szCs w:val="20"/>
                <w:color w:val="auto"/>
              </w:rPr>
            </w:pPr>
            <w:r>
              <w:rPr>
                <w:rFonts w:ascii="Arial" w:cs="Arial" w:eastAsia="Arial" w:hAnsi="Arial"/>
                <w:sz w:val="14"/>
                <w:szCs w:val="14"/>
                <w:color w:val="auto"/>
              </w:rPr>
              <w:t>10.16</w:t>
            </w:r>
          </w:p>
        </w:tc>
        <w:tc>
          <w:tcPr>
            <w:tcW w:w="1560" w:type="dxa"/>
            <w:vAlign w:val="bottom"/>
          </w:tcPr>
          <w:p>
            <w:pPr>
              <w:jc w:val="center"/>
              <w:ind w:left="188"/>
              <w:spacing w:after="0"/>
              <w:rPr>
                <w:sz w:val="20"/>
                <w:szCs w:val="20"/>
                <w:color w:val="auto"/>
              </w:rPr>
            </w:pPr>
            <w:r>
              <w:rPr>
                <w:rFonts w:ascii="Arial" w:cs="Arial" w:eastAsia="Arial" w:hAnsi="Arial"/>
                <w:sz w:val="14"/>
                <w:szCs w:val="14"/>
                <w:color w:val="auto"/>
              </w:rPr>
              <w:t>September 12, 2012</w:t>
            </w:r>
          </w:p>
        </w:tc>
      </w:tr>
    </w:tbl>
    <w:p>
      <w:pPr>
        <w:sectPr>
          <w:pgSz w:w="11900" w:h="16838" w:orient="portrait"/>
          <w:cols w:equalWidth="0" w:num="2">
            <w:col w:w="5800" w:space="720"/>
            <w:col w:w="4520"/>
          </w:cols>
          <w:pgMar w:left="300" w:top="465" w:right="55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231F20"/>
        </w:rPr>
        <w:t>SIGNATURES</w:t>
      </w:r>
    </w:p>
    <w:p>
      <w:pPr>
        <w:spacing w:after="0" w:line="247"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r>
        <w:rPr>
          <w:rFonts w:ascii="Arial" w:cs="Arial" w:eastAsia="Arial" w:hAnsi="Arial"/>
          <w:sz w:val="18"/>
          <w:szCs w:val="18"/>
          <w:color w:val="231F20"/>
        </w:rPr>
        <w:t>, in the City of Foster City, State of California on</w:t>
      </w:r>
      <w:r>
        <w:rPr>
          <w:rFonts w:ascii="Arial" w:cs="Arial" w:eastAsia="Arial" w:hAnsi="Arial"/>
          <w:sz w:val="18"/>
          <w:szCs w:val="18"/>
          <w:color w:val="auto"/>
        </w:rPr>
        <w:t xml:space="preserve"> February 23, 2018.</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5700"/>
        <w:spacing w:after="0"/>
        <w:tabs>
          <w:tab w:leader="none" w:pos="6300" w:val="left"/>
        </w:tabs>
        <w:rPr>
          <w:sz w:val="20"/>
          <w:szCs w:val="20"/>
          <w:color w:val="auto"/>
        </w:rPr>
      </w:pPr>
      <w:r>
        <w:rPr>
          <w:rFonts w:ascii="Arial" w:cs="Arial" w:eastAsia="Arial" w:hAnsi="Arial"/>
          <w:sz w:val="14"/>
          <w:szCs w:val="14"/>
          <w:b w:val="1"/>
          <w:bCs w:val="1"/>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26035</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Philippe F. Courtot</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5" w:lineRule="exact"/>
        <w:rPr>
          <w:sz w:val="20"/>
          <w:szCs w:val="20"/>
          <w:color w:val="auto"/>
        </w:rPr>
      </w:pPr>
    </w:p>
    <w:p>
      <w:pPr>
        <w:ind w:right="360" w:firstLine="405"/>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ectPr>
          <w:pgSz w:w="11900" w:h="16838" w:orient="portrait"/>
          <w:cols w:equalWidth="0" w:num="1">
            <w:col w:w="11260"/>
          </w:cols>
          <w:pgMar w:left="240" w:top="141" w:right="399" w:bottom="1440" w:gutter="0" w:footer="0" w:header="0"/>
        </w:sectPr>
      </w:pPr>
    </w:p>
    <w:p>
      <w:pPr>
        <w:spacing w:after="0" w:line="372" w:lineRule="exact"/>
        <w:rPr>
          <w:sz w:val="20"/>
          <w:szCs w:val="20"/>
          <w:color w:val="auto"/>
        </w:rPr>
      </w:pPr>
    </w:p>
    <w:p>
      <w:pPr>
        <w:jc w:val="center"/>
        <w:ind w:left="620"/>
        <w:spacing w:after="0"/>
        <w:rPr>
          <w:sz w:val="20"/>
          <w:szCs w:val="20"/>
          <w:color w:val="auto"/>
        </w:rPr>
      </w:pPr>
      <w:r>
        <w:rPr>
          <w:rFonts w:ascii="Arial" w:cs="Arial" w:eastAsia="Arial" w:hAnsi="Arial"/>
          <w:sz w:val="17"/>
          <w:szCs w:val="17"/>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5215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Philippe F. Courtot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521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Melissa B. Fisher</w:t>
      </w: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 SANDRA E. BERGERON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521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Sandra E. Bergeron</w:t>
      </w: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 DONALD R. DIXON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521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Donald R. Dixon</w:t>
      </w: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 JEFFREY P. 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521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Jeffrey P. Hank</w:t>
      </w: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 TODD P. HEADLEY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5215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Todd P. Headley</w:t>
      </w: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 GENERAL PETER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521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General Peter Pace</w:t>
      </w:r>
    </w:p>
    <w:p>
      <w:pPr>
        <w:spacing w:after="0" w:line="200" w:lineRule="exact"/>
        <w:rPr>
          <w:sz w:val="20"/>
          <w:szCs w:val="20"/>
          <w:color w:val="auto"/>
        </w:rPr>
      </w:pPr>
    </w:p>
    <w:p>
      <w:pPr>
        <w:spacing w:after="0" w:line="23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 KRISTI 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2521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Kristi M. Rogers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Title</w:t>
            </w:r>
          </w:p>
        </w:tc>
        <w:tc>
          <w:tcPr>
            <w:tcW w:w="900" w:type="dxa"/>
            <w:vAlign w:val="bottom"/>
          </w:tcPr>
          <w:p>
            <w:pPr>
              <w:spacing w:after="0"/>
              <w:rPr>
                <w:sz w:val="17"/>
                <w:szCs w:val="17"/>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Date</w:t>
            </w:r>
          </w:p>
        </w:tc>
      </w:tr>
      <w:tr>
        <w:trPr>
          <w:trHeight w:val="20"/>
        </w:trPr>
        <w:tc>
          <w:tcPr>
            <w:tcW w:w="1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87"/>
        </w:trPr>
        <w:tc>
          <w:tcPr>
            <w:tcW w:w="4200" w:type="dxa"/>
            <w:vAlign w:val="bottom"/>
            <w:gridSpan w:val="3"/>
          </w:tcPr>
          <w:p>
            <w:pPr>
              <w:spacing w:after="0"/>
              <w:rPr>
                <w:sz w:val="20"/>
                <w:szCs w:val="20"/>
                <w:color w:val="auto"/>
              </w:rPr>
            </w:pPr>
            <w:r>
              <w:rPr>
                <w:rFonts w:ascii="Arial" w:cs="Arial" w:eastAsia="Arial" w:hAnsi="Arial"/>
                <w:sz w:val="18"/>
                <w:szCs w:val="18"/>
                <w:color w:val="auto"/>
              </w:rPr>
              <w:t>Chairman, President and Chief Executive Officer</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7"/>
        </w:trPr>
        <w:tc>
          <w:tcPr>
            <w:tcW w:w="420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1820" w:type="dxa"/>
            <w:vAlign w:val="bottom"/>
            <w:gridSpan w:val="3"/>
          </w:tcPr>
          <w:p>
            <w:pPr>
              <w:jc w:val="center"/>
              <w:ind w:left="250"/>
              <w:spacing w:after="0"/>
              <w:rPr>
                <w:sz w:val="20"/>
                <w:szCs w:val="20"/>
                <w:color w:val="auto"/>
              </w:rPr>
            </w:pPr>
            <w:r>
              <w:rPr>
                <w:rFonts w:ascii="Arial" w:cs="Arial" w:eastAsia="Arial" w:hAnsi="Arial"/>
                <w:sz w:val="18"/>
                <w:szCs w:val="18"/>
                <w:color w:val="auto"/>
              </w:rPr>
              <w:t>February 23, 2018</w:t>
            </w:r>
          </w:p>
        </w:tc>
      </w:tr>
      <w:tr>
        <w:trPr>
          <w:trHeight w:val="836"/>
        </w:trPr>
        <w:tc>
          <w:tcPr>
            <w:tcW w:w="4200" w:type="dxa"/>
            <w:vAlign w:val="bottom"/>
            <w:gridSpan w:val="3"/>
          </w:tcPr>
          <w:p>
            <w:pPr>
              <w:spacing w:after="0"/>
              <w:rPr>
                <w:sz w:val="20"/>
                <w:szCs w:val="20"/>
                <w:color w:val="auto"/>
              </w:rPr>
            </w:pPr>
            <w:r>
              <w:rPr>
                <w:rFonts w:ascii="Arial" w:cs="Arial" w:eastAsia="Arial" w:hAnsi="Arial"/>
                <w:sz w:val="18"/>
                <w:szCs w:val="18"/>
                <w:color w:val="auto"/>
              </w:rPr>
              <w:t>Chief Financial Officer (principal financial and</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17"/>
        </w:trPr>
        <w:tc>
          <w:tcPr>
            <w:tcW w:w="4200" w:type="dxa"/>
            <w:vAlign w:val="bottom"/>
            <w:gridSpan w:val="3"/>
          </w:tcPr>
          <w:p>
            <w:pPr>
              <w:spacing w:after="0"/>
              <w:rPr>
                <w:sz w:val="20"/>
                <w:szCs w:val="20"/>
                <w:color w:val="auto"/>
              </w:rPr>
            </w:pPr>
            <w:r>
              <w:rPr>
                <w:rFonts w:ascii="Arial" w:cs="Arial" w:eastAsia="Arial" w:hAnsi="Arial"/>
                <w:sz w:val="18"/>
                <w:szCs w:val="18"/>
                <w:color w:val="auto"/>
              </w:rPr>
              <w:t>accounting officer)</w:t>
            </w:r>
          </w:p>
        </w:tc>
        <w:tc>
          <w:tcPr>
            <w:tcW w:w="1820" w:type="dxa"/>
            <w:vAlign w:val="bottom"/>
            <w:gridSpan w:val="3"/>
          </w:tcPr>
          <w:p>
            <w:pPr>
              <w:jc w:val="center"/>
              <w:ind w:left="250"/>
              <w:spacing w:after="0"/>
              <w:rPr>
                <w:sz w:val="20"/>
                <w:szCs w:val="20"/>
                <w:color w:val="auto"/>
              </w:rPr>
            </w:pPr>
            <w:r>
              <w:rPr>
                <w:rFonts w:ascii="Arial" w:cs="Arial" w:eastAsia="Arial" w:hAnsi="Arial"/>
                <w:sz w:val="18"/>
                <w:szCs w:val="18"/>
                <w:color w:val="auto"/>
              </w:rPr>
              <w:t>February 23, 2018</w:t>
            </w:r>
          </w:p>
        </w:tc>
      </w:tr>
      <w:tr>
        <w:trPr>
          <w:trHeight w:val="864"/>
        </w:trPr>
        <w:tc>
          <w:tcPr>
            <w:tcW w:w="42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center"/>
              <w:ind w:left="250"/>
              <w:spacing w:after="0"/>
              <w:rPr>
                <w:sz w:val="20"/>
                <w:szCs w:val="20"/>
                <w:color w:val="auto"/>
              </w:rPr>
            </w:pPr>
            <w:r>
              <w:rPr>
                <w:rFonts w:ascii="Arial" w:cs="Arial" w:eastAsia="Arial" w:hAnsi="Arial"/>
                <w:sz w:val="18"/>
                <w:szCs w:val="18"/>
                <w:color w:val="auto"/>
              </w:rPr>
              <w:t>February 23, 2018</w:t>
            </w:r>
          </w:p>
        </w:tc>
      </w:tr>
      <w:tr>
        <w:trPr>
          <w:trHeight w:val="864"/>
        </w:trPr>
        <w:tc>
          <w:tcPr>
            <w:tcW w:w="42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center"/>
              <w:ind w:left="250"/>
              <w:spacing w:after="0"/>
              <w:rPr>
                <w:sz w:val="20"/>
                <w:szCs w:val="20"/>
                <w:color w:val="auto"/>
              </w:rPr>
            </w:pPr>
            <w:r>
              <w:rPr>
                <w:rFonts w:ascii="Arial" w:cs="Arial" w:eastAsia="Arial" w:hAnsi="Arial"/>
                <w:sz w:val="18"/>
                <w:szCs w:val="18"/>
                <w:color w:val="auto"/>
              </w:rPr>
              <w:t>February 23, 2018</w:t>
            </w:r>
          </w:p>
        </w:tc>
      </w:tr>
      <w:tr>
        <w:trPr>
          <w:trHeight w:val="864"/>
        </w:trPr>
        <w:tc>
          <w:tcPr>
            <w:tcW w:w="42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center"/>
              <w:ind w:left="250"/>
              <w:spacing w:after="0"/>
              <w:rPr>
                <w:sz w:val="20"/>
                <w:szCs w:val="20"/>
                <w:color w:val="auto"/>
              </w:rPr>
            </w:pPr>
            <w:r>
              <w:rPr>
                <w:rFonts w:ascii="Arial" w:cs="Arial" w:eastAsia="Arial" w:hAnsi="Arial"/>
                <w:sz w:val="18"/>
                <w:szCs w:val="18"/>
                <w:color w:val="auto"/>
              </w:rPr>
              <w:t>February 23, 2018</w:t>
            </w:r>
          </w:p>
        </w:tc>
      </w:tr>
      <w:tr>
        <w:trPr>
          <w:trHeight w:val="864"/>
        </w:trPr>
        <w:tc>
          <w:tcPr>
            <w:tcW w:w="42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center"/>
              <w:ind w:left="250"/>
              <w:spacing w:after="0"/>
              <w:rPr>
                <w:sz w:val="20"/>
                <w:szCs w:val="20"/>
                <w:color w:val="auto"/>
              </w:rPr>
            </w:pPr>
            <w:r>
              <w:rPr>
                <w:rFonts w:ascii="Arial" w:cs="Arial" w:eastAsia="Arial" w:hAnsi="Arial"/>
                <w:sz w:val="18"/>
                <w:szCs w:val="18"/>
                <w:color w:val="auto"/>
              </w:rPr>
              <w:t>February 23, 2018</w:t>
            </w:r>
          </w:p>
        </w:tc>
      </w:tr>
      <w:tr>
        <w:trPr>
          <w:trHeight w:val="864"/>
        </w:trPr>
        <w:tc>
          <w:tcPr>
            <w:tcW w:w="42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center"/>
              <w:ind w:left="250"/>
              <w:spacing w:after="0"/>
              <w:rPr>
                <w:sz w:val="20"/>
                <w:szCs w:val="20"/>
                <w:color w:val="auto"/>
              </w:rPr>
            </w:pPr>
            <w:r>
              <w:rPr>
                <w:rFonts w:ascii="Arial" w:cs="Arial" w:eastAsia="Arial" w:hAnsi="Arial"/>
                <w:sz w:val="18"/>
                <w:szCs w:val="18"/>
                <w:color w:val="auto"/>
              </w:rPr>
              <w:t>February 23, 2018</w:t>
            </w:r>
          </w:p>
        </w:tc>
      </w:tr>
      <w:tr>
        <w:trPr>
          <w:trHeight w:val="864"/>
        </w:trPr>
        <w:tc>
          <w:tcPr>
            <w:tcW w:w="42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center"/>
              <w:ind w:left="250"/>
              <w:spacing w:after="0"/>
              <w:rPr>
                <w:sz w:val="20"/>
                <w:szCs w:val="20"/>
                <w:color w:val="auto"/>
              </w:rPr>
            </w:pPr>
            <w:r>
              <w:rPr>
                <w:rFonts w:ascii="Arial" w:cs="Arial" w:eastAsia="Arial" w:hAnsi="Arial"/>
                <w:sz w:val="18"/>
                <w:szCs w:val="18"/>
                <w:color w:val="auto"/>
              </w:rPr>
              <w:t>February 23, 2018</w:t>
            </w:r>
          </w:p>
        </w:tc>
      </w:tr>
    </w:tbl>
    <w:p>
      <w:pPr>
        <w:spacing w:after="0" w:line="460" w:lineRule="exact"/>
        <w:rPr>
          <w:sz w:val="20"/>
          <w:szCs w:val="20"/>
          <w:color w:val="auto"/>
        </w:rPr>
      </w:pPr>
    </w:p>
    <w:p>
      <w:pPr>
        <w:sectPr>
          <w:pgSz w:w="11900" w:h="16838" w:orient="portrait"/>
          <w:cols w:equalWidth="0" w:num="2">
            <w:col w:w="4060" w:space="720"/>
            <w:col w:w="6480"/>
          </w:cols>
          <w:pgMar w:left="240" w:top="14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260"/>
          </w:cols>
          <w:pgMar w:left="240" w:top="141" w:right="39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17"/>
        </w:trPr>
        <w:tc>
          <w:tcPr>
            <w:tcW w:w="5500" w:type="dxa"/>
            <w:vAlign w:val="bottom"/>
          </w:tcPr>
          <w:p>
            <w:pPr>
              <w:spacing w:after="0"/>
              <w:rPr>
                <w:sz w:val="18"/>
                <w:szCs w:val="18"/>
                <w:color w:val="auto"/>
              </w:rPr>
            </w:pPr>
          </w:p>
        </w:tc>
        <w:tc>
          <w:tcPr>
            <w:tcW w:w="5920" w:type="dxa"/>
            <w:vAlign w:val="bottom"/>
            <w:gridSpan w:val="2"/>
          </w:tcPr>
          <w:p>
            <w:pPr>
              <w:ind w:left="60"/>
              <w:spacing w:after="0"/>
              <w:rPr>
                <w:sz w:val="20"/>
                <w:szCs w:val="20"/>
                <w:color w:val="auto"/>
              </w:rPr>
            </w:pPr>
            <w:r>
              <w:rPr>
                <w:rFonts w:ascii="Arial" w:cs="Arial" w:eastAsia="Arial" w:hAnsi="Arial"/>
                <w:sz w:val="18"/>
                <w:szCs w:val="18"/>
                <w:color w:val="auto"/>
              </w:rPr>
              <w:t>Exhibit 21.1</w:t>
            </w:r>
          </w:p>
        </w:tc>
        <w:tc>
          <w:tcPr>
            <w:tcW w:w="0" w:type="dxa"/>
            <w:vAlign w:val="bottom"/>
          </w:tcPr>
          <w:p>
            <w:pPr>
              <w:spacing w:after="0"/>
              <w:rPr>
                <w:sz w:val="1"/>
                <w:szCs w:val="1"/>
                <w:color w:val="auto"/>
              </w:rPr>
            </w:pPr>
          </w:p>
        </w:tc>
      </w:tr>
      <w:tr>
        <w:trPr>
          <w:trHeight w:val="648"/>
        </w:trPr>
        <w:tc>
          <w:tcPr>
            <w:tcW w:w="5500" w:type="dxa"/>
            <w:vAlign w:val="bottom"/>
          </w:tcPr>
          <w:p>
            <w:pPr>
              <w:ind w:left="660"/>
              <w:spacing w:after="0"/>
              <w:rPr>
                <w:sz w:val="20"/>
                <w:szCs w:val="20"/>
                <w:color w:val="auto"/>
              </w:rPr>
            </w:pPr>
            <w:r>
              <w:rPr>
                <w:rFonts w:ascii="Arial" w:cs="Arial" w:eastAsia="Arial" w:hAnsi="Arial"/>
                <w:sz w:val="18"/>
                <w:szCs w:val="18"/>
                <w:color w:val="auto"/>
              </w:rPr>
              <w:t>List of subsidiaries of Qualys, Inc.</w:t>
            </w:r>
          </w:p>
        </w:tc>
        <w:tc>
          <w:tcPr>
            <w:tcW w:w="3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Name of Subsidiary</w:t>
            </w:r>
          </w:p>
        </w:tc>
        <w:tc>
          <w:tcPr>
            <w:tcW w:w="320" w:type="dxa"/>
            <w:vAlign w:val="bottom"/>
          </w:tcPr>
          <w:p>
            <w:pPr>
              <w:spacing w:after="0"/>
              <w:rPr>
                <w:sz w:val="24"/>
                <w:szCs w:val="24"/>
                <w:color w:val="auto"/>
              </w:rPr>
            </w:pPr>
          </w:p>
        </w:tc>
        <w:tc>
          <w:tcPr>
            <w:tcW w:w="5600" w:type="dxa"/>
            <w:vAlign w:val="bottom"/>
          </w:tcPr>
          <w:p>
            <w:pPr>
              <w:ind w:left="40"/>
              <w:spacing w:after="0"/>
              <w:rPr>
                <w:sz w:val="20"/>
                <w:szCs w:val="20"/>
                <w:color w:val="auto"/>
              </w:rPr>
            </w:pPr>
            <w:r>
              <w:rPr>
                <w:rFonts w:ascii="Arial" w:cs="Arial" w:eastAsia="Arial" w:hAnsi="Arial"/>
                <w:sz w:val="18"/>
                <w:szCs w:val="18"/>
                <w:b w:val="1"/>
                <w:bCs w:val="1"/>
                <w:color w:val="auto"/>
              </w:rPr>
              <w:t>Jurisdiction of Incorporation</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Qualys International, Inc.</w:t>
            </w:r>
          </w:p>
        </w:tc>
        <w:tc>
          <w:tcPr>
            <w:tcW w:w="320" w:type="dxa"/>
            <w:vAlign w:val="bottom"/>
          </w:tcPr>
          <w:p>
            <w:pPr>
              <w:spacing w:after="0"/>
              <w:rPr>
                <w:sz w:val="20"/>
                <w:szCs w:val="20"/>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56"/>
        </w:trPr>
        <w:tc>
          <w:tcPr>
            <w:tcW w:w="5500" w:type="dxa"/>
            <w:vAlign w:val="bottom"/>
          </w:tcPr>
          <w:p>
            <w:pPr>
              <w:ind w:left="40"/>
              <w:spacing w:after="0"/>
              <w:rPr>
                <w:sz w:val="20"/>
                <w:szCs w:val="20"/>
                <w:color w:val="auto"/>
              </w:rPr>
            </w:pPr>
            <w:r>
              <w:rPr>
                <w:rFonts w:ascii="Arial" w:cs="Arial" w:eastAsia="Arial" w:hAnsi="Arial"/>
                <w:sz w:val="18"/>
                <w:szCs w:val="18"/>
                <w:color w:val="auto"/>
                <w:w w:val="92"/>
              </w:rPr>
              <w:t>Qualys Brazil Desenvolvimento de Produtos e Consultoria de Tecnologias</w:t>
            </w:r>
          </w:p>
        </w:tc>
        <w:tc>
          <w:tcPr>
            <w:tcW w:w="320" w:type="dxa"/>
            <w:vAlign w:val="bottom"/>
          </w:tcPr>
          <w:p>
            <w:pPr>
              <w:spacing w:after="0"/>
              <w:rPr>
                <w:sz w:val="22"/>
                <w:szCs w:val="22"/>
                <w:color w:val="auto"/>
              </w:rPr>
            </w:pPr>
          </w:p>
        </w:tc>
        <w:tc>
          <w:tcPr>
            <w:tcW w:w="5600" w:type="dxa"/>
            <w:vAlign w:val="bottom"/>
            <w:vMerge w:val="restart"/>
          </w:tcPr>
          <w:p>
            <w:pPr>
              <w:ind w:left="4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22"/>
        </w:trPr>
        <w:tc>
          <w:tcPr>
            <w:tcW w:w="5500" w:type="dxa"/>
            <w:vAlign w:val="bottom"/>
            <w:vMerge w:val="restart"/>
          </w:tcPr>
          <w:p>
            <w:pPr>
              <w:ind w:left="40"/>
              <w:spacing w:after="0"/>
              <w:rPr>
                <w:sz w:val="20"/>
                <w:szCs w:val="20"/>
                <w:color w:val="auto"/>
              </w:rPr>
            </w:pPr>
            <w:r>
              <w:rPr>
                <w:rFonts w:ascii="Arial" w:cs="Arial" w:eastAsia="Arial" w:hAnsi="Arial"/>
                <w:sz w:val="18"/>
                <w:szCs w:val="18"/>
                <w:color w:val="auto"/>
              </w:rPr>
              <w:t>de Seguranca LTDA.</w:t>
            </w:r>
          </w:p>
        </w:tc>
        <w:tc>
          <w:tcPr>
            <w:tcW w:w="320" w:type="dxa"/>
            <w:vAlign w:val="bottom"/>
          </w:tcPr>
          <w:p>
            <w:pPr>
              <w:spacing w:after="0"/>
              <w:rPr>
                <w:sz w:val="10"/>
                <w:szCs w:val="10"/>
                <w:color w:val="auto"/>
              </w:rPr>
            </w:pPr>
          </w:p>
        </w:tc>
        <w:tc>
          <w:tcPr>
            <w:tcW w:w="5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5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Qualys Canada, Ltd.</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Qualys Technologies, S.A.</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Qualys GmbH</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Qualys Hong Kong Limited</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Qualys Security TechServices Private Ltd.</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Qualys Japan K.K.</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Qualys Singapore Pte. Ltd.</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Qualys Middle East FZE</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United Arab Emirates</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Qualys Ltd.</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Qualys Australia Pty Ltd.</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Qualys Switzerland Sarl</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Qualys Colombia S.A.S.</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Qualys South Africa Proprietary Limited</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70"/>
        </w:trPr>
        <w:tc>
          <w:tcPr>
            <w:tcW w:w="5500" w:type="dxa"/>
            <w:vAlign w:val="bottom"/>
          </w:tcPr>
          <w:p>
            <w:pPr>
              <w:ind w:left="40"/>
              <w:spacing w:after="0"/>
              <w:rPr>
                <w:sz w:val="20"/>
                <w:szCs w:val="20"/>
                <w:color w:val="auto"/>
              </w:rPr>
            </w:pPr>
            <w:r>
              <w:rPr>
                <w:rFonts w:ascii="Arial" w:cs="Arial" w:eastAsia="Arial" w:hAnsi="Arial"/>
                <w:sz w:val="18"/>
                <w:szCs w:val="18"/>
                <w:color w:val="auto"/>
              </w:rPr>
              <w:t>Qualys Netherlands B.V.</w:t>
            </w:r>
          </w:p>
        </w:tc>
        <w:tc>
          <w:tcPr>
            <w:tcW w:w="32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3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have issued our reports dated February 23, 2018, with respect to the consolidated financial statements, schedule, and internal control over financial reporting included in the Annual report of Qualys, Inc. on Form 10-K for the year ended December 31, 2017. We consent to the incorporation by reference of said reports in the Registration Statements of Qualys, Inc. on Forms S-8 (File Nos. 333-184394, 333-193576, 333-202587, 333-209735, and 333-216232).</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2018</w:t>
      </w:r>
    </w:p>
    <w:p>
      <w:pPr>
        <w:sectPr>
          <w:pgSz w:w="11900" w:h="16838" w:orient="portrait"/>
          <w:cols w:equalWidth="0" w:num="1">
            <w:col w:w="11420"/>
          </w:cols>
          <w:pgMar w:left="240" w:top="1251"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2"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February 23, 2018</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Melissa B. Fisher,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340" w:hanging="332"/>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3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2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4"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42"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February 23, 2018</w:t>
      </w:r>
    </w:p>
    <w:p>
      <w:pPr>
        <w:spacing w:after="0" w:line="2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32" w:lineRule="exact"/>
        <w:rPr>
          <w:sz w:val="20"/>
          <w:szCs w:val="20"/>
          <w:color w:val="auto"/>
        </w:rPr>
      </w:pPr>
    </w:p>
    <w:p>
      <w:pPr>
        <w:jc w:val="center"/>
        <w:ind w:left="260" w:right="240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2017,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50" w:lineRule="exact"/>
        <w:rPr>
          <w:sz w:val="20"/>
          <w:szCs w:val="20"/>
          <w:color w:val="auto"/>
        </w:rPr>
      </w:pPr>
    </w:p>
    <w:p>
      <w:pPr>
        <w:ind w:left="780" w:hanging="272"/>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February 23, 2018</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2017, as filed with the Securities and Exchange Commission on the date hereof (the “Report”), I, Melissa B. Fisher, Chief Financial Officer of the Company, certify, pursuant to 18 U.S.C. § 1350, as adopted pursuant to § 906 of the Sarbanes-Oxley Act of 2002, that, to the best of my knowledge:</w:t>
      </w:r>
    </w:p>
    <w:p>
      <w:pPr>
        <w:spacing w:after="0" w:line="148" w:lineRule="exact"/>
        <w:rPr>
          <w:sz w:val="20"/>
          <w:szCs w:val="20"/>
          <w:color w:val="auto"/>
        </w:rPr>
      </w:pPr>
    </w:p>
    <w:p>
      <w:pPr>
        <w:ind w:left="780" w:hanging="272"/>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23, 2018</w:t>
      </w:r>
    </w:p>
    <w:p>
      <w:pPr>
        <w:spacing w:after="0" w:line="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decimal"/>
      <w:start w:val="2"/>
    </w:lvl>
  </w:abstractNum>
  <w:abstractNum w:abstractNumId="28">
    <w:nsid w:val="2901D82"/>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31" Type="http://schemas.openxmlformats.org/officeDocument/2006/relationships/image" Target="media/image7.png"/><Relationship Id="rId32" Type="http://schemas.openxmlformats.org/officeDocument/2006/relationships/image" Target="media/image8.png"/><Relationship Id="rId33" Type="http://schemas.openxmlformats.org/officeDocument/2006/relationships/image" Target="media/image9.png"/><Relationship Id="rId34" Type="http://schemas.openxmlformats.org/officeDocument/2006/relationships/image" Target="media/image10.png"/><Relationship Id="rId35" Type="http://schemas.openxmlformats.org/officeDocument/2006/relationships/image" Target="media/image11.png"/><Relationship Id="rId36" Type="http://schemas.openxmlformats.org/officeDocument/2006/relationships/image" Target="media/image12.png"/><Relationship Id="rId37"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14" Type="http://schemas.openxmlformats.org/officeDocument/2006/relationships/hyperlink" Target="http://www.sec.gov/Archives/edgar/data/1107843/000119312512388433/d355355dex33.htm" TargetMode="External"/><Relationship Id="rId15" Type="http://schemas.openxmlformats.org/officeDocument/2006/relationships/hyperlink" Target="http://www.sec.gov/Archives/edgar/data/1107843/000119312512388433/d355355dex35.htm" TargetMode="External"/><Relationship Id="rId16" Type="http://schemas.openxmlformats.org/officeDocument/2006/relationships/hyperlink" Target="http://www.sec.gov/Archives/edgar/data/1107843/000119312512388433/d355355dex41.htm" TargetMode="External"/><Relationship Id="rId17" Type="http://schemas.openxmlformats.org/officeDocument/2006/relationships/hyperlink" Target="http://www.sec.gov/Archives/edgar/data/1107843/000119312512265366/d355355dex101.htm" TargetMode="External"/><Relationship Id="rId18" Type="http://schemas.openxmlformats.org/officeDocument/2006/relationships/hyperlink" Target="http://www.sec.gov/Archives/edgar/data/1107843/000119312512388433/d355355dex102.htm" TargetMode="External"/><Relationship Id="rId19" Type="http://schemas.openxmlformats.org/officeDocument/2006/relationships/hyperlink" Target="http://www.sec.gov/Archives/edgar/data/1107843/000119312512265366/d355355dex103.htm" TargetMode="External"/><Relationship Id="rId20" Type="http://schemas.openxmlformats.org/officeDocument/2006/relationships/hyperlink" Target="http://www.sec.gov/Archives/edgar/data/1107843/000119312512265366/d355355dex104.htm" TargetMode="External"/><Relationship Id="rId21" Type="http://schemas.openxmlformats.org/officeDocument/2006/relationships/hyperlink" Target="http://www.sec.gov/Archives/edgar/data/1107843/000119312512265366/d355355dex105.htm" TargetMode="External"/><Relationship Id="rId22" Type="http://schemas.openxmlformats.org/officeDocument/2006/relationships/hyperlink" Target="http://www.sec.gov/Archives/edgar/data/1107843/000119312516572647/d166115dex101.htm" TargetMode="External"/><Relationship Id="rId23" Type="http://schemas.openxmlformats.org/officeDocument/2006/relationships/hyperlink" Target="http://www.sec.gov/Archives/edgar/data/1107843/000119312512265366/d355355dex109.htm" TargetMode="External"/><Relationship Id="rId24" Type="http://schemas.openxmlformats.org/officeDocument/2006/relationships/hyperlink" Target="http://www.sec.gov/Archives/edgar/data/1107843/000119312512350036/d355355dex1010.htm" TargetMode="External"/><Relationship Id="rId25" Type="http://schemas.openxmlformats.org/officeDocument/2006/relationships/hyperlink" Target="http://www.sec.gov/Archives/edgar/data/1107843/000119312516741827/d270006dex101.htm" TargetMode="External"/><Relationship Id="rId26" Type="http://schemas.openxmlformats.org/officeDocument/2006/relationships/hyperlink" Target="http://www.sec.gov/Archives/edgar/data/1107843/000119312516554340/d85159ddef14a.htm" TargetMode="External"/><Relationship Id="rId27" Type="http://schemas.openxmlformats.org/officeDocument/2006/relationships/hyperlink" Target="http://www.sec.gov/Archives/edgar/data/1107843/000110784316000030/qlys-201663010qxexhbit103.htm" TargetMode="External"/><Relationship Id="rId28" Type="http://schemas.openxmlformats.org/officeDocument/2006/relationships/hyperlink" Target="http://www.sec.gov/Archives/edgar/data/1107843/000119312512388433/d355355dex1014.htm" TargetMode="External"/><Relationship Id="rId29" Type="http://schemas.openxmlformats.org/officeDocument/2006/relationships/hyperlink" Target="http://www.sec.gov/Archives/edgar/data/1107843/000119312512388433/d355355dex1015.htm" TargetMode="External"/><Relationship Id="rId30" Type="http://schemas.openxmlformats.org/officeDocument/2006/relationships/hyperlink" Target="http://www.sec.gov/Archives/edgar/data/1107843/000119312512388433/d355355d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2019-12-29T00:04:08Z</dcterms:created>
  <dcterms:modified xsi:type="dcterms:W3CDTF">2019-12-29T00:04:08Z</dcterms:modified>
</cp:coreProperties>
</file>