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December 21,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Qualys,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00"/>
          </w:cols>
          <w:pgMar w:left="4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001-35662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77-0534145</w:t>
      </w:r>
    </w:p>
    <w:p>
      <w:pPr>
        <w:spacing w:after="0" w:line="31" w:lineRule="exact"/>
        <w:rPr>
          <w:sz w:val="24"/>
          <w:szCs w:val="24"/>
          <w:color w:val="auto"/>
        </w:rPr>
      </w:pPr>
    </w:p>
    <w:p>
      <w:pPr>
        <w:sectPr>
          <w:pgSz w:w="11900" w:h="16838" w:orient="portrait"/>
          <w:cols w:equalWidth="0" w:num="3">
            <w:col w:w="4520" w:space="720"/>
            <w:col w:w="2860" w:space="720"/>
            <w:col w:w="2080"/>
          </w:cols>
          <w:pgMar w:left="440" w:top="368" w:right="559" w:bottom="1440" w:gutter="0" w:footer="0" w:header="0"/>
          <w:type w:val="continuous"/>
        </w:sectPr>
      </w:pPr>
    </w:p>
    <w:p>
      <w:pPr>
        <w:spacing w:after="0" w:line="12" w:lineRule="exact"/>
        <w:rPr>
          <w:sz w:val="24"/>
          <w:szCs w:val="24"/>
          <w:color w:val="auto"/>
        </w:rPr>
      </w:pPr>
    </w:p>
    <w:p>
      <w:pPr>
        <w:jc w:val="center"/>
        <w:ind w:right="320"/>
        <w:spacing w:after="0"/>
        <w:rPr>
          <w:sz w:val="20"/>
          <w:szCs w:val="20"/>
          <w:color w:val="auto"/>
        </w:rPr>
      </w:pPr>
      <w:r>
        <w:rPr>
          <w:rFonts w:ascii="Arial" w:cs="Arial" w:eastAsia="Arial" w:hAnsi="Arial"/>
          <w:sz w:val="13"/>
          <w:szCs w:val="13"/>
          <w:b w:val="1"/>
          <w:bCs w:val="1"/>
          <w:color w:val="auto"/>
        </w:rPr>
        <w:t>(State or other jurisdiction of</w:t>
      </w:r>
    </w:p>
    <w:p>
      <w:pPr>
        <w:jc w:val="center"/>
        <w:ind w:right="32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Arial" w:cs="Arial" w:eastAsia="Arial" w:hAnsi="Arial"/>
          <w:sz w:val="14"/>
          <w:szCs w:val="14"/>
          <w:b w:val="1"/>
          <w:bCs w:val="1"/>
          <w:color w:val="auto"/>
        </w:rPr>
        <w:t>(IRS Employer</w:t>
      </w:r>
    </w:p>
    <w:p>
      <w:pPr>
        <w:jc w:val="center"/>
        <w:ind w:right="108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080" w:space="720"/>
            <w:col w:w="3180" w:space="720"/>
            <w:col w:w="2200"/>
          </w:cols>
          <w:pgMar w:left="440" w:top="368" w:right="559" w:bottom="1440" w:gutter="0" w:footer="0" w:header="0"/>
          <w:type w:val="continuous"/>
        </w:sectPr>
      </w:pPr>
    </w:p>
    <w:p>
      <w:pPr>
        <w:spacing w:after="0" w:line="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919 East Hillsdale Boulevard</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Foster City, California 94404</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(650) 801-6100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252730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900"/>
          </w:cols>
          <w:pgMar w:left="440" w:top="368" w:right="5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3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00"/>
          </w:cols>
          <w:pgMar w:left="440" w:top="368" w:right="559" w:bottom="1440" w:gutter="0" w:footer="0" w:header="0"/>
          <w:type w:val="continuous"/>
        </w:sectPr>
      </w:pPr>
    </w:p>
    <w:bookmarkStart w:id="1" w:name="page2"/>
    <w:bookmarkEnd w:id="1"/>
    <w:p>
      <w:pPr>
        <w:ind w:left="980" w:right="20" w:hanging="985"/>
        <w:spacing w:after="0" w:line="282" w:lineRule="auto"/>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54" w:lineRule="exact"/>
        <w:rPr>
          <w:sz w:val="20"/>
          <w:szCs w:val="20"/>
          <w:color w:val="auto"/>
        </w:rPr>
      </w:pPr>
    </w:p>
    <w:p>
      <w:pPr>
        <w:ind w:firstLine="441"/>
        <w:spacing w:after="0" w:line="281" w:lineRule="auto"/>
        <w:rPr>
          <w:sz w:val="20"/>
          <w:szCs w:val="20"/>
          <w:color w:val="auto"/>
        </w:rPr>
      </w:pPr>
      <w:r>
        <w:rPr>
          <w:rFonts w:ascii="Arial" w:cs="Arial" w:eastAsia="Arial" w:hAnsi="Arial"/>
          <w:sz w:val="17"/>
          <w:szCs w:val="17"/>
          <w:color w:val="auto"/>
        </w:rPr>
        <w:t>On December 21, 2018,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Qualys, Inc. (the “</w:t>
      </w:r>
      <w:r>
        <w:rPr>
          <w:rFonts w:ascii="Arial" w:cs="Arial" w:eastAsia="Arial" w:hAnsi="Arial"/>
          <w:sz w:val="17"/>
          <w:szCs w:val="17"/>
          <w:b w:val="1"/>
          <w:bCs w:val="1"/>
          <w:color w:val="auto"/>
        </w:rPr>
        <w:t>Company</w:t>
      </w:r>
      <w:r>
        <w:rPr>
          <w:rFonts w:ascii="Arial" w:cs="Arial" w:eastAsia="Arial" w:hAnsi="Arial"/>
          <w:sz w:val="17"/>
          <w:szCs w:val="17"/>
          <w:color w:val="auto"/>
        </w:rPr>
        <w:t>”) granted an award of time-based and performance-based restricted stock units to the Company’s Chairman and Chief Executive Officer, Philippe Courtot. The Compensation Committee of the Board, in consultation with its independent compensation consultant, designed these awards so that greater than 50% of this compensation was based on the achievement of performance goals linked to metrics designed to drive the creation of shareholder value.</w:t>
      </w:r>
    </w:p>
    <w:p>
      <w:pPr>
        <w:spacing w:after="0" w:line="16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first portion of the award consists of 56,250 time-based stock restricted stock units that will vest in 16 quarterly increments beginning on January 1, 2019, assuming continued service through each applicable vesting date. The second portion of the award consists of 33,089 performance-based restricted stock units that vest based on achievement of goals related to revenue growth for a three-year period from January 2019 through December 2021 and adjusted EBITDA margin for the 2021 fiscal year, generally conditioned on Mr. Courtot’s continued status as a service provider through the date that performance is certified. The third portion of the award consists of 33,088 performance-based restricted stock units that will vest in 3 increments based on the achievement of goals related to revenue growth and adjusted EBITDA margin for each of the 2019, 2020, and 2021 fiscal years, generally conditioned on Mr. Courtot’s continued status as a service provider through the date that performance is certified for the relevant increment. If Mr. Courtot’s employment (a) is terminated by reason of death or disability or (b) is terminated by the Company for reasons other than cause or good reason within 12 months following a change in control (a “double trigger” termination), then 100% of any unvested portions of the award will vest, with any vesting in connection with change in control terminations conditioned upon the effectiveness of a release of claims in favor of the Company.</w:t>
      </w:r>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QUALYS,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Bruce K. Posey</w:t>
      </w:r>
    </w:p>
    <w:p>
      <w:pPr>
        <w:spacing w:after="0" w:line="27"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Bruce K. Posey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Vice President, General Counsel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Corporate Secretary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31, 2018</w:t>
      </w:r>
    </w:p>
    <w:sectPr>
      <w:pgSz w:w="11900" w:h="16838" w:orient="portrait"/>
      <w:cols w:equalWidth="0" w:num="1">
        <w:col w:w="10720"/>
      </w:cols>
      <w:pgMar w:left="440" w:top="270"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2019-12-06T15:20:58Z</dcterms:created>
  <dcterms:modified xsi:type="dcterms:W3CDTF">2019-12-06T15:20:58Z</dcterms:modified>
</cp:coreProperties>
</file>