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ind w:left="3160"/>
        <w:spacing w:after="0"/>
        <w:tabs>
          <w:tab w:leader="none" w:pos="8180" w:val="left"/>
        </w:tabs>
        <w:rPr>
          <w:sz w:val="20"/>
          <w:szCs w:val="20"/>
          <w:color w:val="auto"/>
        </w:rPr>
      </w:pPr>
      <w:r>
        <w:rPr>
          <w:rFonts w:ascii="Arial" w:cs="Arial" w:eastAsia="Arial" w:hAnsi="Arial"/>
          <w:sz w:val="18"/>
          <w:szCs w:val="18"/>
          <w:b w:val="1"/>
          <w:bCs w:val="1"/>
          <w:color w:val="auto"/>
        </w:rPr>
        <w:t>SECURITIES EXCHANGE ACT OF 1934 (AMENDMENT NO.</w:t>
        <w:tab/>
        <w:t>)</w:t>
      </w:r>
    </w:p>
    <w:p>
      <w:pPr>
        <w:spacing w:after="0" w:line="33"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3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-2226945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-1884045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-1412240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-1069340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-692150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9"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-492760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192405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20"/>
          </w:cols>
          <w:pgMar w:left="240" w:top="211"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1600 Bridge Parkway</w:t>
      </w:r>
    </w:p>
    <w:p>
      <w:pPr>
        <w:jc w:val="center"/>
        <w:ind w:right="-1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To Be Held at 11:00 a.m. Pacific Daylight Time on Tuesday, June 4,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36" w:lineRule="exact"/>
        <w:rPr>
          <w:sz w:val="20"/>
          <w:szCs w:val="20"/>
          <w:color w:val="auto"/>
        </w:rPr>
      </w:pPr>
    </w:p>
    <w:p>
      <w:pPr>
        <w:ind w:right="160" w:firstLine="456"/>
        <w:spacing w:after="0" w:line="249"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Tuesday, June 4, 2013, at 11:00 a.m. Pacific</w:t>
      </w:r>
      <w:r>
        <w:rPr>
          <w:rFonts w:ascii="Arial" w:cs="Arial" w:eastAsia="Arial" w:hAnsi="Arial"/>
          <w:sz w:val="18"/>
          <w:szCs w:val="18"/>
          <w:color w:val="auto"/>
        </w:rPr>
        <w:t xml:space="preserve"> </w:t>
      </w:r>
      <w:r>
        <w:rPr>
          <w:rFonts w:ascii="Arial" w:cs="Arial" w:eastAsia="Arial" w:hAnsi="Arial"/>
          <w:sz w:val="18"/>
          <w:szCs w:val="18"/>
          <w:b w:val="1"/>
          <w:bCs w:val="1"/>
          <w:color w:val="auto"/>
        </w:rPr>
        <w:t>Daylight Time</w:t>
      </w:r>
      <w:r>
        <w:rPr>
          <w:rFonts w:ascii="Arial" w:cs="Arial" w:eastAsia="Arial" w:hAnsi="Arial"/>
          <w:sz w:val="18"/>
          <w:szCs w:val="18"/>
          <w:color w:val="auto"/>
        </w:rPr>
        <w:t>, at the Sofitel San Francisco Bay Hotel, located at 223 Twin Dolphin Drive, Redwood City, California 94065, for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more fully described in the accompanying Proxy Statement:</w:t>
      </w:r>
    </w:p>
    <w:p>
      <w:pPr>
        <w:spacing w:after="0" w:line="67" w:lineRule="exact"/>
        <w:rPr>
          <w:sz w:val="20"/>
          <w:szCs w:val="20"/>
          <w:color w:val="auto"/>
        </w:rPr>
      </w:pPr>
    </w:p>
    <w:p>
      <w:pPr>
        <w:ind w:left="900" w:right="48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2016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the year ending December 31, 2013; and</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8"/>
          <w:szCs w:val="18"/>
          <w:color w:val="auto"/>
        </w:rPr>
        <w:t>The board of directors of Qualys, Inc. has fixed the close of business on April 10, 2013 as the record date for the meeting. Only stockholders of record of our common stock on April 10, 2013 are entitled to notice of and to vote at the meeting. Further information regarding voting rights and the matters to be voted upon is presented in our proxy statement.</w:t>
      </w:r>
    </w:p>
    <w:p>
      <w:pPr>
        <w:spacing w:after="0" w:line="154"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 xml:space="preserve">On or about April 22, 2013, we expect to mail to our stockholders a Notice of Internet Availability of Proxy Materials (the “Notice”) containing instructions on how to access our proxy statement for our annual meeting and our annual report to stockholders. This Notice provides instructions on how to vote online or by telephone and includes instructions on how to receive a paper copy of proxy materials by mail. This proxy statement and our 2012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3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34"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Courot</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ind w:left="6060"/>
        <w:spacing w:after="0" w:line="234" w:lineRule="auto"/>
        <w:rPr>
          <w:sz w:val="20"/>
          <w:szCs w:val="20"/>
          <w:color w:val="auto"/>
        </w:rPr>
      </w:pPr>
      <w:r>
        <w:rPr>
          <w:rFonts w:ascii="Arial" w:cs="Arial" w:eastAsia="Arial" w:hAnsi="Arial"/>
          <w:sz w:val="18"/>
          <w:szCs w:val="18"/>
          <w:color w:val="auto"/>
        </w:rPr>
        <w:t>Chairman, President and Chief Executive Officer</w:t>
      </w:r>
    </w:p>
    <w:p>
      <w:pPr>
        <w:ind w:left="6060"/>
        <w:spacing w:after="0" w:line="235" w:lineRule="auto"/>
        <w:rPr>
          <w:sz w:val="20"/>
          <w:szCs w:val="20"/>
          <w:color w:val="auto"/>
        </w:rPr>
      </w:pPr>
      <w:r>
        <w:rPr>
          <w:rFonts w:ascii="Arial" w:cs="Arial" w:eastAsia="Arial" w:hAnsi="Arial"/>
          <w:sz w:val="18"/>
          <w:szCs w:val="18"/>
          <w:color w:val="auto"/>
        </w:rPr>
        <w:t>Redwood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19, 2013</w:t>
      </w:r>
    </w:p>
    <w:p>
      <w:pPr>
        <w:sectPr>
          <w:pgSz w:w="11900" w:h="16838" w:orient="portrait"/>
          <w:cols w:equalWidth="0" w:num="1">
            <w:col w:w="11400"/>
          </w:cols>
          <w:pgMar w:left="240" w:top="256"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2013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Tuesday, June 4, 2013 at 11:00 a.m. Pacific Daylight Time</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proxy statement and the enclosed form of proxy are furnished in connection with solicitation of proxies by our board of directors for use at the annual meeting of stockholders (the “Annual Meeting”) to be held on June 4, 2013, and any postponements, adjournments or continuations thereof. The Annual Meeting will be held at the Sofitel San Francisco Bay Hotel, located at 223 Twin Dolphin Drive, Redwood City, California 94065, on June 4, 2013 at 11:00 a.m. Pacific Daylight Time. On or about April 22, 2013, we expect to mail to our stockholders a Notice of Internet Availability of Proxy Materials containing instructions on how to access our proxy statement for our annual meeting and our annual report to stockholders.</w:t>
      </w:r>
    </w:p>
    <w:p>
      <w:pPr>
        <w:spacing w:after="0" w:line="15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54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two Class I directors to hold office until the 2016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28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year ending December 31, 2013;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nominees for election as Class I directors; and</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year ending December 31,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9"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Holders of our common stock as of the close of business on April 10, 2013, the record date, may vote at the Annual Meeting. As of the record date, we had 31,667,462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06" w:lineRule="exact"/>
        <w:rPr>
          <w:sz w:val="20"/>
          <w:szCs w:val="20"/>
          <w:color w:val="auto"/>
        </w:rPr>
      </w:pPr>
    </w:p>
    <w:p>
      <w:pPr>
        <w:jc w:val="both"/>
        <w:ind w:right="200" w:firstLine="456"/>
        <w:spacing w:after="0" w:line="247"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3" w:name="page4"/>
    <w:bookmarkEnd w:id="3"/>
    <w:p>
      <w:pPr>
        <w:ind w:right="20" w:firstLine="456"/>
        <w:spacing w:after="0" w:line="23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since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6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on June 3, 2013 (have your proxy card in hand when you visit the website);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toll-free telephone at 1-800-690-6903 (have your proxy card in hand when you call);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our stockholders, primarily via the Internet. On or about April 22, 2013,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 w:name="page5"/>
    <w:bookmarkEnd w:id="4"/>
    <w:p>
      <w:pPr>
        <w:ind w:right="8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81" w:lineRule="exact"/>
        <w:rPr>
          <w:sz w:val="20"/>
          <w:szCs w:val="20"/>
          <w:color w:val="auto"/>
        </w:rPr>
      </w:pPr>
    </w:p>
    <w:p>
      <w:pPr>
        <w:ind w:left="900" w:hanging="325"/>
        <w:spacing w:after="0" w:line="243"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vote of the shares of common stock voted at the meeting. “Plurality”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individuals who receive the largest number of votes cast “for” are elected as directors. As a result, any shares not voted “for” a particular nominee (whether as a result of a stockholder abstention or a broker non-vote) will not be counted in such nominee’s favor and will have no effect on the outcome of the election.</w:t>
      </w:r>
    </w:p>
    <w:p>
      <w:pPr>
        <w:spacing w:after="0" w:line="53" w:lineRule="exact"/>
        <w:rPr>
          <w:rFonts w:ascii="Arial" w:cs="Arial" w:eastAsia="Arial" w:hAnsi="Arial"/>
          <w:sz w:val="18"/>
          <w:szCs w:val="18"/>
          <w:color w:val="auto"/>
        </w:rPr>
      </w:pPr>
    </w:p>
    <w:p>
      <w:pPr>
        <w:ind w:left="900" w:right="120" w:hanging="325"/>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The ratification of the appointment of Grant Thornton LLP must receive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99"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99" w:lineRule="exact"/>
        <w:rPr>
          <w:sz w:val="20"/>
          <w:szCs w:val="20"/>
          <w:color w:val="auto"/>
        </w:rPr>
      </w:pPr>
    </w:p>
    <w:p>
      <w:pPr>
        <w:jc w:val="both"/>
        <w:ind w:right="140" w:firstLine="456"/>
        <w:spacing w:after="0" w:line="237"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absent direction from you.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9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9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can I find the voting results of the Annual Meeting?</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14"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Qualys, Inc.</w:t>
      </w:r>
    </w:p>
    <w:p>
      <w:pPr>
        <w:ind w:left="4600"/>
        <w:spacing w:after="0" w:line="234" w:lineRule="auto"/>
        <w:rPr>
          <w:sz w:val="20"/>
          <w:szCs w:val="20"/>
          <w:color w:val="auto"/>
        </w:rPr>
      </w:pPr>
      <w:r>
        <w:rPr>
          <w:rFonts w:ascii="Arial" w:cs="Arial" w:eastAsia="Arial" w:hAnsi="Arial"/>
          <w:sz w:val="18"/>
          <w:szCs w:val="18"/>
          <w:color w:val="auto"/>
        </w:rPr>
        <w:t>Attention: Investor Relations</w:t>
      </w:r>
    </w:p>
    <w:p>
      <w:pPr>
        <w:ind w:left="4860"/>
        <w:spacing w:after="0" w:line="235" w:lineRule="auto"/>
        <w:rPr>
          <w:sz w:val="20"/>
          <w:szCs w:val="20"/>
          <w:color w:val="auto"/>
        </w:rPr>
      </w:pPr>
      <w:r>
        <w:rPr>
          <w:rFonts w:ascii="Arial" w:cs="Arial" w:eastAsia="Arial" w:hAnsi="Arial"/>
          <w:sz w:val="18"/>
          <w:szCs w:val="18"/>
          <w:color w:val="auto"/>
        </w:rPr>
        <w:t>1600 Bridge Parkway</w:t>
      </w:r>
    </w:p>
    <w:p>
      <w:pPr>
        <w:ind w:left="4480"/>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2014 annual meeting of stockholders, our Corporate Secretary must receive the written proposal at our principal executive offices not later than December 20, 2013.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Qualys, Inc.</w:t>
      </w:r>
    </w:p>
    <w:p>
      <w:pPr>
        <w:jc w:val="center"/>
        <w:ind w:right="20"/>
        <w:spacing w:after="0" w:line="234" w:lineRule="auto"/>
        <w:rPr>
          <w:sz w:val="20"/>
          <w:szCs w:val="20"/>
          <w:color w:val="auto"/>
        </w:rPr>
      </w:pPr>
      <w:r>
        <w:rPr>
          <w:rFonts w:ascii="Arial" w:cs="Arial" w:eastAsia="Arial" w:hAnsi="Arial"/>
          <w:sz w:val="18"/>
          <w:szCs w:val="18"/>
          <w:color w:val="auto"/>
        </w:rPr>
        <w:t>Attention: Corporate Secretary</w:t>
      </w:r>
    </w:p>
    <w:p>
      <w:pPr>
        <w:jc w:val="center"/>
        <w:ind w:right="20"/>
        <w:spacing w:after="0" w:line="235" w:lineRule="auto"/>
        <w:rPr>
          <w:sz w:val="20"/>
          <w:szCs w:val="20"/>
          <w:color w:val="auto"/>
        </w:rPr>
      </w:pPr>
      <w:r>
        <w:rPr>
          <w:rFonts w:ascii="Arial" w:cs="Arial" w:eastAsia="Arial" w:hAnsi="Arial"/>
          <w:sz w:val="18"/>
          <w:szCs w:val="18"/>
          <w:color w:val="auto"/>
        </w:rPr>
        <w:t>1600 Bridge Parkway</w:t>
      </w:r>
    </w:p>
    <w:p>
      <w:pPr>
        <w:jc w:val="center"/>
        <w:ind w:right="20"/>
        <w:spacing w:after="0" w:line="235" w:lineRule="auto"/>
        <w:rPr>
          <w:sz w:val="20"/>
          <w:szCs w:val="20"/>
          <w:color w:val="auto"/>
        </w:rPr>
      </w:pPr>
      <w:r>
        <w:rPr>
          <w:rFonts w:ascii="Arial" w:cs="Arial" w:eastAsia="Arial" w:hAnsi="Arial"/>
          <w:sz w:val="18"/>
          <w:szCs w:val="18"/>
          <w:color w:val="auto"/>
        </w:rPr>
        <w:t>Redwood City, California 94065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540" w:firstLine="456"/>
        <w:spacing w:after="0" w:line="238"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2014 annual meeting of stockholders, our Corporate Secretary must receive the written notice at our principal executive offices:</w:t>
      </w:r>
    </w:p>
    <w:p>
      <w:pPr>
        <w:spacing w:after="0" w:line="48"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6, 2014;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8, 2014.</w:t>
      </w:r>
    </w:p>
    <w:p>
      <w:pPr>
        <w:spacing w:after="0" w:line="158"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the event that we hold our 2014 annual meeting of stockholders more than 30 days before or more than 60 days after the one-year anniversary date of the 2013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7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You may propose director candidates for consideration by our nominating and corporate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2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6"/>
          <w:szCs w:val="16"/>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95" w:lineRule="exact"/>
        <w:rPr>
          <w:sz w:val="20"/>
          <w:szCs w:val="20"/>
          <w:color w:val="auto"/>
        </w:rPr>
      </w:pPr>
    </w:p>
    <w:p>
      <w:pPr>
        <w:ind w:right="720" w:firstLine="456"/>
        <w:spacing w:after="0" w:line="238" w:lineRule="auto"/>
        <w:rPr>
          <w:sz w:val="20"/>
          <w:szCs w:val="20"/>
          <w:color w:val="auto"/>
        </w:rPr>
      </w:pPr>
      <w:r>
        <w:rPr>
          <w:rFonts w:ascii="Arial" w:cs="Arial" w:eastAsia="Arial" w:hAnsi="Arial"/>
          <w:sz w:val="18"/>
          <w:szCs w:val="18"/>
          <w:color w:val="auto"/>
        </w:rPr>
        <w:t>A copy of our bylaws may be obtained by accessing Qualys’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9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55"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2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 as of April 19,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Current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Position</w:t>
            </w:r>
          </w:p>
        </w:tc>
        <w:tc>
          <w:tcPr>
            <w:tcW w:w="170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Director</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Class</w:t>
            </w:r>
          </w:p>
        </w:tc>
        <w:tc>
          <w:tcPr>
            <w:tcW w:w="420" w:type="dxa"/>
            <w:vAlign w:val="bottom"/>
            <w:gridSpan w:val="2"/>
          </w:tcPr>
          <w:p>
            <w:pPr>
              <w:jc w:val="right"/>
              <w:ind w:right="180"/>
              <w:spacing w:after="0" w:line="152" w:lineRule="exact"/>
              <w:rPr>
                <w:sz w:val="20"/>
                <w:szCs w:val="20"/>
                <w:color w:val="auto"/>
              </w:rPr>
            </w:pPr>
            <w:r>
              <w:rPr>
                <w:rFonts w:ascii="Arial" w:cs="Arial" w:eastAsia="Arial" w:hAnsi="Arial"/>
                <w:sz w:val="14"/>
                <w:szCs w:val="14"/>
                <w:b w:val="1"/>
                <w:bCs w:val="1"/>
                <w:color w:val="auto"/>
                <w:w w:val="83"/>
              </w:rPr>
              <w:t>Age</w:t>
            </w:r>
          </w:p>
        </w:tc>
        <w:tc>
          <w:tcPr>
            <w:tcW w:w="16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700" w:type="dxa"/>
            <w:vAlign w:val="bottom"/>
          </w:tcPr>
          <w:p>
            <w:pPr>
              <w:spacing w:after="0"/>
              <w:rPr>
                <w:sz w:val="13"/>
                <w:szCs w:val="13"/>
                <w:color w:val="auto"/>
              </w:rPr>
            </w:pPr>
          </w:p>
        </w:tc>
        <w:tc>
          <w:tcPr>
            <w:tcW w:w="840" w:type="dxa"/>
            <w:vAlign w:val="bottom"/>
            <w:gridSpan w:val="2"/>
          </w:tcPr>
          <w:p>
            <w:pPr>
              <w:jc w:val="right"/>
              <w:ind w:right="400"/>
              <w:spacing w:after="0" w:line="152" w:lineRule="exact"/>
              <w:rPr>
                <w:sz w:val="20"/>
                <w:szCs w:val="20"/>
                <w:color w:val="auto"/>
              </w:rPr>
            </w:pPr>
            <w:r>
              <w:rPr>
                <w:rFonts w:ascii="Arial" w:cs="Arial" w:eastAsia="Arial" w:hAnsi="Arial"/>
                <w:sz w:val="14"/>
                <w:szCs w:val="14"/>
                <w:b w:val="1"/>
                <w:bCs w:val="1"/>
                <w:color w:val="auto"/>
              </w:rPr>
              <w:t>Since</w:t>
            </w:r>
          </w:p>
        </w:tc>
        <w:tc>
          <w:tcPr>
            <w:tcW w:w="820" w:type="dxa"/>
            <w:vAlign w:val="bottom"/>
            <w:gridSpan w:val="2"/>
          </w:tcPr>
          <w:p>
            <w:pPr>
              <w:jc w:val="right"/>
              <w:ind w:right="320"/>
              <w:spacing w:after="0" w:line="152" w:lineRule="exact"/>
              <w:rPr>
                <w:sz w:val="20"/>
                <w:szCs w:val="20"/>
                <w:color w:val="auto"/>
              </w:rPr>
            </w:pPr>
            <w:r>
              <w:rPr>
                <w:rFonts w:ascii="Arial" w:cs="Arial" w:eastAsia="Arial" w:hAnsi="Arial"/>
                <w:sz w:val="14"/>
                <w:szCs w:val="14"/>
                <w:b w:val="1"/>
                <w:bCs w:val="1"/>
                <w:color w:val="auto"/>
                <w:w w:val="94"/>
              </w:rPr>
              <w:t>Expires</w:t>
            </w:r>
          </w:p>
        </w:tc>
        <w:tc>
          <w:tcPr>
            <w:tcW w:w="8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62"/>
        </w:trPr>
        <w:tc>
          <w:tcPr>
            <w:tcW w:w="404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Sandra E. Bergeron (1) (2)</w:t>
            </w:r>
          </w:p>
        </w:tc>
        <w:tc>
          <w:tcPr>
            <w:tcW w:w="58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78"/>
              </w:rPr>
              <w:t>I</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2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2006</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2013</w:t>
            </w:r>
          </w:p>
        </w:tc>
        <w:tc>
          <w:tcPr>
            <w:tcW w:w="820" w:type="dxa"/>
            <w:vAlign w:val="bottom"/>
            <w:gridSpan w:val="2"/>
          </w:tcPr>
          <w:p>
            <w:pPr>
              <w:jc w:val="center"/>
              <w:ind w:left="140"/>
              <w:spacing w:after="0" w:line="202" w:lineRule="exact"/>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Yves B. Sisteron (1) (3)</w:t>
            </w:r>
          </w:p>
        </w:tc>
        <w:tc>
          <w:tcPr>
            <w:tcW w:w="580" w:type="dxa"/>
            <w:vAlign w:val="bottom"/>
            <w:gridSpan w:val="2"/>
            <w:shd w:val="clear" w:color="auto" w:fill="CCEEFF"/>
          </w:tcPr>
          <w:p>
            <w:pPr>
              <w:jc w:val="center"/>
              <w:ind w:right="220"/>
              <w:spacing w:after="0" w:line="202" w:lineRule="exact"/>
              <w:rPr>
                <w:sz w:val="20"/>
                <w:szCs w:val="20"/>
                <w:color w:val="auto"/>
              </w:rPr>
            </w:pPr>
            <w:r>
              <w:rPr>
                <w:rFonts w:ascii="Arial" w:cs="Arial" w:eastAsia="Arial" w:hAnsi="Arial"/>
                <w:sz w:val="18"/>
                <w:szCs w:val="18"/>
                <w:color w:val="auto"/>
                <w:w w:val="78"/>
              </w:rPr>
              <w:t>I</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22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2003</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jc w:val="center"/>
              <w:ind w:left="140"/>
              <w:spacing w:after="0" w:line="202" w:lineRule="exact"/>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7"/>
              </w:rPr>
              <w:t>Continuing Directors</w:t>
            </w:r>
          </w:p>
        </w:tc>
        <w:tc>
          <w:tcPr>
            <w:tcW w:w="2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Donald R. Dixon (2)</w:t>
            </w:r>
          </w:p>
        </w:tc>
        <w:tc>
          <w:tcPr>
            <w:tcW w:w="58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9"/>
              </w:rPr>
              <w:t>II</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65</w:t>
            </w:r>
          </w:p>
        </w:tc>
        <w:tc>
          <w:tcPr>
            <w:tcW w:w="22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2000</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General Peter Pace (3)</w:t>
            </w:r>
          </w:p>
        </w:tc>
        <w:tc>
          <w:tcPr>
            <w:tcW w:w="5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9"/>
              </w:rPr>
              <w:t>II</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67</w:t>
            </w:r>
          </w:p>
        </w:tc>
        <w:tc>
          <w:tcPr>
            <w:tcW w:w="2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2009</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820" w:type="dxa"/>
            <w:vAlign w:val="bottom"/>
            <w:gridSpan w:val="2"/>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6"/>
        </w:trPr>
        <w:tc>
          <w:tcPr>
            <w:tcW w:w="404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Philippe F. Courtot</w:t>
            </w:r>
          </w:p>
        </w:tc>
        <w:tc>
          <w:tcPr>
            <w:tcW w:w="580" w:type="dxa"/>
            <w:vAlign w:val="bottom"/>
            <w:gridSpan w:val="2"/>
            <w:shd w:val="clear" w:color="auto" w:fill="CCEEFF"/>
          </w:tcPr>
          <w:p>
            <w:pPr>
              <w:jc w:val="center"/>
              <w:ind w:right="240"/>
              <w:spacing w:after="0" w:line="206" w:lineRule="exact"/>
              <w:rPr>
                <w:sz w:val="20"/>
                <w:szCs w:val="20"/>
                <w:color w:val="auto"/>
              </w:rPr>
            </w:pPr>
            <w:r>
              <w:rPr>
                <w:rFonts w:ascii="Arial" w:cs="Arial" w:eastAsia="Arial" w:hAnsi="Arial"/>
                <w:sz w:val="18"/>
                <w:szCs w:val="18"/>
                <w:color w:val="auto"/>
                <w:w w:val="92"/>
              </w:rPr>
              <w:t>III</w:t>
            </w:r>
          </w:p>
        </w:tc>
        <w:tc>
          <w:tcPr>
            <w:tcW w:w="4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68</w:t>
            </w:r>
          </w:p>
        </w:tc>
        <w:tc>
          <w:tcPr>
            <w:tcW w:w="2200" w:type="dxa"/>
            <w:vAlign w:val="bottom"/>
            <w:gridSpan w:val="2"/>
            <w:shd w:val="clear" w:color="auto" w:fill="CCEEFF"/>
          </w:tcPr>
          <w:p>
            <w:pPr>
              <w:ind w:left="160"/>
              <w:spacing w:after="0" w:line="206" w:lineRule="exact"/>
              <w:rPr>
                <w:sz w:val="20"/>
                <w:szCs w:val="20"/>
                <w:color w:val="auto"/>
              </w:rPr>
            </w:pPr>
            <w:r>
              <w:rPr>
                <w:rFonts w:ascii="Arial" w:cs="Arial" w:eastAsia="Arial" w:hAnsi="Arial"/>
                <w:sz w:val="18"/>
                <w:szCs w:val="18"/>
                <w:color w:val="auto"/>
              </w:rPr>
              <w:t>Chairman, President and</w:t>
            </w:r>
          </w:p>
        </w:tc>
        <w:tc>
          <w:tcPr>
            <w:tcW w:w="2540" w:type="dxa"/>
            <w:vAlign w:val="bottom"/>
            <w:gridSpan w:val="3"/>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2000</w:t>
            </w:r>
          </w:p>
        </w:tc>
        <w:tc>
          <w:tcPr>
            <w:tcW w:w="820" w:type="dxa"/>
            <w:vAlign w:val="bottom"/>
            <w:gridSpan w:val="2"/>
            <w:shd w:val="clear" w:color="auto" w:fill="CCEEFF"/>
          </w:tcPr>
          <w:p>
            <w:pPr>
              <w:jc w:val="right"/>
              <w:ind w:right="320"/>
              <w:spacing w:after="0" w:line="206" w:lineRule="exact"/>
              <w:rPr>
                <w:sz w:val="20"/>
                <w:szCs w:val="20"/>
                <w:color w:val="auto"/>
              </w:rPr>
            </w:pPr>
            <w:r>
              <w:rPr>
                <w:rFonts w:ascii="Arial" w:cs="Arial" w:eastAsia="Arial" w:hAnsi="Arial"/>
                <w:sz w:val="18"/>
                <w:szCs w:val="18"/>
                <w:color w:val="auto"/>
              </w:rPr>
              <w:t>2015</w:t>
            </w:r>
          </w:p>
        </w:tc>
        <w:tc>
          <w:tcPr>
            <w:tcW w:w="820" w:type="dxa"/>
            <w:vAlign w:val="bottom"/>
            <w:gridSpan w:val="2"/>
            <w:shd w:val="clear" w:color="auto" w:fill="CCEEFF"/>
          </w:tcPr>
          <w:p>
            <w:pPr>
              <w:jc w:val="center"/>
              <w:ind w:left="160"/>
              <w:spacing w:after="0" w:line="20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3"/>
        </w:trPr>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Chief Executive Officer</w:t>
            </w:r>
          </w:p>
        </w:tc>
        <w:tc>
          <w:tcPr>
            <w:tcW w:w="1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Jeffrey P. Hank (1)</w:t>
            </w:r>
          </w:p>
        </w:tc>
        <w:tc>
          <w:tcPr>
            <w:tcW w:w="58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w w:val="92"/>
              </w:rPr>
              <w:t>III</w:t>
            </w:r>
          </w:p>
        </w:tc>
        <w:tc>
          <w:tcPr>
            <w:tcW w:w="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22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2010</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820" w:type="dxa"/>
            <w:vAlign w:val="bottom"/>
            <w:gridSpan w:val="2"/>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Howard A. Schmidt (3)</w:t>
            </w:r>
          </w:p>
        </w:tc>
        <w:tc>
          <w:tcPr>
            <w:tcW w:w="580" w:type="dxa"/>
            <w:vAlign w:val="bottom"/>
            <w:gridSpan w:val="2"/>
            <w:shd w:val="clear" w:color="auto" w:fill="CCEEFF"/>
          </w:tcPr>
          <w:p>
            <w:pPr>
              <w:jc w:val="center"/>
              <w:ind w:right="240"/>
              <w:spacing w:after="0" w:line="202" w:lineRule="exact"/>
              <w:rPr>
                <w:sz w:val="20"/>
                <w:szCs w:val="20"/>
                <w:color w:val="auto"/>
              </w:rPr>
            </w:pPr>
            <w:r>
              <w:rPr>
                <w:rFonts w:ascii="Arial" w:cs="Arial" w:eastAsia="Arial" w:hAnsi="Arial"/>
                <w:sz w:val="18"/>
                <w:szCs w:val="18"/>
                <w:color w:val="auto"/>
                <w:w w:val="92"/>
              </w:rPr>
              <w:t>III</w:t>
            </w:r>
          </w:p>
        </w:tc>
        <w:tc>
          <w:tcPr>
            <w:tcW w:w="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w:t>
            </w:r>
          </w:p>
        </w:tc>
        <w:tc>
          <w:tcPr>
            <w:tcW w:w="22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Director</w:t>
            </w:r>
          </w:p>
        </w:tc>
        <w:tc>
          <w:tcPr>
            <w:tcW w:w="2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820" w:type="dxa"/>
            <w:vAlign w:val="bottom"/>
            <w:gridSpan w:val="2"/>
            <w:shd w:val="clear" w:color="auto" w:fill="CCEEFF"/>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line="23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81"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i w:val="1"/>
          <w:iCs w:val="1"/>
          <w:color w:val="auto"/>
        </w:rPr>
        <w:t xml:space="preserve">Sandra E. Bergeron </w:t>
      </w:r>
      <w:r>
        <w:rPr>
          <w:rFonts w:ascii="Arial" w:cs="Arial" w:eastAsia="Arial" w:hAnsi="Arial"/>
          <w:sz w:val="18"/>
          <w:szCs w:val="18"/>
          <w:color w:val="auto"/>
        </w:rPr>
        <w:t>has served as a director of our company since June 2006. From 2004 until 2012, Ms. Bergeron was a venture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Trident Capital, Inc., a venture capital firm. Ms. Bergeron currently serves on the board of directors of Sophos plc and F5 Networks, Inc. and previously served on the board of directors of ArcSight, Inc. until it was acquired by Hewlett-Packard Company in September 2010. Ms. Bergeron holds a Bachelor of Business Administration degree from Georgia State University and a Master of Business Administration degree from Xavier University.</w:t>
      </w:r>
    </w:p>
    <w:p>
      <w:pPr>
        <w:spacing w:after="0" w:line="154"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37" w:lineRule="exact"/>
        <w:rPr>
          <w:sz w:val="20"/>
          <w:szCs w:val="20"/>
          <w:color w:val="auto"/>
        </w:rPr>
      </w:pPr>
    </w:p>
    <w:p>
      <w:pPr>
        <w:ind w:right="20" w:firstLine="456"/>
        <w:spacing w:after="0" w:line="260" w:lineRule="auto"/>
        <w:rPr>
          <w:sz w:val="20"/>
          <w:szCs w:val="20"/>
          <w:color w:val="auto"/>
        </w:rPr>
      </w:pPr>
      <w:r>
        <w:rPr>
          <w:rFonts w:ascii="Arial" w:cs="Arial" w:eastAsia="Arial" w:hAnsi="Arial"/>
          <w:sz w:val="18"/>
          <w:szCs w:val="18"/>
          <w:i w:val="1"/>
          <w:iCs w:val="1"/>
          <w:color w:val="auto"/>
        </w:rPr>
        <w:t xml:space="preserve">Yves B. Sisteron </w:t>
      </w:r>
      <w:r>
        <w:rPr>
          <w:rFonts w:ascii="Arial" w:cs="Arial" w:eastAsia="Arial" w:hAnsi="Arial"/>
          <w:sz w:val="18"/>
          <w:szCs w:val="18"/>
          <w:color w:val="auto"/>
        </w:rPr>
        <w:t>has served as a director of our company since November 2003. Since 2000, Mr. Sisteron has been a Managing Partner and</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co-founder of GRP Partners, a private investment firm.</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8" w:name="page9"/>
    <w:bookmarkEnd w:id="8"/>
    <w:p>
      <w:pPr>
        <w:ind w:right="2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Sisteron currently serves on the boards of directors of several private companies. Mr. Sisteron holds a Juris Doctor degree and a Master of Laws degree from the University of Law (Lyon) and a Master of Laws degree from the New York University School of Law.</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believe that Mr. Sisteron possesses specific attributes that qualify him to serve as a member of our board of directors, including his experience as a director of technology companies, his background in the venture capital industry and his perspective as a representative of one of our significant stockholders.</w:t>
      </w:r>
    </w:p>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91"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1" w:lineRule="exact"/>
        <w:rPr>
          <w:sz w:val="20"/>
          <w:szCs w:val="20"/>
          <w:color w:val="auto"/>
        </w:rPr>
      </w:pPr>
    </w:p>
    <w:p>
      <w:pPr>
        <w:ind w:right="220" w:firstLine="456"/>
        <w:spacing w:after="0" w:line="247"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has served as our Chairman, President and Chief Executive Officer since March 2001, and has been a director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2000.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49"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140" w:firstLine="456"/>
        <w:spacing w:after="0" w:line="243" w:lineRule="auto"/>
        <w:rPr>
          <w:sz w:val="20"/>
          <w:szCs w:val="20"/>
          <w:color w:val="auto"/>
        </w:rPr>
      </w:pPr>
      <w:r>
        <w:rPr>
          <w:rFonts w:ascii="Arial" w:cs="Arial" w:eastAsia="Arial" w:hAnsi="Arial"/>
          <w:sz w:val="18"/>
          <w:szCs w:val="18"/>
          <w:i w:val="1"/>
          <w:iCs w:val="1"/>
          <w:color w:val="auto"/>
        </w:rPr>
        <w:t xml:space="preserve">Donald R. Dixon </w:t>
      </w:r>
      <w:r>
        <w:rPr>
          <w:rFonts w:ascii="Arial" w:cs="Arial" w:eastAsia="Arial" w:hAnsi="Arial"/>
          <w:sz w:val="18"/>
          <w:szCs w:val="18"/>
          <w:color w:val="auto"/>
        </w:rPr>
        <w:t>has served as a director of our company since 2000. Since 1993, Mr. Dixon has been a co-founder and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Trident Capital. Since 2008, Mr. Dixon has served on the board of directors of XATA Corporation. Mr. Dixon also currently serves on the boards of directors of several private companies. Mr. Dixon holds a Bachelor of Science degree from Princeton University and a Master of Business Administration degree from the Stanford Graduate School of Business.</w:t>
      </w:r>
    </w:p>
    <w:p>
      <w:pPr>
        <w:spacing w:after="0" w:line="152"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his background in the venture capital industry and his perspective as a representative of one of our significant stockholders.</w:t>
      </w:r>
    </w:p>
    <w:p>
      <w:pPr>
        <w:spacing w:after="0" w:line="136"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Corporate Controller of Intuit, Inc. and since July 2012, he has served as the Vice President of Finance and Chief Accounting Officer of Intuit.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54" w:lineRule="exact"/>
        <w:rPr>
          <w:sz w:val="20"/>
          <w:szCs w:val="20"/>
          <w:color w:val="auto"/>
        </w:rPr>
      </w:pPr>
    </w:p>
    <w:p>
      <w:pPr>
        <w:ind w:right="760" w:firstLine="456"/>
        <w:spacing w:after="0" w:line="239"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37"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Since October 2007, Gen. Pace has been a principal at Pace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LLC. From June 1967 until October 2007, Gen. Pace served in the United States Marine Corps, including as Chairman of the Joint Chiefs of Staff. Since February 2010, Gen. Pace has served on the board of directors of Pike Electric Corporation. Since January 2011, Gen. Pace has served on the board of directors of AAR Corp. Since November 2012, Gen. Pace has served on the board of directors of LaserLock Technologies,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55" w:lineRule="exact"/>
        <w:rPr>
          <w:sz w:val="20"/>
          <w:szCs w:val="20"/>
          <w:color w:val="auto"/>
        </w:rPr>
      </w:pPr>
    </w:p>
    <w:p>
      <w:pPr>
        <w:ind w:right="640" w:firstLine="456"/>
        <w:spacing w:after="0" w:line="23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background in public service.</w:t>
      </w:r>
    </w:p>
    <w:p>
      <w:pPr>
        <w:spacing w:after="0" w:line="137"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i w:val="1"/>
          <w:iCs w:val="1"/>
          <w:color w:val="auto"/>
        </w:rPr>
        <w:t xml:space="preserve">Howard A. Schmidt </w:t>
      </w:r>
      <w:r>
        <w:rPr>
          <w:rFonts w:ascii="Arial" w:cs="Arial" w:eastAsia="Arial" w:hAnsi="Arial"/>
          <w:sz w:val="18"/>
          <w:szCs w:val="18"/>
          <w:color w:val="auto"/>
        </w:rPr>
        <w:t>has served as a director of our company since June 2012. From September 2008 until January 2010, Mr. Schmidt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President and Chief Executive Officer of the Information Security Forum, a non-profit corporation focused on cyber security and risk management.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0" w:name="page11"/>
    <w:bookmarkEnd w:id="10"/>
    <w:p>
      <w:pPr>
        <w:jc w:val="both"/>
        <w:ind w:right="2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May 2003 to June 2005, Mr. Schmidt served as the Vice President and Chief Information Officer and Chief Security Strategist at eBay Inc. From April 2004 to June 2005, Mr. Schmidt served as the Chief Security Strategist at the National Cyber Security Division of the Department of Homeland Security. Mr. Schmidt holds a Bachelor of Science degree and a Master of Science degree from the University of Phoenix.</w:t>
      </w:r>
    </w:p>
    <w:p>
      <w:pPr>
        <w:spacing w:after="0" w:line="124"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We believe that Mr. Schmidt possesses specific attributes that qualify him to serve as a member of our board of directors, including his experience as an executive at technology companies and his background in public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Gen. Pace,</w:t>
      </w:r>
    </w:p>
    <w:p>
      <w:pPr>
        <w:ind w:right="180"/>
        <w:spacing w:after="0" w:line="236" w:lineRule="auto"/>
        <w:rPr>
          <w:sz w:val="20"/>
          <w:szCs w:val="20"/>
          <w:color w:val="auto"/>
        </w:rPr>
      </w:pPr>
      <w:r>
        <w:rPr>
          <w:rFonts w:ascii="Arial" w:cs="Arial" w:eastAsia="Arial" w:hAnsi="Arial"/>
          <w:sz w:val="18"/>
          <w:szCs w:val="18"/>
          <w:color w:val="auto"/>
        </w:rPr>
        <w:t>Mr. Schmidt and Mr. Sisteron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Mr. Courtot currently serves as both Chairman of our board of directors and President and Chief Executive Officer. Our board of directors believes that the current board leadership structure, coupled with a strong emphasis on board independence, provides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 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During the year ended December 31, 2012, the board of directors held five meetings (including regularly scheduled and special meetings), and other than Howard Schmidt, no director attended fewer than 75% of the total number of meetings of the board of directors and the committees of which he was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91" w:right="239" w:bottom="1440" w:gutter="0" w:footer="0" w:header="0"/>
        </w:sectPr>
      </w:pPr>
    </w:p>
    <w:bookmarkStart w:id="11" w:name="page12"/>
    <w:bookmarkEnd w:id="11"/>
    <w:p>
      <w:pPr>
        <w:ind w:right="3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member. Mr. Schmidt joined the board of directors in June 2012 and attended one of two board meetings held between the date he joined the board of directors and December 31, 2012.</w:t>
      </w:r>
    </w:p>
    <w:p>
      <w:pPr>
        <w:spacing w:after="0" w:line="15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w:t>
      </w:r>
    </w:p>
    <w:p>
      <w:pPr>
        <w:spacing w:after="0" w:line="155"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Members serve on these committees until their resignation or until otherwise determined by our board of directors.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Our audit committee consists of Ms. Bergeron, Mr. Hank and Mr. Sisteron, with Mr. Hank serving as Chairman. The composition of our audit committee meets the requirements for independence under current NASDAQ Stock Market listing standards and SEC rules and regulations. Each member of our audit committee meets the financial literacy requirements of the NASDAQ Stock Market listing standards. In addition, our board of directors has determined that Mr. Hank is an audit committee financial expert within the meaning of the rules and regulations of the SEC. The audit committee had four meetings in 2012. Our audit committee will, among other things:</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accountants, our interim and year-end operating results;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related party transactions;</w:t>
      </w:r>
    </w:p>
    <w:p>
      <w:pPr>
        <w:spacing w:after="0" w:line="76" w:lineRule="exact"/>
        <w:rPr>
          <w:rFonts w:ascii="Arial" w:cs="Arial" w:eastAsia="Arial" w:hAnsi="Arial"/>
          <w:sz w:val="18"/>
          <w:szCs w:val="18"/>
          <w:color w:val="auto"/>
        </w:rPr>
      </w:pPr>
    </w:p>
    <w:p>
      <w:pPr>
        <w:ind w:left="900" w:right="34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review a report by the independent registered public accounting firm at least annually, that describes our internal quality-control procedures, any material issues with such procedures, and any steps taken to deal with such issues; and</w:t>
      </w:r>
    </w:p>
    <w:p>
      <w:pPr>
        <w:spacing w:after="0" w:line="73" w:lineRule="exact"/>
        <w:rPr>
          <w:rFonts w:ascii="Arial" w:cs="Arial" w:eastAsia="Arial" w:hAnsi="Arial"/>
          <w:sz w:val="18"/>
          <w:szCs w:val="18"/>
          <w:color w:val="auto"/>
        </w:rPr>
      </w:pPr>
    </w:p>
    <w:p>
      <w:pPr>
        <w:ind w:left="900" w:right="1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(or, as permitted, pre-approve) all audit and all permissible non-audit services, other than de minimis non-audit services, to be performed by the independent registered public accounting firm.</w:t>
      </w:r>
    </w:p>
    <w:p>
      <w:pPr>
        <w:spacing w:after="0" w:line="155"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95" w:lineRule="exact"/>
        <w:rPr>
          <w:sz w:val="20"/>
          <w:szCs w:val="20"/>
          <w:color w:val="auto"/>
        </w:rPr>
      </w:pPr>
    </w:p>
    <w:p>
      <w:pPr>
        <w:ind w:right="360" w:firstLine="456"/>
        <w:spacing w:after="0" w:line="238"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and regulations. Each member of the compensation committee is also a non-employee director, as defined pursuant to Rule 16b-3</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2" w:name="page13"/>
    <w:bookmarkEnd w:id="12"/>
    <w:p>
      <w:pPr>
        <w:ind w:right="28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promulgated under the Exchange Act, and an outside director, as defined pursuant to Section 162(m) of the Internal Revenue Code of 1986, as amended, or the Code. The purpose of our compensation committee is to discharge the responsibilities of our board of directors relating to compensation of our executive officers. Our compensation committee will, among other things:</w:t>
      </w:r>
    </w:p>
    <w:p>
      <w:pPr>
        <w:spacing w:after="0" w:line="73" w:lineRule="exact"/>
        <w:rPr>
          <w:sz w:val="20"/>
          <w:szCs w:val="20"/>
          <w:color w:val="auto"/>
        </w:rPr>
      </w:pPr>
    </w:p>
    <w:p>
      <w:pPr>
        <w:ind w:left="900" w:right="44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and make recommendations to our board of directors regarding incentive compensation and equity plans;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158"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The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5"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Our nominating and governance committee consists of Gen. Pace, Mr. Schmidt and Mr. Sisteron, with Mr. Schmidt serving as Chairman. The composition of our nominating and corporate governance committee meets the requirements for independence under current NASDAQ Stock Market listing standards and SEC rules and regulations. Our nominating and corporate governance committee will, among other things:</w:t>
      </w:r>
    </w:p>
    <w:p>
      <w:pPr>
        <w:spacing w:after="0" w:line="73" w:lineRule="exact"/>
        <w:rPr>
          <w:sz w:val="20"/>
          <w:szCs w:val="20"/>
          <w:color w:val="auto"/>
        </w:rPr>
      </w:pPr>
    </w:p>
    <w:p>
      <w:pPr>
        <w:ind w:left="900" w:right="52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158"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nominating and corporate governance committee operates under a written charter that was adopted by our board of directors and satisfies the applicable rules of the SEC and the listing standards NASDAQ Stock Market. A copy of the Nominating and Corporate Governance Committee Charter is available on our website at http://investor.qualys.com.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nominating and corporate governance committee uses a variety of methods for identifying and evaluating director nominees. In its evaluation of directors candidates, the nominating and corporate governance committee will consider the current size and composition of the board of directors and the needs of the board of directors and the respective committees of the board of directors. Some of the qualifications that the nominating and corporate governance committee considers include, without limitation, issues of character, integrity, judgment, diversity of experience, independence, area of expertise, corporate experience, length of service, potential conflicts of interest and other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91" w:right="259" w:bottom="1440" w:gutter="0" w:footer="0" w:header="0"/>
        </w:sectPr>
      </w:pPr>
    </w:p>
    <w:bookmarkStart w:id="13" w:name="page14"/>
    <w:bookmarkEnd w:id="13"/>
    <w:p>
      <w:pPr>
        <w:ind w:right="2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corporate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corporate governance committee may also consider such other factors as it may deem, from time to time, are in our and our stockholders’ best interests. The nominating and corporate governance committee will also seek appropriate input from the Chief Executive Officer from time to time in assessing the needs of the board of directors for relevant background, experience, diversity and skills of its members.</w:t>
      </w:r>
    </w:p>
    <w:p>
      <w:pPr>
        <w:spacing w:after="0" w:line="154" w:lineRule="exact"/>
        <w:rPr>
          <w:sz w:val="20"/>
          <w:szCs w:val="20"/>
          <w:color w:val="auto"/>
        </w:rPr>
      </w:pPr>
    </w:p>
    <w:p>
      <w:pPr>
        <w:ind w:right="400" w:firstLine="456"/>
        <w:spacing w:after="0" w:line="236"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corporate governance committee considers a broad range of backgrounds and experiences. In making determinations regarding nominations of directors, the nominating and corporate governance committee may take into account the benefits of diverse viewpoints. The nominating and corporate governance committee also considers these and other factors as it oversees the annual board of director and committee evaluations.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99" w:lineRule="exact"/>
        <w:rPr>
          <w:sz w:val="20"/>
          <w:szCs w:val="20"/>
          <w:color w:val="auto"/>
        </w:rPr>
      </w:pPr>
    </w:p>
    <w:p>
      <w:pPr>
        <w:ind w:right="220" w:firstLine="456"/>
        <w:spacing w:after="0" w:line="235" w:lineRule="auto"/>
        <w:rPr>
          <w:sz w:val="20"/>
          <w:szCs w:val="20"/>
          <w:color w:val="auto"/>
        </w:rPr>
      </w:pPr>
      <w:r>
        <w:rPr>
          <w:rFonts w:ascii="Arial" w:cs="Arial" w:eastAsia="Arial" w:hAnsi="Arial"/>
          <w:sz w:val="18"/>
          <w:szCs w:val="18"/>
          <w:color w:val="auto"/>
        </w:rPr>
        <w:t>The nominating and corporate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61"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the Qualys, Inc., Attention: Corporate Secretary, 1600 Bridge Parkway, Redwood City, California 94065. Notice must be received by us no earlier than February 6, 2014, and no later than March 8, 2014. The notice must state the information required by Section 2.4(ii)(b) of our bylaws and otherwise must comply with applicable federal and state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1600 Bridge Parkway, Redwood City, California 94065. All such stockholder communications will be forwarded to the appropriate member or members of the board of directors, or if none is specified, to the Chairman of the board of directors.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Guidelines and Codes of Business Conduct and Ethics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57"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6"/>
          <w:szCs w:val="16"/>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corporate governance committee assists our board of directors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following table provides information regarding compensation paid by us to certain of our non-employee directors during 2012. Directors who are also our employees receive no additional compensation for their service as a director. During 2012, one director, Mr. Courtot, our Chairman, President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9" w:right="259" w:bottom="1440" w:gutter="0" w:footer="0" w:header="0"/>
        </w:sectPr>
      </w:pPr>
    </w:p>
    <w:bookmarkStart w:id="15" w:name="page16"/>
    <w:bookmarkEnd w:id="1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2012 Director Compensation Table</w:t>
      </w:r>
    </w:p>
    <w:p>
      <w:pPr>
        <w:spacing w:after="0" w:line="188"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Fees Earned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Paid in</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40" w:type="dxa"/>
            <w:vAlign w:val="bottom"/>
            <w:vMerge w:val="restart"/>
          </w:tcPr>
          <w:p>
            <w:pPr>
              <w:spacing w:after="0"/>
              <w:rPr>
                <w:sz w:val="12"/>
                <w:szCs w:val="12"/>
                <w:color w:val="auto"/>
              </w:rPr>
            </w:pPr>
          </w:p>
        </w:tc>
        <w:tc>
          <w:tcPr>
            <w:tcW w:w="17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Cash</w:t>
            </w:r>
          </w:p>
        </w:tc>
        <w:tc>
          <w:tcPr>
            <w:tcW w:w="900" w:type="dxa"/>
            <w:vAlign w:val="bottom"/>
          </w:tcPr>
          <w:p>
            <w:pPr>
              <w:spacing w:after="0"/>
              <w:rPr>
                <w:sz w:val="12"/>
                <w:szCs w:val="12"/>
                <w:color w:val="auto"/>
              </w:rPr>
            </w:pPr>
          </w:p>
        </w:tc>
        <w:tc>
          <w:tcPr>
            <w:tcW w:w="1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Awards</w:t>
            </w:r>
          </w:p>
        </w:tc>
        <w:tc>
          <w:tcPr>
            <w:tcW w:w="8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2560" w:type="dxa"/>
            <w:vAlign w:val="bottom"/>
            <w:gridSpan w:val="2"/>
          </w:tcPr>
          <w:p>
            <w:pPr>
              <w:jc w:val="center"/>
              <w:ind w:left="1675"/>
              <w:spacing w:after="0" w:line="152" w:lineRule="exact"/>
              <w:rPr>
                <w:sz w:val="20"/>
                <w:szCs w:val="20"/>
                <w:color w:val="auto"/>
              </w:rPr>
            </w:pPr>
            <w:r>
              <w:rPr>
                <w:rFonts w:ascii="Arial" w:cs="Arial" w:eastAsia="Arial" w:hAnsi="Arial"/>
                <w:sz w:val="14"/>
                <w:szCs w:val="14"/>
                <w:b w:val="1"/>
                <w:bCs w:val="1"/>
                <w:color w:val="auto"/>
                <w:w w:val="93"/>
              </w:rPr>
              <w:t>($)(1)</w:t>
            </w: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ind w:right="136"/>
              <w:spacing w:after="0" w:line="152" w:lineRule="exact"/>
              <w:rPr>
                <w:sz w:val="20"/>
                <w:szCs w:val="20"/>
                <w:color w:val="auto"/>
              </w:rPr>
            </w:pPr>
            <w:r>
              <w:rPr>
                <w:rFonts w:ascii="Arial" w:cs="Arial" w:eastAsia="Arial" w:hAnsi="Arial"/>
                <w:sz w:val="14"/>
                <w:szCs w:val="14"/>
                <w:b w:val="1"/>
                <w:bCs w:val="1"/>
                <w:color w:val="auto"/>
              </w:rPr>
              <w:t>($)(2)(3)</w:t>
            </w:r>
          </w:p>
        </w:tc>
        <w:tc>
          <w:tcPr>
            <w:tcW w:w="1000" w:type="dxa"/>
            <w:vAlign w:val="bottom"/>
          </w:tcPr>
          <w:p>
            <w:pPr>
              <w:spacing w:after="0"/>
              <w:rPr>
                <w:sz w:val="13"/>
                <w:szCs w:val="13"/>
                <w:color w:val="auto"/>
              </w:rPr>
            </w:pPr>
          </w:p>
        </w:tc>
        <w:tc>
          <w:tcPr>
            <w:tcW w:w="74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17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20" w:type="dxa"/>
            <w:vAlign w:val="bottom"/>
            <w:gridSpan w:val="2"/>
            <w:vMerge w:val="continue"/>
            <w:shd w:val="clear" w:color="auto" w:fill="CCEEFF"/>
          </w:tcPr>
          <w:p>
            <w:pPr>
              <w:spacing w:after="0"/>
              <w:rPr>
                <w:sz w:val="16"/>
                <w:szCs w:val="16"/>
                <w:color w:val="auto"/>
              </w:rPr>
            </w:pPr>
          </w:p>
        </w:tc>
        <w:tc>
          <w:tcPr>
            <w:tcW w:w="25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7,083</w:t>
            </w:r>
          </w:p>
        </w:tc>
        <w:tc>
          <w:tcPr>
            <w:tcW w:w="1080" w:type="dxa"/>
            <w:vAlign w:val="bottom"/>
            <w:gridSpan w:val="2"/>
            <w:shd w:val="clear" w:color="auto" w:fill="CCEEFF"/>
          </w:tcPr>
          <w:p>
            <w:pPr>
              <w:ind w:left="900"/>
              <w:spacing w:after="0" w:line="189"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780"/>
              <w:spacing w:after="0" w:line="189" w:lineRule="exact"/>
              <w:rPr>
                <w:sz w:val="20"/>
                <w:szCs w:val="20"/>
                <w:color w:val="auto"/>
              </w:rPr>
            </w:pPr>
            <w:r>
              <w:rPr>
                <w:rFonts w:ascii="Arial" w:cs="Arial" w:eastAsia="Arial" w:hAnsi="Arial"/>
                <w:sz w:val="18"/>
                <w:szCs w:val="18"/>
                <w:color w:val="auto"/>
              </w:rPr>
              <w:t>93,690(4)</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5"/>
              </w:rPr>
              <w:t>$100,773</w:t>
            </w: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9,167</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5,500</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88,740(5)</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94,240</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 Pinchev (6)</w:t>
            </w:r>
          </w:p>
        </w:tc>
        <w:tc>
          <w:tcPr>
            <w:tcW w:w="17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gridSpan w:val="2"/>
          </w:tcPr>
          <w:p>
            <w:pPr>
              <w:spacing w:after="0" w:line="202" w:lineRule="exact"/>
              <w:rPr>
                <w:sz w:val="20"/>
                <w:szCs w:val="20"/>
                <w:color w:val="auto"/>
              </w:rPr>
            </w:pPr>
            <w:r>
              <w:rPr>
                <w:rFonts w:ascii="Arial" w:cs="Arial" w:eastAsia="Arial" w:hAnsi="Arial"/>
                <w:sz w:val="18"/>
                <w:szCs w:val="18"/>
                <w:color w:val="auto"/>
              </w:rPr>
              <w:t>Howard A. Schmidt</w:t>
            </w:r>
          </w:p>
        </w:tc>
        <w:tc>
          <w:tcPr>
            <w:tcW w:w="2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187,155(7)</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193,155</w:t>
            </w:r>
          </w:p>
        </w:tc>
        <w:tc>
          <w:tcPr>
            <w:tcW w:w="0" w:type="dxa"/>
            <w:vAlign w:val="bottom"/>
          </w:tcPr>
          <w:p>
            <w:pPr>
              <w:spacing w:after="0"/>
              <w:rPr>
                <w:sz w:val="1"/>
                <w:szCs w:val="1"/>
                <w:color w:val="auto"/>
              </w:rPr>
            </w:pPr>
          </w:p>
        </w:tc>
      </w:tr>
      <w:tr>
        <w:trPr>
          <w:trHeight w:val="203"/>
        </w:trPr>
        <w:tc>
          <w:tcPr>
            <w:tcW w:w="3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Yves B. Sisteron</w:t>
            </w:r>
          </w:p>
        </w:tc>
        <w:tc>
          <w:tcPr>
            <w:tcW w:w="2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6,750</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52" w:right="340" w:hanging="452"/>
        <w:spacing w:after="0" w:line="23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retainers were paid pursuant to the terms of our Outside Director Compensation Program, described below that was approved in November 2012. Each non-employee director received $5,000 as a pro-rata portion of the annual retainer for serving on our board. In addition, each non-employee director received a pro-rata portion of the additional amounts for serving as a committee chair, a committee member and/or lead independent director, as applicable.</w:t>
      </w:r>
    </w:p>
    <w:p>
      <w:pPr>
        <w:spacing w:after="0" w:line="3" w:lineRule="exact"/>
        <w:rPr>
          <w:rFonts w:ascii="Arial" w:cs="Arial" w:eastAsia="Arial" w:hAnsi="Arial"/>
          <w:sz w:val="18"/>
          <w:szCs w:val="18"/>
          <w:color w:val="auto"/>
        </w:rPr>
      </w:pPr>
    </w:p>
    <w:p>
      <w:pPr>
        <w:ind w:left="452" w:right="20" w:hanging="452"/>
        <w:spacing w:after="0" w:line="23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dollar amounts in this column represent the compensation cost for the year ended December 31, 2012 of stock option awards granted in 2012.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2012 filed with the SEC on March 5, 2013.</w:t>
      </w:r>
    </w:p>
    <w:p>
      <w:pPr>
        <w:spacing w:after="0" w:line="4" w:lineRule="exact"/>
        <w:rPr>
          <w:rFonts w:ascii="Arial" w:cs="Arial" w:eastAsia="Arial" w:hAnsi="Arial"/>
          <w:sz w:val="18"/>
          <w:szCs w:val="18"/>
          <w:color w:val="auto"/>
        </w:rPr>
      </w:pPr>
    </w:p>
    <w:p>
      <w:pPr>
        <w:ind w:left="452" w:right="300" w:hanging="452"/>
        <w:spacing w:after="0" w:line="239"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2012, the aggregate number of shares underlying stock awards and options awards outstanding for each of our non-employee directors was:</w:t>
      </w:r>
    </w:p>
    <w:p>
      <w:pPr>
        <w:spacing w:after="0" w:line="16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68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680" w:type="dxa"/>
            <w:vAlign w:val="bottom"/>
          </w:tcPr>
          <w:p>
            <w:pPr>
              <w:jc w:val="right"/>
              <w:ind w:right="18"/>
              <w:spacing w:after="0" w:line="152" w:lineRule="exact"/>
              <w:rPr>
                <w:sz w:val="20"/>
                <w:szCs w:val="20"/>
                <w:color w:val="auto"/>
              </w:rPr>
            </w:pPr>
            <w:r>
              <w:rPr>
                <w:rFonts w:ascii="Arial" w:cs="Arial" w:eastAsia="Arial" w:hAnsi="Arial"/>
                <w:sz w:val="14"/>
                <w:szCs w:val="14"/>
                <w:b w:val="1"/>
                <w:bCs w:val="1"/>
                <w:color w:val="auto"/>
              </w:rPr>
              <w:t>Awards</w:t>
            </w:r>
          </w:p>
        </w:tc>
        <w:tc>
          <w:tcPr>
            <w:tcW w:w="620" w:type="dxa"/>
            <w:vAlign w:val="bottom"/>
          </w:tcPr>
          <w:p>
            <w:pPr>
              <w:spacing w:after="0"/>
              <w:rPr>
                <w:sz w:val="14"/>
                <w:szCs w:val="14"/>
                <w:color w:val="auto"/>
              </w:rPr>
            </w:pPr>
          </w:p>
        </w:tc>
        <w:tc>
          <w:tcPr>
            <w:tcW w:w="80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90"/>
        </w:trPr>
        <w:tc>
          <w:tcPr>
            <w:tcW w:w="4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5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16,250</w:t>
            </w:r>
          </w:p>
        </w:tc>
        <w:tc>
          <w:tcPr>
            <w:tcW w:w="6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2520" w:type="dxa"/>
            <w:vAlign w:val="bottom"/>
          </w:tcPr>
          <w:p>
            <w:pPr>
              <w:spacing w:after="0"/>
              <w:rPr>
                <w:sz w:val="17"/>
                <w:szCs w:val="17"/>
                <w:color w:val="auto"/>
              </w:rPr>
            </w:pPr>
          </w:p>
        </w:tc>
        <w:tc>
          <w:tcPr>
            <w:tcW w:w="6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25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2520" w:type="dxa"/>
            <w:vAlign w:val="bottom"/>
          </w:tcPr>
          <w:p>
            <w:pPr>
              <w:spacing w:after="0"/>
              <w:rPr>
                <w:sz w:val="17"/>
                <w:szCs w:val="17"/>
                <w:color w:val="auto"/>
              </w:rPr>
            </w:pPr>
          </w:p>
        </w:tc>
        <w:tc>
          <w:tcPr>
            <w:tcW w:w="6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Alex Pinchev</w:t>
            </w:r>
          </w:p>
        </w:tc>
        <w:tc>
          <w:tcPr>
            <w:tcW w:w="25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Howard A. Schmidt</w:t>
            </w:r>
          </w:p>
        </w:tc>
        <w:tc>
          <w:tcPr>
            <w:tcW w:w="2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Yves B. Sisteron</w:t>
            </w:r>
          </w:p>
        </w:tc>
        <w:tc>
          <w:tcPr>
            <w:tcW w:w="2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52" w:right="40"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6, 2012, Ms. Bergeron was granted a stock option to purchase 22,500 shares of common stock pursuant to our 2000 Equity Incentive Plan, as amended (the “2000 Plan”) with a vesting commencement date of July 1, 2012. The shares subject to the option vest over 18 months in equal monthly installments, subject to Ms. Bergeron’s continued service to us. Stock awards reflected above for Ms. Bergeron reflect restricted stock obtained through the early exercise of options.</w:t>
      </w:r>
    </w:p>
    <w:p>
      <w:pPr>
        <w:spacing w:after="0" w:line="3"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April 30, 2012, Gen. Pace was granted a stock option to purchase 22,500 shares of common stock pursuant to our 2000 Plan with a vesting commencement date of May 18, 2012. The shares subject to the option vest over 18 months in equal monthly installments, subject to Gen. Pace’s continued service to us.</w:t>
      </w:r>
    </w:p>
    <w:p>
      <w:pPr>
        <w:spacing w:after="0" w:line="2"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Pinchev resigned as a member of our board of directors in June 2012.</w:t>
      </w:r>
    </w:p>
    <w:p>
      <w:pPr>
        <w:ind w:left="452" w:right="140" w:hanging="452"/>
        <w:spacing w:after="0" w:line="238"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18, 2012, Mr. Schmidt was granted a stock option to purchase 45,000 shares of common stock pursuant to our 2000 Plan with a vesting commencement date of June 18, 2012. The shares subject to the option vest over 36 months in equal monthly installments, subject to Mr. Schmidt’s continued service to us.</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69" w:right="27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Director Compensation Program</w:t>
      </w:r>
    </w:p>
    <w:p>
      <w:pPr>
        <w:spacing w:after="0" w:line="180"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In November 2012, our board of directors, upon the recommendation of the compensation committee, approved the compensation program for our non-employee directors (“Outside Directors”). The compensation committee’s recommendation program to adopt the same was based, in part, upon the results of a review conducted by Compensia, a compensation consultant previously engaged by the compensation committee to review our compensation practices for Outside Directors and to compare such practices to the compensation practices of comparable companies. Outside Directors will receive compensation in the form of equity and cash, as described below:</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firstLine="456"/>
        <w:spacing w:after="0" w:line="226" w:lineRule="auto"/>
        <w:rPr>
          <w:sz w:val="20"/>
          <w:szCs w:val="20"/>
          <w:color w:val="auto"/>
        </w:rPr>
      </w:pPr>
      <w:r>
        <w:rPr>
          <w:rFonts w:ascii="Arial" w:cs="Arial" w:eastAsia="Arial" w:hAnsi="Arial"/>
          <w:sz w:val="18"/>
          <w:szCs w:val="18"/>
          <w:color w:val="auto"/>
        </w:rPr>
        <w:t>Upon joining the board, each newly elected Outside Director will receive an option to purchase 21,000 shares of our common stock (the “Initial Award”). The term of the Initial Award will be ten years and the exercise price will be the fair market value, as determined in accordance with our 2012 Equity Incentive Plan (the “2012 Plan”), on the date of the grant. The shares underlying the Initial Award will vest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three years following the date of grant, subject to continued service as a director through each vesting date.</w:t>
      </w:r>
    </w:p>
    <w:p>
      <w:pPr>
        <w:spacing w:after="0" w:line="157" w:lineRule="exact"/>
        <w:rPr>
          <w:sz w:val="20"/>
          <w:szCs w:val="20"/>
          <w:color w:val="auto"/>
        </w:rPr>
      </w:pPr>
    </w:p>
    <w:p>
      <w:pPr>
        <w:ind w:right="60" w:firstLine="456"/>
        <w:spacing w:after="0" w:line="226" w:lineRule="auto"/>
        <w:rPr>
          <w:sz w:val="20"/>
          <w:szCs w:val="20"/>
          <w:color w:val="auto"/>
        </w:rPr>
      </w:pPr>
      <w:r>
        <w:rPr>
          <w:rFonts w:ascii="Arial" w:cs="Arial" w:eastAsia="Arial" w:hAnsi="Arial"/>
          <w:sz w:val="18"/>
          <w:szCs w:val="18"/>
          <w:color w:val="auto"/>
        </w:rPr>
        <w:t xml:space="preserve">On the date of each annual meeting of our stockholders, each Outside Director who has served on the Board for at least six months prior to such date will be granted an option to purchase 12,000 shares of our common stock (the “Annual Option Award”). The term of the Annual Option Award will be ten years and the exercise price will be the fair market value, as determined in accordance with our 2012 Plan on the date of the grant. All of the shares underlying the Annual Option Award will vest as to 1/12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one year following the date of grant, subject to continued service on the Board through each vesting date.</w:t>
      </w:r>
    </w:p>
    <w:p>
      <w:pPr>
        <w:spacing w:after="0" w:line="15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Option Award will accelerate in full upon a “change in control” (as defined in the 2012 Plan).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Compensation</w:t>
      </w:r>
    </w:p>
    <w:p>
      <w:pPr>
        <w:spacing w:after="0" w:line="9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Each year, each Outside Director will receive a cash retainer of $30,000 for serving on the board of directors (the “Annual Retainer”). In addition to the Annual Retainer, the lead independent director will be entitled to an additional cash retainer of $15,000.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chairpersons and members of the board’s three standing committees will be entitled to the following cash retainers each year:</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4040" w:type="dxa"/>
            <w:vAlign w:val="bottom"/>
            <w:vMerge w:val="restart"/>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6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auto"/>
            </w:tcBorders>
            <w:vMerge w:val="continue"/>
          </w:tcPr>
          <w:p>
            <w:pPr>
              <w:spacing w:after="0"/>
              <w:rPr>
                <w:sz w:val="13"/>
                <w:szCs w:val="13"/>
                <w:color w:val="auto"/>
              </w:rPr>
            </w:pPr>
          </w:p>
        </w:tc>
        <w:tc>
          <w:tcPr>
            <w:tcW w:w="404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jc w:val="right"/>
              <w:ind w:right="32"/>
              <w:spacing w:after="0" w:line="152" w:lineRule="exact"/>
              <w:rPr>
                <w:sz w:val="20"/>
                <w:szCs w:val="20"/>
                <w:color w:val="auto"/>
              </w:rPr>
            </w:pPr>
            <w:r>
              <w:rPr>
                <w:rFonts w:ascii="Arial" w:cs="Arial" w:eastAsia="Arial" w:hAnsi="Arial"/>
                <w:sz w:val="14"/>
                <w:szCs w:val="14"/>
                <w:b w:val="1"/>
                <w:bCs w:val="1"/>
                <w:color w:val="auto"/>
              </w:rPr>
              <w:t>Retainer*</w:t>
            </w:r>
          </w:p>
        </w:tc>
        <w:tc>
          <w:tcPr>
            <w:tcW w:w="680" w:type="dxa"/>
            <w:vAlign w:val="bottom"/>
          </w:tcPr>
          <w:p>
            <w:pPr>
              <w:spacing w:after="0"/>
              <w:rPr>
                <w:sz w:val="13"/>
                <w:szCs w:val="13"/>
                <w:color w:val="auto"/>
              </w:rPr>
            </w:pPr>
          </w:p>
        </w:tc>
        <w:tc>
          <w:tcPr>
            <w:tcW w:w="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1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gridSpan w:val="2"/>
            <w:vMerge w:val="continue"/>
            <w:shd w:val="clear" w:color="auto" w:fill="CCEEFF"/>
          </w:tcPr>
          <w:p>
            <w:pPr>
              <w:spacing w:after="0"/>
              <w:rPr>
                <w:sz w:val="16"/>
                <w:szCs w:val="16"/>
                <w:color w:val="auto"/>
              </w:rPr>
            </w:pPr>
          </w:p>
        </w:tc>
        <w:tc>
          <w:tcPr>
            <w:tcW w:w="2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Corporate Governance Committee</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Outside Director who serves as chairperson of a committee shall not be entitled to a member retainer for the same committee.</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All retainers in cash will be paid in four equal installments on a quarterly basis at the end of the applicable quarter, provided that the individual served as an Outside Director in the applicable capacity during the full quarter, with the amount pro-rated for any Outside Director who did not serve in the applicable capacity the full quarter (on either the board of directors and/or the relevant board committee).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69" w:right="27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8"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2013. During the year ended December 31, 2012, Grant Thornton served as our independent registered public accounting firm.</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2013.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2011 and 2012.</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0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4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Fees (1)</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$ 276,455</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$ 918,641</w:t>
            </w:r>
          </w:p>
        </w:tc>
        <w:tc>
          <w:tcPr>
            <w:tcW w:w="120" w:type="dxa"/>
            <w:vAlign w:val="bottom"/>
            <w:shd w:val="clear" w:color="auto" w:fill="CCEEFF"/>
          </w:tcPr>
          <w:p>
            <w:pPr>
              <w:spacing w:after="0"/>
              <w:rPr>
                <w:sz w:val="17"/>
                <w:szCs w:val="17"/>
                <w:color w:val="auto"/>
              </w:rPr>
            </w:pPr>
          </w:p>
        </w:tc>
      </w:tr>
      <w:tr>
        <w:trPr>
          <w:trHeight w:val="210"/>
        </w:trPr>
        <w:tc>
          <w:tcPr>
            <w:tcW w:w="40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3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32,821</w:t>
            </w:r>
          </w:p>
        </w:tc>
        <w:tc>
          <w:tcPr>
            <w:tcW w:w="6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52,028</w:t>
            </w:r>
          </w:p>
        </w:tc>
        <w:tc>
          <w:tcPr>
            <w:tcW w:w="12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$ 309,276</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$ 970,669</w:t>
            </w:r>
          </w:p>
        </w:tc>
        <w:tc>
          <w:tcPr>
            <w:tcW w:w="120" w:type="dxa"/>
            <w:vAlign w:val="bottom"/>
            <w:shd w:val="clear" w:color="auto" w:fill="CCEEFF"/>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right="420" w:hanging="452"/>
        <w:spacing w:after="0" w:line="23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review of our quarterly consolidated financial statements, accounting consultations and our initial public offering.</w:t>
      </w:r>
    </w:p>
    <w:p>
      <w:pPr>
        <w:spacing w:after="0" w:line="1" w:lineRule="exact"/>
        <w:rPr>
          <w:rFonts w:ascii="Arial" w:cs="Arial" w:eastAsia="Arial" w:hAnsi="Arial"/>
          <w:sz w:val="18"/>
          <w:szCs w:val="18"/>
          <w:color w:val="auto"/>
        </w:rPr>
      </w:pPr>
    </w:p>
    <w:p>
      <w:pPr>
        <w:jc w:val="both"/>
        <w:ind w:left="460" w:right="400" w:hanging="452"/>
        <w:spacing w:after="0" w:line="23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2012, there were no other professional services provided by Grant Thornton that would have required the audit committee to consider their compatibility with maintaining the independence of Grant Thornton.</w:t>
      </w:r>
    </w:p>
    <w:p>
      <w:pPr>
        <w:spacing w:after="0" w:line="214"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53"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9" w:right="239" w:bottom="1440" w:gutter="0" w:footer="0" w:header="0"/>
        </w:sectPr>
      </w:pPr>
    </w:p>
    <w:bookmarkStart w:id="18" w:name="page19"/>
    <w:bookmarkEnd w:id="18"/>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0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55" w:lineRule="exact"/>
        <w:rPr>
          <w:sz w:val="20"/>
          <w:szCs w:val="20"/>
          <w:color w:val="auto"/>
        </w:rPr>
      </w:pPr>
    </w:p>
    <w:p>
      <w:pPr>
        <w:ind w:left="900" w:right="280" w:hanging="325"/>
        <w:spacing w:after="0" w:line="24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the review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quarterly reports, as well as work that is normally provided by the independent registered public accounting firm in connection with statutory and regulatory filings.</w:t>
      </w:r>
    </w:p>
    <w:p>
      <w:pPr>
        <w:spacing w:after="0" w:line="4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37"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7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 All fees paid to Grant Thornton since our initial public offering, effective September 27, 2012, were pre-approved by the audit committee.</w:t>
      </w:r>
    </w:p>
    <w:p>
      <w:pPr>
        <w:spacing w:after="0" w:line="133" w:lineRule="exact"/>
        <w:rPr>
          <w:sz w:val="20"/>
          <w:szCs w:val="20"/>
          <w:color w:val="auto"/>
        </w:rPr>
      </w:pPr>
    </w:p>
    <w:p>
      <w:pPr>
        <w:jc w:val="center"/>
        <w:ind w:left="260" w:right="120"/>
        <w:spacing w:after="0" w:line="437" w:lineRule="auto"/>
        <w:rPr>
          <w:sz w:val="20"/>
          <w:szCs w:val="20"/>
          <w:color w:val="auto"/>
        </w:rPr>
      </w:pPr>
      <w:r>
        <w:rPr>
          <w:rFonts w:ascii="Arial" w:cs="Arial" w:eastAsia="Arial" w:hAnsi="Arial"/>
          <w:sz w:val="18"/>
          <w:szCs w:val="18"/>
          <w:b w:val="1"/>
          <w:bCs w:val="1"/>
          <w:color w:val="auto"/>
        </w:rPr>
        <w:t xml:space="preserve">THE BOARD OF DIRECTORS RECOMMENDS A VOTE “FOR” THE RATIFICATION OF THE APPOINTMENT OF GRANT THORNTON LLP. </w:t>
      </w:r>
      <w:r>
        <w:rPr>
          <w:rFonts w:ascii="Arial" w:cs="Arial" w:eastAsia="Arial" w:hAnsi="Arial"/>
          <w:sz w:val="18"/>
          <w:szCs w:val="18"/>
          <w:color w:val="auto"/>
        </w:rPr>
        <w:t>-17-</w:t>
      </w:r>
    </w:p>
    <w:p>
      <w:pPr>
        <w:sectPr>
          <w:pgSz w:w="11900" w:h="16838" w:orient="portrait"/>
          <w:cols w:equalWidth="0" w:num="1">
            <w:col w:w="11400"/>
          </w:cols>
          <w:pgMar w:left="240" w:top="291"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THE AUDIT COMMITTEE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the Investors portion of our web site at www.qualys.com.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120" w:firstLine="8"/>
        <w:spacing w:after="0" w:line="275" w:lineRule="auto"/>
        <w:tabs>
          <w:tab w:leader="none" w:pos="26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48" w:lineRule="exact"/>
        <w:rPr>
          <w:rFonts w:ascii="Arial" w:cs="Arial" w:eastAsia="Arial" w:hAnsi="Arial"/>
          <w:sz w:val="16"/>
          <w:szCs w:val="16"/>
          <w:color w:val="auto"/>
        </w:rPr>
      </w:pPr>
    </w:p>
    <w:p>
      <w:pPr>
        <w:ind w:left="900" w:hanging="325"/>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100" w:hanging="325"/>
        <w:spacing w:after="0" w:line="23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Standards No. 61, as amended (AICIPA, Professional Standards, Vol. 1. AU section 380), and as adopted by the Public Company Accounting Oversight Board in Rule 3200T; and</w:t>
      </w:r>
    </w:p>
    <w:p>
      <w:pPr>
        <w:spacing w:after="0" w:line="72" w:lineRule="exact"/>
        <w:rPr>
          <w:rFonts w:ascii="Arial" w:cs="Arial" w:eastAsia="Arial" w:hAnsi="Arial"/>
          <w:sz w:val="18"/>
          <w:szCs w:val="18"/>
          <w:color w:val="auto"/>
        </w:rPr>
      </w:pPr>
    </w:p>
    <w:p>
      <w:pPr>
        <w:ind w:left="900" w:right="680" w:hanging="325"/>
        <w:spacing w:after="0" w:line="23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2012 for filing with the Securities and Exchange Commission.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ind w:left="460"/>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Yves B. Sisteron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69"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80"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The following table identifies certain information about our executive officers as of April 19, 2013. Officers are elected by the board of directors to hold office until their successors are elected and qualified.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100" w:type="dxa"/>
            <w:vAlign w:val="bottom"/>
          </w:tcPr>
          <w:p>
            <w:pPr>
              <w:spacing w:after="0"/>
              <w:rPr>
                <w:sz w:val="16"/>
                <w:szCs w:val="16"/>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Age</w:t>
            </w:r>
          </w:p>
        </w:tc>
        <w:tc>
          <w:tcPr>
            <w:tcW w:w="636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0"/>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w:t>
            </w:r>
          </w:p>
        </w:tc>
        <w:tc>
          <w:tcPr>
            <w:tcW w:w="320" w:type="dxa"/>
            <w:vAlign w:val="bottom"/>
            <w:tcBorders>
              <w:top w:val="single" w:sz="8" w:color="CCEEFF"/>
            </w:tcBorders>
            <w:shd w:val="clear" w:color="auto" w:fill="CCEEFF"/>
          </w:tcPr>
          <w:p>
            <w:pPr>
              <w:spacing w:after="0"/>
              <w:rPr>
                <w:sz w:val="16"/>
                <w:szCs w:val="16"/>
                <w:color w:val="auto"/>
              </w:rPr>
            </w:pPr>
          </w:p>
        </w:tc>
        <w:tc>
          <w:tcPr>
            <w:tcW w:w="6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Peter Albert</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45</w:t>
            </w: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Operations</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46</w:t>
            </w: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Chief Marketing Officer</w:t>
            </w: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61</w:t>
            </w: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03"/>
        </w:trPr>
        <w:tc>
          <w:tcPr>
            <w:tcW w:w="4480" w:type="dxa"/>
            <w:vAlign w:val="bottom"/>
            <w:gridSpan w:val="2"/>
          </w:tcPr>
          <w:p>
            <w:pPr>
              <w:spacing w:after="0" w:line="202" w:lineRule="exact"/>
              <w:rPr>
                <w:sz w:val="20"/>
                <w:szCs w:val="20"/>
                <w:color w:val="auto"/>
              </w:rPr>
            </w:pPr>
            <w:r>
              <w:rPr>
                <w:rFonts w:ascii="Arial" w:cs="Arial" w:eastAsia="Arial" w:hAnsi="Arial"/>
                <w:sz w:val="18"/>
                <w:szCs w:val="18"/>
                <w:color w:val="auto"/>
              </w:rPr>
              <w:t>Sumedh S. Thakar</w:t>
            </w:r>
          </w:p>
        </w:tc>
        <w:tc>
          <w:tcPr>
            <w:tcW w:w="5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37</w:t>
            </w:r>
          </w:p>
        </w:tc>
        <w:tc>
          <w:tcPr>
            <w:tcW w:w="6360" w:type="dxa"/>
            <w:vAlign w:val="bottom"/>
          </w:tcPr>
          <w:p>
            <w:pPr>
              <w:spacing w:after="0" w:line="202" w:lineRule="exact"/>
              <w:rPr>
                <w:sz w:val="20"/>
                <w:szCs w:val="20"/>
                <w:color w:val="auto"/>
              </w:rPr>
            </w:pPr>
            <w:r>
              <w:rPr>
                <w:rFonts w:ascii="Arial" w:cs="Arial" w:eastAsia="Arial" w:hAnsi="Arial"/>
                <w:sz w:val="18"/>
                <w:szCs w:val="18"/>
                <w:color w:val="auto"/>
              </w:rPr>
              <w:t>Vice President, Engineering</w:t>
            </w:r>
          </w:p>
        </w:tc>
      </w:tr>
      <w:tr>
        <w:trPr>
          <w:trHeight w:val="203"/>
        </w:trPr>
        <w:tc>
          <w:tcPr>
            <w:tcW w:w="4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N. Wilson</w:t>
            </w:r>
          </w:p>
        </w:tc>
        <w:tc>
          <w:tcPr>
            <w:tcW w:w="5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47</w:t>
            </w: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Executive Vice President, Worldwide Field Operations</w:t>
            </w:r>
          </w:p>
        </w:tc>
      </w:tr>
    </w:tbl>
    <w:p>
      <w:pPr>
        <w:spacing w:after="0" w:line="147" w:lineRule="exact"/>
        <w:rPr>
          <w:sz w:val="20"/>
          <w:szCs w:val="20"/>
          <w:color w:val="auto"/>
        </w:rPr>
      </w:pPr>
    </w:p>
    <w:p>
      <w:pPr>
        <w:ind w:right="220" w:firstLine="456"/>
        <w:spacing w:after="0" w:line="247"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has served as our Chairman, President and Chief Executive Officer since March 2001, and has been a director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2000.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49"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100" w:firstLine="456"/>
        <w:spacing w:after="0" w:line="322" w:lineRule="auto"/>
        <w:rPr>
          <w:sz w:val="20"/>
          <w:szCs w:val="20"/>
          <w:color w:val="auto"/>
        </w:rPr>
      </w:pPr>
      <w:r>
        <w:rPr>
          <w:rFonts w:ascii="Arial" w:cs="Arial" w:eastAsia="Arial" w:hAnsi="Arial"/>
          <w:sz w:val="16"/>
          <w:szCs w:val="16"/>
          <w:i w:val="1"/>
          <w:iCs w:val="1"/>
          <w:color w:val="auto"/>
        </w:rPr>
        <w:t xml:space="preserve">Donald C. McCauley </w:t>
      </w:r>
      <w:r>
        <w:rPr>
          <w:rFonts w:ascii="Arial" w:cs="Arial" w:eastAsia="Arial" w:hAnsi="Arial"/>
          <w:sz w:val="16"/>
          <w:szCs w:val="16"/>
          <w:color w:val="auto"/>
        </w:rPr>
        <w:t>has served as our Chief Financial Officer since February 2006. From August 1999 to July 2005, Mr. McCauley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Chief Financial Officer of iPass, Inc. Mr. McCauley holds a Bachelor of Science degree from the University of Rhode Island.</w:t>
      </w:r>
    </w:p>
    <w:p>
      <w:pPr>
        <w:spacing w:after="0" w:line="74" w:lineRule="exact"/>
        <w:rPr>
          <w:sz w:val="20"/>
          <w:szCs w:val="20"/>
          <w:color w:val="auto"/>
        </w:rPr>
      </w:pPr>
    </w:p>
    <w:p>
      <w:pPr>
        <w:jc w:val="both"/>
        <w:ind w:right="280" w:firstLine="456"/>
        <w:spacing w:after="0" w:line="247" w:lineRule="auto"/>
        <w:rPr>
          <w:sz w:val="20"/>
          <w:szCs w:val="20"/>
          <w:color w:val="auto"/>
        </w:rPr>
      </w:pPr>
      <w:r>
        <w:rPr>
          <w:rFonts w:ascii="Arial" w:cs="Arial" w:eastAsia="Arial" w:hAnsi="Arial"/>
          <w:sz w:val="18"/>
          <w:szCs w:val="18"/>
          <w:i w:val="1"/>
          <w:iCs w:val="1"/>
          <w:color w:val="auto"/>
        </w:rPr>
        <w:t xml:space="preserve">Peter Albert </w:t>
      </w:r>
      <w:r>
        <w:rPr>
          <w:rFonts w:ascii="Arial" w:cs="Arial" w:eastAsia="Arial" w:hAnsi="Arial"/>
          <w:sz w:val="18"/>
          <w:szCs w:val="18"/>
          <w:color w:val="auto"/>
        </w:rPr>
        <w:t>has served as our Vice President, Operations since April 2011. From November 1999 to August 2010, Mr. Albert held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at iPass, including Vice President of Network Operations and Vice President of Engineering. Mr. Albert holds an Associate of Science degree from West Valley College.</w:t>
      </w:r>
    </w:p>
    <w:p>
      <w:pPr>
        <w:spacing w:after="0" w:line="131" w:lineRule="exact"/>
        <w:rPr>
          <w:sz w:val="20"/>
          <w:szCs w:val="20"/>
          <w:color w:val="auto"/>
        </w:rPr>
      </w:pPr>
    </w:p>
    <w:p>
      <w:pPr>
        <w:ind w:right="160" w:firstLine="456"/>
        <w:spacing w:after="0" w:line="278" w:lineRule="auto"/>
        <w:rPr>
          <w:sz w:val="20"/>
          <w:szCs w:val="20"/>
          <w:color w:val="auto"/>
        </w:rPr>
      </w:pPr>
      <w:r>
        <w:rPr>
          <w:rFonts w:ascii="Arial" w:cs="Arial" w:eastAsia="Arial" w:hAnsi="Arial"/>
          <w:sz w:val="16"/>
          <w:szCs w:val="16"/>
          <w:i w:val="1"/>
          <w:iCs w:val="1"/>
          <w:color w:val="auto"/>
        </w:rPr>
        <w:t xml:space="preserve">Amer S. Deeba </w:t>
      </w:r>
      <w:r>
        <w:rPr>
          <w:rFonts w:ascii="Arial" w:cs="Arial" w:eastAsia="Arial" w:hAnsi="Arial"/>
          <w:sz w:val="16"/>
          <w:szCs w:val="16"/>
          <w:color w:val="auto"/>
        </w:rPr>
        <w:t>has served as our Chief Marketing Officer since January 2007. Mr. Deeba joined us in 2001 and has held various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since that time, including Vice President, Product Marketing and Vice President, Strategic Alliances, before assuming his current position.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109" w:lineRule="exact"/>
        <w:rPr>
          <w:sz w:val="20"/>
          <w:szCs w:val="20"/>
          <w:color w:val="auto"/>
        </w:rPr>
      </w:pPr>
    </w:p>
    <w:p>
      <w:pPr>
        <w:ind w:right="160" w:firstLine="456"/>
        <w:spacing w:after="0" w:line="247"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21" w:name="page22"/>
    <w:bookmarkEnd w:id="21"/>
    <w:p>
      <w:pPr>
        <w:ind w:right="3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36"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i w:val="1"/>
          <w:iCs w:val="1"/>
          <w:color w:val="auto"/>
        </w:rPr>
        <w:t xml:space="preserve">Sumedh S. Thakar </w:t>
      </w:r>
      <w:r>
        <w:rPr>
          <w:rFonts w:ascii="Arial" w:cs="Arial" w:eastAsia="Arial" w:hAnsi="Arial"/>
          <w:sz w:val="18"/>
          <w:szCs w:val="18"/>
          <w:color w:val="auto"/>
        </w:rPr>
        <w:t>has served as our Vice President, Engineering since December 2010. Mr. Thakar joined us in February 2003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positions with us since that time, including Principal Engineer, Engineering Manager and Director of Engineering, before assuming his current position. Mr. Thakar holds a Bachelor of Science degree from the University of Pune, India.</w:t>
      </w:r>
    </w:p>
    <w:p>
      <w:pPr>
        <w:spacing w:after="0" w:line="131" w:lineRule="exact"/>
        <w:rPr>
          <w:sz w:val="20"/>
          <w:szCs w:val="20"/>
          <w:color w:val="auto"/>
        </w:rPr>
      </w:pPr>
    </w:p>
    <w:p>
      <w:pPr>
        <w:jc w:val="both"/>
        <w:ind w:right="320" w:firstLine="456"/>
        <w:spacing w:after="0" w:line="270" w:lineRule="auto"/>
        <w:rPr>
          <w:sz w:val="20"/>
          <w:szCs w:val="20"/>
          <w:color w:val="auto"/>
        </w:rPr>
      </w:pPr>
      <w:r>
        <w:rPr>
          <w:rFonts w:ascii="Arial" w:cs="Arial" w:eastAsia="Arial" w:hAnsi="Arial"/>
          <w:sz w:val="16"/>
          <w:szCs w:val="16"/>
          <w:i w:val="1"/>
          <w:iCs w:val="1"/>
          <w:color w:val="auto"/>
        </w:rPr>
        <w:t xml:space="preserve">John N. Wilson </w:t>
      </w:r>
      <w:r>
        <w:rPr>
          <w:rFonts w:ascii="Arial" w:cs="Arial" w:eastAsia="Arial" w:hAnsi="Arial"/>
          <w:sz w:val="16"/>
          <w:szCs w:val="16"/>
          <w:color w:val="auto"/>
        </w:rPr>
        <w:t>has served as our Executive Vice President, Worldwide Field Operations since October 2010. From September 2009 to</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2010, Mr. Wilson served as Vice President of Security Solutions at Verizon Business, a division of Verizon Communications Inc. From October 2008 to September 2009, Mr. Wilson served as Vice President of Worldwide Sales at GFI Software Ltd., a security software company. From January 2005 to October 2008, Mr. Wilson held various positions with us, including Vice President, United States Field Operations.</w:t>
      </w:r>
    </w:p>
    <w:p>
      <w:pPr>
        <w:ind w:right="260"/>
        <w:spacing w:after="0" w:line="239" w:lineRule="auto"/>
        <w:rPr>
          <w:sz w:val="20"/>
          <w:szCs w:val="20"/>
          <w:color w:val="auto"/>
        </w:rPr>
      </w:pPr>
      <w:r>
        <w:rPr>
          <w:rFonts w:ascii="Arial" w:cs="Arial" w:eastAsia="Arial" w:hAnsi="Arial"/>
          <w:sz w:val="18"/>
          <w:szCs w:val="18"/>
          <w:color w:val="auto"/>
        </w:rPr>
        <w:t>Mr. Wilson holds a Bachelor of Science degree from the United States Military Academy at West Point and a Master of Business Administration degree from Fordham University.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91"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Non-Equity</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2"/>
                <w:szCs w:val="12"/>
                <w:color w:val="auto"/>
              </w:rPr>
            </w:pPr>
          </w:p>
        </w:tc>
        <w:tc>
          <w:tcPr>
            <w:tcW w:w="15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84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Awards</w:t>
            </w:r>
          </w:p>
        </w:tc>
        <w:tc>
          <w:tcPr>
            <w:tcW w:w="260" w:type="dxa"/>
            <w:vAlign w:val="bottom"/>
          </w:tcPr>
          <w:p>
            <w:pPr>
              <w:spacing w:after="0"/>
              <w:rPr>
                <w:sz w:val="12"/>
                <w:szCs w:val="12"/>
                <w:color w:val="auto"/>
              </w:rPr>
            </w:pPr>
          </w:p>
        </w:tc>
        <w:tc>
          <w:tcPr>
            <w:tcW w:w="15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Year</w:t>
            </w:r>
          </w:p>
        </w:tc>
        <w:tc>
          <w:tcPr>
            <w:tcW w:w="1320" w:type="dxa"/>
            <w:vAlign w:val="bottom"/>
            <w:gridSpan w:val="2"/>
          </w:tcPr>
          <w:p>
            <w:pPr>
              <w:jc w:val="right"/>
              <w:ind w:right="640"/>
              <w:spacing w:after="0" w:line="152" w:lineRule="exact"/>
              <w:rPr>
                <w:sz w:val="20"/>
                <w:szCs w:val="20"/>
                <w:color w:val="auto"/>
              </w:rPr>
            </w:pPr>
            <w:r>
              <w:rPr>
                <w:rFonts w:ascii="Arial" w:cs="Arial" w:eastAsia="Arial" w:hAnsi="Arial"/>
                <w:sz w:val="14"/>
                <w:szCs w:val="14"/>
                <w:b w:val="1"/>
                <w:bCs w:val="1"/>
                <w:color w:val="auto"/>
              </w:rPr>
              <w:t>Salary ($)</w:t>
            </w:r>
          </w:p>
        </w:tc>
        <w:tc>
          <w:tcPr>
            <w:tcW w:w="100" w:type="dxa"/>
            <w:vAlign w:val="bottom"/>
          </w:tcPr>
          <w:p>
            <w:pPr>
              <w:spacing w:after="0"/>
              <w:rPr>
                <w:sz w:val="13"/>
                <w:szCs w:val="13"/>
                <w:color w:val="auto"/>
              </w:rPr>
            </w:pPr>
          </w:p>
        </w:tc>
        <w:tc>
          <w:tcPr>
            <w:tcW w:w="640" w:type="dxa"/>
            <w:vAlign w:val="bottom"/>
          </w:tcPr>
          <w:p>
            <w:pPr>
              <w:jc w:val="center"/>
              <w:ind w:right="40"/>
              <w:spacing w:after="0" w:line="152" w:lineRule="exact"/>
              <w:rPr>
                <w:sz w:val="20"/>
                <w:szCs w:val="20"/>
                <w:color w:val="auto"/>
              </w:rPr>
            </w:pPr>
            <w:r>
              <w:rPr>
                <w:rFonts w:ascii="Arial" w:cs="Arial" w:eastAsia="Arial" w:hAnsi="Arial"/>
                <w:sz w:val="14"/>
                <w:szCs w:val="14"/>
                <w:b w:val="1"/>
                <w:bCs w:val="1"/>
                <w:color w:val="auto"/>
                <w:w w:val="93"/>
              </w:rPr>
              <w:t>($)(1)</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($)(2)</w:t>
            </w:r>
          </w:p>
        </w:tc>
        <w:tc>
          <w:tcPr>
            <w:tcW w:w="580" w:type="dxa"/>
            <w:vAlign w:val="bottom"/>
          </w:tcPr>
          <w:p>
            <w:pPr>
              <w:spacing w:after="0"/>
              <w:rPr>
                <w:sz w:val="13"/>
                <w:szCs w:val="13"/>
                <w:color w:val="auto"/>
              </w:rPr>
            </w:pPr>
          </w:p>
        </w:tc>
        <w:tc>
          <w:tcPr>
            <w:tcW w:w="860" w:type="dxa"/>
            <w:vAlign w:val="bottom"/>
            <w:gridSpan w:val="2"/>
          </w:tcPr>
          <w:p>
            <w:pPr>
              <w:ind w:left="120"/>
              <w:spacing w:after="0" w:line="152"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4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8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2012</w:t>
            </w:r>
          </w:p>
        </w:tc>
        <w:tc>
          <w:tcPr>
            <w:tcW w:w="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w w:val="95"/>
              </w:rPr>
              <w:t>$300,000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90,000</w:t>
            </w:r>
          </w:p>
        </w:tc>
        <w:tc>
          <w:tcPr>
            <w:tcW w:w="5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$390,000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8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Chairman, President and Chief</w:t>
            </w:r>
          </w:p>
        </w:tc>
        <w:tc>
          <w:tcPr>
            <w:tcW w:w="1480" w:type="dxa"/>
            <w:vAlign w:val="bottom"/>
            <w:gridSpan w:val="3"/>
            <w:shd w:val="clear" w:color="auto" w:fill="CCEEFF"/>
          </w:tcPr>
          <w:p>
            <w:pPr>
              <w:jc w:val="right"/>
              <w:ind w:right="560"/>
              <w:spacing w:after="0" w:line="206" w:lineRule="exact"/>
              <w:rPr>
                <w:sz w:val="20"/>
                <w:szCs w:val="20"/>
                <w:color w:val="auto"/>
              </w:rPr>
            </w:pPr>
            <w:r>
              <w:rPr>
                <w:rFonts w:ascii="Arial" w:cs="Arial" w:eastAsia="Arial" w:hAnsi="Arial"/>
                <w:sz w:val="18"/>
                <w:szCs w:val="18"/>
                <w:color w:val="auto"/>
              </w:rPr>
              <w:t>2011</w:t>
            </w:r>
          </w:p>
        </w:tc>
        <w:tc>
          <w:tcPr>
            <w:tcW w:w="1320" w:type="dxa"/>
            <w:vAlign w:val="bottom"/>
            <w:gridSpan w:val="2"/>
            <w:shd w:val="clear" w:color="auto" w:fill="CCEEFF"/>
          </w:tcPr>
          <w:p>
            <w:pPr>
              <w:jc w:val="right"/>
              <w:ind w:right="580"/>
              <w:spacing w:after="0" w:line="206" w:lineRule="exact"/>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360"/>
              <w:spacing w:after="0" w:line="20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103,500</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403,500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Executive Officer</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80" w:type="dxa"/>
            <w:vAlign w:val="bottom"/>
            <w:gridSpan w:val="2"/>
          </w:tcPr>
          <w:p>
            <w:pPr>
              <w:spacing w:after="0" w:line="206" w:lineRule="exact"/>
              <w:rPr>
                <w:sz w:val="20"/>
                <w:szCs w:val="20"/>
                <w:color w:val="auto"/>
              </w:rPr>
            </w:pPr>
            <w:r>
              <w:rPr>
                <w:rFonts w:ascii="Arial" w:cs="Arial" w:eastAsia="Arial" w:hAnsi="Arial"/>
                <w:sz w:val="18"/>
                <w:szCs w:val="18"/>
                <w:color w:val="auto"/>
              </w:rPr>
              <w:t>Donald C. McCauley</w:t>
            </w:r>
          </w:p>
        </w:tc>
        <w:tc>
          <w:tcPr>
            <w:tcW w:w="1480" w:type="dxa"/>
            <w:vAlign w:val="bottom"/>
            <w:gridSpan w:val="3"/>
          </w:tcPr>
          <w:p>
            <w:pPr>
              <w:jc w:val="right"/>
              <w:ind w:right="560"/>
              <w:spacing w:after="0" w:line="206" w:lineRule="exact"/>
              <w:rPr>
                <w:sz w:val="20"/>
                <w:szCs w:val="20"/>
                <w:color w:val="auto"/>
              </w:rPr>
            </w:pPr>
            <w:r>
              <w:rPr>
                <w:rFonts w:ascii="Arial" w:cs="Arial" w:eastAsia="Arial" w:hAnsi="Arial"/>
                <w:sz w:val="18"/>
                <w:szCs w:val="18"/>
                <w:color w:val="auto"/>
              </w:rPr>
              <w:t>2012</w:t>
            </w:r>
          </w:p>
        </w:tc>
        <w:tc>
          <w:tcPr>
            <w:tcW w:w="1320" w:type="dxa"/>
            <w:vAlign w:val="bottom"/>
            <w:gridSpan w:val="2"/>
          </w:tcPr>
          <w:p>
            <w:pPr>
              <w:jc w:val="right"/>
              <w:ind w:right="580"/>
              <w:spacing w:after="0" w:line="206" w:lineRule="exact"/>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7"/>
                <w:szCs w:val="17"/>
                <w:color w:val="auto"/>
              </w:rPr>
            </w:pPr>
          </w:p>
        </w:tc>
        <w:tc>
          <w:tcPr>
            <w:tcW w:w="1100" w:type="dxa"/>
            <w:vAlign w:val="bottom"/>
            <w:gridSpan w:val="2"/>
          </w:tcPr>
          <w:p>
            <w:pPr>
              <w:ind w:left="360"/>
              <w:spacing w:after="0" w:line="20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67,500</w:t>
            </w:r>
          </w:p>
        </w:tc>
        <w:tc>
          <w:tcPr>
            <w:tcW w:w="58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Arial" w:cs="Arial" w:eastAsia="Arial" w:hAnsi="Arial"/>
                <w:sz w:val="18"/>
                <w:szCs w:val="18"/>
                <w:color w:val="auto"/>
              </w:rPr>
              <w:t>367,500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Chief Financial Officer</w:t>
            </w:r>
          </w:p>
        </w:tc>
        <w:tc>
          <w:tcPr>
            <w:tcW w:w="1480" w:type="dxa"/>
            <w:vAlign w:val="bottom"/>
            <w:gridSpan w:val="3"/>
          </w:tcPr>
          <w:p>
            <w:pPr>
              <w:jc w:val="right"/>
              <w:ind w:right="560"/>
              <w:spacing w:after="0" w:line="200" w:lineRule="exact"/>
              <w:rPr>
                <w:sz w:val="20"/>
                <w:szCs w:val="20"/>
                <w:color w:val="auto"/>
              </w:rPr>
            </w:pPr>
            <w:r>
              <w:rPr>
                <w:rFonts w:ascii="Arial" w:cs="Arial" w:eastAsia="Arial" w:hAnsi="Arial"/>
                <w:sz w:val="18"/>
                <w:szCs w:val="18"/>
                <w:color w:val="auto"/>
              </w:rPr>
              <w:t>2011</w:t>
            </w:r>
          </w:p>
        </w:tc>
        <w:tc>
          <w:tcPr>
            <w:tcW w:w="1320" w:type="dxa"/>
            <w:vAlign w:val="bottom"/>
            <w:gridSpan w:val="2"/>
          </w:tcPr>
          <w:p>
            <w:pPr>
              <w:jc w:val="right"/>
              <w:ind w:right="580"/>
              <w:spacing w:after="0" w:line="200" w:lineRule="exact"/>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7"/>
                <w:szCs w:val="17"/>
                <w:color w:val="auto"/>
              </w:rPr>
            </w:pPr>
          </w:p>
        </w:tc>
        <w:tc>
          <w:tcPr>
            <w:tcW w:w="1100" w:type="dxa"/>
            <w:vAlign w:val="bottom"/>
            <w:gridSpan w:val="2"/>
          </w:tcPr>
          <w:p>
            <w:pPr>
              <w:spacing w:after="0" w:line="200" w:lineRule="exact"/>
              <w:rPr>
                <w:sz w:val="20"/>
                <w:szCs w:val="20"/>
                <w:color w:val="auto"/>
              </w:rPr>
            </w:pPr>
            <w:r>
              <w:rPr>
                <w:rFonts w:ascii="Arial" w:cs="Arial" w:eastAsia="Arial" w:hAnsi="Arial"/>
                <w:sz w:val="18"/>
                <w:szCs w:val="18"/>
                <w:color w:val="auto"/>
              </w:rPr>
              <w:t>340,500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rPr>
              <w:t>77,625</w:t>
            </w:r>
          </w:p>
        </w:tc>
        <w:tc>
          <w:tcPr>
            <w:tcW w:w="58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718,125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 (3)</w:t>
            </w:r>
          </w:p>
        </w:tc>
        <w:tc>
          <w:tcPr>
            <w:tcW w:w="14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2012</w:t>
            </w:r>
          </w:p>
        </w:tc>
        <w:tc>
          <w:tcPr>
            <w:tcW w:w="13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163,782</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616,690(4)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17,617</w:t>
            </w: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798,089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8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Vice President, General Counsel and Corporate</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80" w:type="dxa"/>
            <w:vAlign w:val="bottom"/>
            <w:gridSpan w:val="2"/>
            <w:shd w:val="clear" w:color="auto" w:fill="CCEEFF"/>
          </w:tcPr>
          <w:p>
            <w:pPr>
              <w:ind w:left="440"/>
              <w:spacing w:after="0" w:line="200" w:lineRule="exact"/>
              <w:rPr>
                <w:sz w:val="20"/>
                <w:szCs w:val="20"/>
                <w:color w:val="auto"/>
              </w:rPr>
            </w:pPr>
            <w:r>
              <w:rPr>
                <w:rFonts w:ascii="Arial" w:cs="Arial" w:eastAsia="Arial" w:hAnsi="Arial"/>
                <w:sz w:val="18"/>
                <w:szCs w:val="18"/>
                <w:color w:val="auto"/>
              </w:rPr>
              <w:t>Secretary</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60" w:hanging="452"/>
        <w:spacing w:after="0" w:line="23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dollar amounts in this column represent the compensation cost for the year ended December 31, 2012 of stock option awards granted in 2012.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2012 filed with the SEC on March 5, 2013.</w:t>
      </w:r>
    </w:p>
    <w:p>
      <w:pPr>
        <w:spacing w:after="0" w:line="4" w:lineRule="exact"/>
        <w:rPr>
          <w:rFonts w:ascii="Arial" w:cs="Arial" w:eastAsia="Arial" w:hAnsi="Arial"/>
          <w:sz w:val="18"/>
          <w:szCs w:val="18"/>
          <w:color w:val="auto"/>
        </w:rPr>
      </w:pPr>
    </w:p>
    <w:p>
      <w:pPr>
        <w:ind w:left="460" w:hanging="452"/>
        <w:spacing w:after="0" w:line="23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Non-equity incentive plan payments were paid under our 2012 Corporate Bonus Plan as described in the narrative below.</w:t>
      </w:r>
    </w:p>
    <w:p>
      <w:pPr>
        <w:ind w:left="460" w:right="40" w:hanging="452"/>
        <w:spacing w:after="0" w:line="23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Posey’s employment with Qualys commenced on May 21, 2012 at an annual base salary of $250,000. Accordingly, his salary is pro-rated based upon the time employed during 2012.</w:t>
      </w:r>
    </w:p>
    <w:p>
      <w:pPr>
        <w:spacing w:after="0" w:line="1" w:lineRule="exact"/>
        <w:rPr>
          <w:rFonts w:ascii="Arial" w:cs="Arial" w:eastAsia="Arial" w:hAnsi="Arial"/>
          <w:sz w:val="18"/>
          <w:szCs w:val="18"/>
          <w:color w:val="auto"/>
        </w:rPr>
      </w:pPr>
    </w:p>
    <w:p>
      <w:pPr>
        <w:ind w:left="460" w:right="220" w:hanging="452"/>
        <w:spacing w:after="0" w:line="21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Posey’s option vests over four years with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shares subject to the option vesting on the one-year anniversary of the vesting commencement date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shares subject to the option vesting in equal monthly installments thereafter. The option is subject to an early exercise right and may be exercised in full prior to the vesting of shares underlying the option. The option may be subject to accelerated vesting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our named executive officers with an opportunity to receive quarterly formula-based incentive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Non-Equity Incentive Payments</w:t>
      </w:r>
    </w:p>
    <w:p>
      <w:pPr>
        <w:spacing w:after="0" w:line="95" w:lineRule="exact"/>
        <w:rPr>
          <w:sz w:val="20"/>
          <w:szCs w:val="20"/>
          <w:color w:val="auto"/>
        </w:rPr>
      </w:pPr>
    </w:p>
    <w:p>
      <w:pPr>
        <w:ind w:right="500" w:firstLine="456"/>
        <w:spacing w:after="0" w:line="239" w:lineRule="auto"/>
        <w:rPr>
          <w:sz w:val="20"/>
          <w:szCs w:val="20"/>
          <w:color w:val="auto"/>
        </w:rPr>
      </w:pPr>
      <w:r>
        <w:rPr>
          <w:rFonts w:ascii="Arial" w:cs="Arial" w:eastAsia="Arial" w:hAnsi="Arial"/>
          <w:sz w:val="18"/>
          <w:szCs w:val="18"/>
          <w:color w:val="auto"/>
        </w:rPr>
        <w:t>For 2012, the target incentive amounts and the aggregate annual payments (paid on a quarterly basis) earned by our named executive officers under our 2012 Corporate Bonus Plan were the following:</w:t>
      </w:r>
    </w:p>
    <w:p>
      <w:pPr>
        <w:spacing w:after="0" w:line="16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56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Target Award</w:t>
            </w:r>
          </w:p>
        </w:tc>
        <w:tc>
          <w:tcPr>
            <w:tcW w:w="138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4140" w:type="dxa"/>
            <w:vAlign w:val="bottom"/>
          </w:tcPr>
          <w:p>
            <w:pPr>
              <w:spacing w:after="0"/>
              <w:rPr>
                <w:sz w:val="13"/>
                <w:szCs w:val="13"/>
                <w:color w:val="auto"/>
              </w:rPr>
            </w:pPr>
          </w:p>
        </w:tc>
        <w:tc>
          <w:tcPr>
            <w:tcW w:w="1460" w:type="dxa"/>
            <w:vAlign w:val="bottom"/>
            <w:gridSpan w:val="2"/>
          </w:tcPr>
          <w:p>
            <w:pPr>
              <w:jc w:val="right"/>
              <w:ind w:right="660"/>
              <w:spacing w:after="0" w:line="152" w:lineRule="exact"/>
              <w:rPr>
                <w:sz w:val="20"/>
                <w:szCs w:val="20"/>
                <w:color w:val="auto"/>
              </w:rPr>
            </w:pPr>
            <w:r>
              <w:rPr>
                <w:rFonts w:ascii="Arial" w:cs="Arial" w:eastAsia="Arial" w:hAnsi="Arial"/>
                <w:sz w:val="14"/>
                <w:szCs w:val="14"/>
                <w:b w:val="1"/>
                <w:bCs w:val="1"/>
                <w:color w:val="auto"/>
                <w:w w:val="97"/>
              </w:rPr>
              <w:t>Opportunity</w:t>
            </w:r>
          </w:p>
        </w:tc>
        <w:tc>
          <w:tcPr>
            <w:tcW w:w="400" w:type="dxa"/>
            <w:vAlign w:val="bottom"/>
          </w:tcPr>
          <w:p>
            <w:pPr>
              <w:spacing w:after="0"/>
              <w:rPr>
                <w:sz w:val="13"/>
                <w:szCs w:val="13"/>
                <w:color w:val="auto"/>
              </w:rPr>
            </w:pPr>
          </w:p>
        </w:tc>
        <w:tc>
          <w:tcPr>
            <w:tcW w:w="98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1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5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120,000</w:t>
            </w:r>
          </w:p>
        </w:tc>
        <w:tc>
          <w:tcPr>
            <w:tcW w:w="6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   90,000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Donald C. McCauley</w:t>
            </w:r>
          </w:p>
        </w:tc>
        <w:tc>
          <w:tcPr>
            <w:tcW w:w="5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90,000</w:t>
            </w:r>
          </w:p>
        </w:tc>
        <w:tc>
          <w:tcPr>
            <w:tcW w:w="60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6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49,135(1)</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17,617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5560" w:right="4120" w:hanging="5552"/>
        <w:spacing w:after="0" w:line="411" w:lineRule="auto"/>
        <w:tabs>
          <w:tab w:leader="none" w:pos="4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target was pro-rated based on the time that Mr. Posey was employed by us in 2012. -21-</w:t>
      </w:r>
    </w:p>
    <w:p>
      <w:pPr>
        <w:sectPr>
          <w:pgSz w:w="11900" w:h="16838" w:orient="portrait"/>
          <w:cols w:equalWidth="0" w:num="1">
            <w:col w:w="11420"/>
          </w:cols>
          <w:pgMar w:left="240" w:top="269" w:right="239" w:bottom="1440" w:gutter="0" w:footer="0" w:header="0"/>
        </w:sectPr>
      </w:pPr>
    </w:p>
    <w:bookmarkStart w:id="23" w:name="page24"/>
    <w:bookmarkEnd w:id="23"/>
    <w:p>
      <w:pPr>
        <w:ind w:right="80" w:firstLine="456"/>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incentive payment was determined based on the growth in our bookings for the applicable quarter over the same quarter of the prior year. This bookings metric is calculated as the sum of the amounts of all new, renewal and upsell subscriptions purchased by customers and channel partners in each quarter. A named executive officer’s quarterly incentive payment is paid at 100% of target if the bookings metric for the applicable quarter equals or exceeds a certain target threshold as compared to the same quarter in the prior year. The quarterly incentive amount scales down to 25% of target if the bookings metric for the applicable quarter equals a minimum target threshold as compared to the same quarter in the prior year, and is zero if such minimum target threshold is not reached. To be eligible for a quarterly incentive payment under our 2012 Corporate Bonus Plan, an individual must be employed as of the last day of the quarter.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Philippe F. Courtot</w:t>
      </w:r>
    </w:p>
    <w:p>
      <w:pPr>
        <w:spacing w:after="0" w:line="95"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entered into an offer letter agreement on December 7, 2000 with Philippe F. Courtot, our Chairman, President and Chief Executive Officer. The offer letter agreement has no specific term and constitutes at-will employment. Mr. Courtot’s annual base salary was $300,000 in 2012 and is currently $350,000, effective January 1, 2013. He was eligible for annual incentive payments equal to 40% of his base salary pursuant to our 2012 Corporate Bonus Plan and is eligible for annual incentive payments equal to 50% of his base salary pursuant to our 2013 Corporate Bonus Plan.</w:t>
      </w:r>
    </w:p>
    <w:p>
      <w:pPr>
        <w:spacing w:after="0" w:line="157" w:lineRule="exact"/>
        <w:rPr>
          <w:sz w:val="20"/>
          <w:szCs w:val="20"/>
          <w:color w:val="auto"/>
        </w:rPr>
      </w:pPr>
    </w:p>
    <w:p>
      <w:pPr>
        <w:ind w:right="60" w:firstLine="456"/>
        <w:spacing w:after="0" w:line="229" w:lineRule="auto"/>
        <w:rPr>
          <w:sz w:val="20"/>
          <w:szCs w:val="20"/>
          <w:color w:val="auto"/>
        </w:rPr>
      </w:pPr>
      <w:r>
        <w:rPr>
          <w:rFonts w:ascii="Arial" w:cs="Arial" w:eastAsia="Arial" w:hAnsi="Arial"/>
          <w:sz w:val="18"/>
          <w:szCs w:val="18"/>
          <w:color w:val="auto"/>
        </w:rPr>
        <w:t>As of December 31, 2012, Mr. Courtot held one stock option that remained partially unvested. This option was granted on December 3, 2009 covering 1,053,235 shares with a vesting commencement date of January 25, 2011 and an exercise price per share of $3.80. This option is scheduled to vest, subject to Mr. Courtot’s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 thereunder.</w:t>
      </w:r>
    </w:p>
    <w:p>
      <w:pPr>
        <w:spacing w:after="0" w:line="154"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Mr. Courtot’s option provides that if, within 12 months following a “change of control”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100% vesting acceleration of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Courtot’s outstanding and unvested option fully accelerates, in each case, subject to Mr. Courtot’s continuous employment through the applicable transaction.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Donald C. McCauley</w:t>
      </w:r>
    </w:p>
    <w:p>
      <w:pPr>
        <w:spacing w:after="0" w:line="95" w:lineRule="exact"/>
        <w:rPr>
          <w:sz w:val="20"/>
          <w:szCs w:val="20"/>
          <w:color w:val="auto"/>
        </w:rPr>
      </w:pPr>
    </w:p>
    <w:p>
      <w:pPr>
        <w:ind w:right="100" w:firstLine="456"/>
        <w:spacing w:after="0" w:line="271" w:lineRule="auto"/>
        <w:rPr>
          <w:sz w:val="20"/>
          <w:szCs w:val="20"/>
          <w:color w:val="auto"/>
        </w:rPr>
      </w:pPr>
      <w:r>
        <w:rPr>
          <w:rFonts w:ascii="Arial" w:cs="Arial" w:eastAsia="Arial" w:hAnsi="Arial"/>
          <w:sz w:val="16"/>
          <w:szCs w:val="16"/>
          <w:color w:val="auto"/>
        </w:rPr>
        <w:t>We entered into an offer letter agreement on February 7, 2006, which we amended September 7, 2012, with Donald C. McCauley, our Chief Financial Officer. The offer letter agreement has no specific term and constitutes at-will employment. Mr. McCauley’s current annual base salary is $300,000. He was eligible for annual incentive payments equal to 30% of his base salary pursuant to our 2012 Corporate Bonus Plan and is currently eligible for annual incentive payments equal to 40% of his base salary pursuant to our 2013 Corporate Bonus Plan. Mr. McCauley’s offer letter provides that if his employment is terminated without cause, then, subject to execution of a release of claims, Mr. McCauley receives a lump sum severance payment equal to six months of his then-current base salary and six months of company paid COBRA coverage.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91" w:right="2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2012, Mr. McCauley held one stock option that remained partially unvested. This option was granted on February 3,</w:t>
      </w:r>
    </w:p>
    <w:p>
      <w:pPr>
        <w:ind w:right="80"/>
        <w:spacing w:after="0" w:line="234" w:lineRule="auto"/>
        <w:rPr>
          <w:sz w:val="20"/>
          <w:szCs w:val="20"/>
          <w:color w:val="auto"/>
        </w:rPr>
      </w:pPr>
      <w:r>
        <w:rPr>
          <w:rFonts w:ascii="Arial" w:cs="Arial" w:eastAsia="Arial" w:hAnsi="Arial"/>
          <w:sz w:val="18"/>
          <w:szCs w:val="18"/>
          <w:color w:val="auto"/>
        </w:rPr>
        <w:t>2011 covering 150,000 shares with a vesting commencement date of February 29, 2012 and an exercise price per share of $4.40. This option is scheduled to vest, subject to Mr. McCauley’s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Mr. McCauley holds a second stock option granted pursuant to our 2012 Plan and an individual stock option agreement thereunder that was granted on February 7, 2013 covering 150,000 shares with a vesting commencement date of March 1, 2014 and an exercise price per share of $12.68. This option is scheduled to vest, subject to Mr. McCauley’s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w:t>
      </w:r>
    </w:p>
    <w:p>
      <w:pPr>
        <w:spacing w:after="0" w:line="7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Mr. McCauley’s 2011 option grant provides that if he is our employee, or an employee of a parent or subsidiary of ours, on the date of the consummation of an “acquisition” (as defined in his stock option grant notice), then he receives 100% vesting acceleration of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McCauley’s outstanding and unvested options under the 2000 Plan fully accelerate, in each case, subject to Mr. McCauley’s continuous employment through the applicable transaction. Mr. McCauley’s 2013 option grant provides that upon a “change in control” (as defined in the 2012 Plan), he receives 100% vesting acceleration of such option, subject to Mr. McCauley’s continued service through such transaction.</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Bruce K. Posey</w:t>
      </w:r>
    </w:p>
    <w:p>
      <w:pPr>
        <w:spacing w:after="0" w:line="9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We entered into an offer letter agreement on May 8, 2012 with Bruce K. Posey, our Vice President, General Counsel and Corporate Secretary. The offer letter agreement has no specific term and constitutes at-will employment. Mr. Posey’s current annual base salary is $250,000. He was eligible for annual incentive payments equal to 30% of his base salary pursuant to our 2012 Corporate Bonus Plan and is currently eligible for annual incentive payments equal to 40% of his base salary pursuant to our 2013 Corporate Bonus Plan.</w:t>
      </w:r>
    </w:p>
    <w:p>
      <w:pPr>
        <w:spacing w:after="0" w:line="155" w:lineRule="exact"/>
        <w:rPr>
          <w:sz w:val="20"/>
          <w:szCs w:val="20"/>
          <w:color w:val="auto"/>
        </w:rPr>
      </w:pPr>
    </w:p>
    <w:p>
      <w:pPr>
        <w:ind w:right="80" w:firstLine="456"/>
        <w:spacing w:after="0" w:line="222" w:lineRule="auto"/>
        <w:rPr>
          <w:sz w:val="20"/>
          <w:szCs w:val="20"/>
          <w:color w:val="auto"/>
        </w:rPr>
      </w:pPr>
      <w:r>
        <w:rPr>
          <w:rFonts w:ascii="Arial" w:cs="Arial" w:eastAsia="Arial" w:hAnsi="Arial"/>
          <w:sz w:val="18"/>
          <w:szCs w:val="18"/>
          <w:color w:val="auto"/>
        </w:rPr>
        <w:t>As of December 31, 2012, Mr. Posey held one stock option grant that remained unvested. This stock option was granted on June 6, 2012 covering 148,093 shares, with a vesting commencement date of May 21, 2012 and an exercise price per share of $8.90. This option grant is scheduled to vest, subject to Mr. Posey’s continued employment, as to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on the one year anniversary of the vesting commencement date,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thereafter and is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Mr. Posey’s option grant provides that if he is our employee, or an employee of a parent or subsidiary of ours, on the date of the consummation of an “acquisition” (as defined in his stock option grant notice), then he receives 75% vesting acceleration of the then-unvested shares subject to the option. In addition, by the terms of our 2000 Plan, (i) upon a change in control transaction where the acquiring entity does not assume or substitute for our outstanding stock options, and/or (ii) upon an</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87" w:right="299" w:bottom="1440" w:gutter="0" w:footer="0" w:header="0"/>
        </w:sectPr>
      </w:pPr>
    </w:p>
    <w:bookmarkStart w:id="25" w:name="page26"/>
    <w:bookmarkEnd w:id="25"/>
    <w:p>
      <w:pPr>
        <w:ind w:right="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 by any person of securities representing at least 50% of the combined voting power entitled to vote for directors, Mr. Posey’s outstanding and unvested options fully accelerate, in each case, subject to Mr. Posey’s continuous employment through the applicable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9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other equity awards held as of December 31, 2012.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Option</w:t>
            </w: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Option</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Awards—</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Awards—</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Number of</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5"/>
              </w:rPr>
              <w:t>Awards—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70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Vesting</w:t>
            </w: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00" w:type="dxa"/>
            <w:vAlign w:val="bottom"/>
          </w:tcPr>
          <w:p>
            <w:pPr>
              <w:spacing w:after="0"/>
              <w:rPr>
                <w:sz w:val="12"/>
                <w:szCs w:val="12"/>
                <w:color w:val="auto"/>
              </w:rPr>
            </w:pPr>
          </w:p>
        </w:tc>
        <w:tc>
          <w:tcPr>
            <w:tcW w:w="17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17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7"/>
              </w:rPr>
              <w:t>Options (#)</w:t>
            </w:r>
          </w:p>
        </w:tc>
        <w:tc>
          <w:tcPr>
            <w:tcW w:w="15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Options (#)</w:t>
            </w: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7"/>
              </w:rPr>
              <w:t>Exercise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2500" w:type="dxa"/>
            <w:vAlign w:val="bottom"/>
          </w:tcPr>
          <w:p>
            <w:pPr>
              <w:spacing w:after="0"/>
              <w:rPr>
                <w:sz w:val="13"/>
                <w:szCs w:val="13"/>
                <w:color w:val="auto"/>
              </w:rPr>
            </w:pPr>
          </w:p>
        </w:tc>
        <w:tc>
          <w:tcPr>
            <w:tcW w:w="1700" w:type="dxa"/>
            <w:vAlign w:val="bottom"/>
            <w:gridSpan w:val="2"/>
          </w:tcPr>
          <w:p>
            <w:pPr>
              <w:jc w:val="right"/>
              <w:ind w:right="1020"/>
              <w:spacing w:after="0" w:line="152" w:lineRule="exact"/>
              <w:rPr>
                <w:sz w:val="20"/>
                <w:szCs w:val="20"/>
                <w:color w:val="auto"/>
              </w:rPr>
            </w:pPr>
            <w:r>
              <w:rPr>
                <w:rFonts w:ascii="Arial" w:cs="Arial" w:eastAsia="Arial" w:hAnsi="Arial"/>
                <w:sz w:val="14"/>
                <w:szCs w:val="14"/>
                <w:b w:val="1"/>
                <w:bCs w:val="1"/>
                <w:color w:val="auto"/>
              </w:rPr>
              <w:t>Date</w:t>
            </w:r>
          </w:p>
        </w:tc>
        <w:tc>
          <w:tcPr>
            <w:tcW w:w="1760" w:type="dxa"/>
            <w:vAlign w:val="bottom"/>
            <w:gridSpan w:val="2"/>
          </w:tcPr>
          <w:p>
            <w:pPr>
              <w:jc w:val="center"/>
              <w:ind w:right="800"/>
              <w:spacing w:after="0" w:line="152" w:lineRule="exact"/>
              <w:rPr>
                <w:sz w:val="20"/>
                <w:szCs w:val="20"/>
                <w:color w:val="auto"/>
              </w:rPr>
            </w:pPr>
            <w:r>
              <w:rPr>
                <w:rFonts w:ascii="Arial" w:cs="Arial" w:eastAsia="Arial" w:hAnsi="Arial"/>
                <w:sz w:val="14"/>
                <w:szCs w:val="14"/>
                <w:b w:val="1"/>
                <w:bCs w:val="1"/>
                <w:color w:val="auto"/>
                <w:w w:val="97"/>
              </w:rPr>
              <w:t>Exercisable (1)</w:t>
            </w:r>
          </w:p>
        </w:tc>
        <w:tc>
          <w:tcPr>
            <w:tcW w:w="1540" w:type="dxa"/>
            <w:vAlign w:val="bottom"/>
            <w:gridSpan w:val="2"/>
          </w:tcPr>
          <w:p>
            <w:pPr>
              <w:jc w:val="center"/>
              <w:ind w:right="640"/>
              <w:spacing w:after="0" w:line="152" w:lineRule="exact"/>
              <w:rPr>
                <w:sz w:val="20"/>
                <w:szCs w:val="20"/>
                <w:color w:val="auto"/>
              </w:rPr>
            </w:pPr>
            <w:r>
              <w:rPr>
                <w:rFonts w:ascii="Arial" w:cs="Arial" w:eastAsia="Arial" w:hAnsi="Arial"/>
                <w:sz w:val="14"/>
                <w:szCs w:val="14"/>
                <w:b w:val="1"/>
                <w:bCs w:val="1"/>
                <w:color w:val="auto"/>
                <w:w w:val="94"/>
              </w:rPr>
              <w:t>Unexercisable</w:t>
            </w:r>
          </w:p>
        </w:tc>
        <w:tc>
          <w:tcPr>
            <w:tcW w:w="1280" w:type="dxa"/>
            <w:vAlign w:val="bottom"/>
            <w:gridSpan w:val="2"/>
          </w:tcPr>
          <w:p>
            <w:pPr>
              <w:jc w:val="center"/>
              <w:ind w:right="660"/>
              <w:spacing w:after="0" w:line="152"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940" w:type="dxa"/>
            <w:vAlign w:val="bottom"/>
            <w:gridSpan w:val="2"/>
          </w:tcPr>
          <w:p>
            <w:pPr>
              <w:jc w:val="center"/>
              <w:ind w:right="120"/>
              <w:spacing w:after="0" w:line="152"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5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00" w:type="dxa"/>
            <w:vAlign w:val="bottom"/>
            <w:vMerge w:val="continue"/>
            <w:shd w:val="clear" w:color="auto" w:fill="CCEEFF"/>
          </w:tcPr>
          <w:p>
            <w:pPr>
              <w:spacing w:after="0"/>
              <w:rPr>
                <w:sz w:val="16"/>
                <w:szCs w:val="16"/>
                <w:color w:val="auto"/>
              </w:rPr>
            </w:pPr>
          </w:p>
        </w:tc>
        <w:tc>
          <w:tcPr>
            <w:tcW w:w="25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640"/>
              <w:spacing w:after="0" w:line="193" w:lineRule="exact"/>
              <w:rPr>
                <w:sz w:val="20"/>
                <w:szCs w:val="20"/>
                <w:color w:val="auto"/>
              </w:rPr>
            </w:pPr>
            <w:r>
              <w:rPr>
                <w:rFonts w:ascii="Arial" w:cs="Arial" w:eastAsia="Arial" w:hAnsi="Arial"/>
                <w:sz w:val="18"/>
                <w:szCs w:val="18"/>
                <w:color w:val="auto"/>
              </w:rPr>
              <w:t>1/25/2011</w:t>
            </w:r>
          </w:p>
        </w:tc>
        <w:tc>
          <w:tcPr>
            <w:tcW w:w="1760" w:type="dxa"/>
            <w:vAlign w:val="bottom"/>
            <w:gridSpan w:val="2"/>
            <w:shd w:val="clear" w:color="auto" w:fill="CCEEFF"/>
          </w:tcPr>
          <w:p>
            <w:pPr>
              <w:jc w:val="right"/>
              <w:ind w:right="600"/>
              <w:spacing w:after="0" w:line="193" w:lineRule="exact"/>
              <w:rPr>
                <w:sz w:val="20"/>
                <w:szCs w:val="20"/>
                <w:color w:val="auto"/>
              </w:rPr>
            </w:pPr>
            <w:r>
              <w:rPr>
                <w:rFonts w:ascii="Arial" w:cs="Arial" w:eastAsia="Arial" w:hAnsi="Arial"/>
                <w:sz w:val="18"/>
                <w:szCs w:val="18"/>
                <w:color w:val="auto"/>
              </w:rPr>
              <w:t>1,053,235(2)</w:t>
            </w:r>
          </w:p>
        </w:tc>
        <w:tc>
          <w:tcPr>
            <w:tcW w:w="1540" w:type="dxa"/>
            <w:vAlign w:val="bottom"/>
            <w:gridSpan w:val="2"/>
            <w:shd w:val="clear" w:color="auto" w:fill="CCEEFF"/>
          </w:tcPr>
          <w:p>
            <w:pPr>
              <w:ind w:left="640"/>
              <w:spacing w:after="0" w:line="19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line="193" w:lineRule="exact"/>
              <w:rPr>
                <w:sz w:val="20"/>
                <w:szCs w:val="20"/>
                <w:color w:val="auto"/>
              </w:rPr>
            </w:pPr>
            <w:r>
              <w:rPr>
                <w:rFonts w:ascii="Arial" w:cs="Arial" w:eastAsia="Arial" w:hAnsi="Arial"/>
                <w:sz w:val="18"/>
                <w:szCs w:val="18"/>
                <w:color w:val="auto"/>
              </w:rPr>
              <w:t>$  3.80</w:t>
            </w:r>
          </w:p>
        </w:tc>
        <w:tc>
          <w:tcPr>
            <w:tcW w:w="84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12/2/2019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4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1/25/2007</w:t>
            </w:r>
          </w:p>
        </w:tc>
        <w:tc>
          <w:tcPr>
            <w:tcW w:w="17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935,782</w:t>
            </w:r>
          </w:p>
        </w:tc>
        <w:tc>
          <w:tcPr>
            <w:tcW w:w="1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line="206" w:lineRule="exact"/>
              <w:rPr>
                <w:sz w:val="20"/>
                <w:szCs w:val="20"/>
                <w:color w:val="auto"/>
              </w:rPr>
            </w:pPr>
            <w:r>
              <w:rPr>
                <w:rFonts w:ascii="Arial" w:cs="Arial" w:eastAsia="Arial" w:hAnsi="Arial"/>
                <w:sz w:val="18"/>
                <w:szCs w:val="18"/>
                <w:color w:val="auto"/>
              </w:rPr>
              <w:t>Donald C. McCauley</w:t>
            </w:r>
          </w:p>
        </w:tc>
        <w:tc>
          <w:tcPr>
            <w:tcW w:w="4200" w:type="dxa"/>
            <w:vAlign w:val="bottom"/>
            <w:gridSpan w:val="3"/>
          </w:tcPr>
          <w:p>
            <w:pPr>
              <w:jc w:val="right"/>
              <w:ind w:right="640"/>
              <w:spacing w:after="0" w:line="206" w:lineRule="exact"/>
              <w:rPr>
                <w:sz w:val="20"/>
                <w:szCs w:val="20"/>
                <w:color w:val="auto"/>
              </w:rPr>
            </w:pPr>
            <w:r>
              <w:rPr>
                <w:rFonts w:ascii="Arial" w:cs="Arial" w:eastAsia="Arial" w:hAnsi="Arial"/>
                <w:sz w:val="18"/>
                <w:szCs w:val="18"/>
                <w:color w:val="auto"/>
              </w:rPr>
              <w:t>2/29/2012</w:t>
            </w:r>
          </w:p>
        </w:tc>
        <w:tc>
          <w:tcPr>
            <w:tcW w:w="1760" w:type="dxa"/>
            <w:vAlign w:val="bottom"/>
            <w:gridSpan w:val="2"/>
          </w:tcPr>
          <w:p>
            <w:pPr>
              <w:jc w:val="right"/>
              <w:ind w:right="600"/>
              <w:spacing w:after="0" w:line="206" w:lineRule="exact"/>
              <w:rPr>
                <w:sz w:val="20"/>
                <w:szCs w:val="20"/>
                <w:color w:val="auto"/>
              </w:rPr>
            </w:pPr>
            <w:r>
              <w:rPr>
                <w:rFonts w:ascii="Arial" w:cs="Arial" w:eastAsia="Arial" w:hAnsi="Arial"/>
                <w:sz w:val="18"/>
                <w:szCs w:val="18"/>
                <w:color w:val="auto"/>
              </w:rPr>
              <w:t>150,000(3)</w:t>
            </w:r>
          </w:p>
        </w:tc>
        <w:tc>
          <w:tcPr>
            <w:tcW w:w="1540" w:type="dxa"/>
            <w:vAlign w:val="bottom"/>
            <w:gridSpan w:val="2"/>
          </w:tcPr>
          <w:p>
            <w:pPr>
              <w:ind w:left="640"/>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line="206" w:lineRule="exact"/>
              <w:rPr>
                <w:sz w:val="20"/>
                <w:szCs w:val="20"/>
                <w:color w:val="auto"/>
              </w:rPr>
            </w:pPr>
            <w:r>
              <w:rPr>
                <w:rFonts w:ascii="Arial" w:cs="Arial" w:eastAsia="Arial" w:hAnsi="Arial"/>
                <w:sz w:val="18"/>
                <w:szCs w:val="18"/>
                <w:color w:val="auto"/>
              </w:rPr>
              <w:t>4.40</w:t>
            </w:r>
          </w:p>
        </w:tc>
        <w:tc>
          <w:tcPr>
            <w:tcW w:w="940" w:type="dxa"/>
            <w:vAlign w:val="bottom"/>
            <w:gridSpan w:val="2"/>
          </w:tcPr>
          <w:p>
            <w:pPr>
              <w:jc w:val="right"/>
              <w:ind w:right="100"/>
              <w:spacing w:after="0" w:line="206" w:lineRule="exact"/>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20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2/28/2010</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150,000</w:t>
            </w:r>
          </w:p>
        </w:tc>
        <w:tc>
          <w:tcPr>
            <w:tcW w:w="154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2.80</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5/7/2019</w:t>
            </w:r>
          </w:p>
        </w:tc>
        <w:tc>
          <w:tcPr>
            <w:tcW w:w="0" w:type="dxa"/>
            <w:vAlign w:val="bottom"/>
          </w:tcPr>
          <w:p>
            <w:pPr>
              <w:spacing w:after="0"/>
              <w:rPr>
                <w:sz w:val="1"/>
                <w:szCs w:val="1"/>
                <w:color w:val="auto"/>
              </w:rPr>
            </w:pPr>
          </w:p>
        </w:tc>
      </w:tr>
      <w:tr>
        <w:trPr>
          <w:trHeight w:val="213"/>
        </w:trPr>
        <w:tc>
          <w:tcPr>
            <w:tcW w:w="1700" w:type="dxa"/>
            <w:vAlign w:val="bottom"/>
          </w:tcPr>
          <w:p>
            <w:pPr>
              <w:spacing w:after="0"/>
              <w:rPr>
                <w:sz w:val="18"/>
                <w:szCs w:val="18"/>
                <w:color w:val="auto"/>
              </w:rPr>
            </w:pPr>
          </w:p>
        </w:tc>
        <w:tc>
          <w:tcPr>
            <w:tcW w:w="4200" w:type="dxa"/>
            <w:vAlign w:val="bottom"/>
            <w:gridSpan w:val="3"/>
          </w:tcPr>
          <w:p>
            <w:pPr>
              <w:jc w:val="right"/>
              <w:ind w:right="640"/>
              <w:spacing w:after="0"/>
              <w:rPr>
                <w:sz w:val="20"/>
                <w:szCs w:val="20"/>
                <w:color w:val="auto"/>
              </w:rPr>
            </w:pPr>
            <w:r>
              <w:rPr>
                <w:rFonts w:ascii="Arial" w:cs="Arial" w:eastAsia="Arial" w:hAnsi="Arial"/>
                <w:sz w:val="18"/>
                <w:szCs w:val="18"/>
                <w:color w:val="auto"/>
              </w:rPr>
              <w:t>2/28/2006</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91,838</w:t>
            </w:r>
          </w:p>
        </w:tc>
        <w:tc>
          <w:tcPr>
            <w:tcW w:w="15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1.40</w:t>
            </w:r>
          </w:p>
        </w:tc>
        <w:tc>
          <w:tcPr>
            <w:tcW w:w="840" w:type="dxa"/>
            <w:vAlign w:val="bottom"/>
          </w:tcPr>
          <w:p>
            <w:pPr>
              <w:jc w:val="right"/>
              <w:spacing w:after="0"/>
              <w:rPr>
                <w:sz w:val="20"/>
                <w:szCs w:val="20"/>
                <w:color w:val="auto"/>
              </w:rPr>
            </w:pPr>
            <w:r>
              <w:rPr>
                <w:rFonts w:ascii="Arial" w:cs="Arial" w:eastAsia="Arial" w:hAnsi="Arial"/>
                <w:sz w:val="18"/>
                <w:szCs w:val="18"/>
                <w:color w:val="auto"/>
              </w:rPr>
              <w:t>6/29/2016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20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5/21/2012</w:t>
            </w:r>
          </w:p>
        </w:tc>
        <w:tc>
          <w:tcPr>
            <w:tcW w:w="17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148,093(4)</w:t>
            </w:r>
          </w:p>
        </w:tc>
        <w:tc>
          <w:tcPr>
            <w:tcW w:w="154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8.90</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options listed are subject to an early exercise right and may be exercised in full prior to vesting of the shares underlying the option.</w:t>
      </w:r>
    </w:p>
    <w:p>
      <w:pPr>
        <w:ind w:left="460" w:right="360" w:hanging="452"/>
        <w:spacing w:after="0" w:line="21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 100% of the unvested options will accelerate if, within 12 months following a change of control, Mr. Courtot resigns from his employment for good reason or is terminated without cause.</w:t>
      </w:r>
    </w:p>
    <w:p>
      <w:pPr>
        <w:spacing w:after="0" w:line="1" w:lineRule="exact"/>
        <w:rPr>
          <w:rFonts w:ascii="Arial" w:cs="Arial" w:eastAsia="Arial" w:hAnsi="Arial"/>
          <w:sz w:val="18"/>
          <w:szCs w:val="18"/>
          <w:color w:val="auto"/>
        </w:rPr>
      </w:pPr>
    </w:p>
    <w:p>
      <w:pPr>
        <w:ind w:left="460" w:right="1020" w:hanging="452"/>
        <w:spacing w:after="0" w:line="21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 100% of the unvested shares subject to the option will accelerate upon an acquisition.</w:t>
      </w:r>
    </w:p>
    <w:p>
      <w:pPr>
        <w:ind w:left="460" w:right="100" w:hanging="452"/>
        <w:spacing w:after="0" w:line="20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on the one year anniversary of the vesting commencement date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each monthly anniversary of the vesting commencement date thereafter. 75% of the then-unvested shares subject to the option will accelerate upon an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9" w:lineRule="exact"/>
        <w:rPr>
          <w:sz w:val="20"/>
          <w:szCs w:val="20"/>
          <w:color w:val="auto"/>
        </w:rPr>
      </w:pPr>
    </w:p>
    <w:p>
      <w:pPr>
        <w:ind w:right="200" w:firstLine="456"/>
        <w:spacing w:after="0" w:line="236" w:lineRule="auto"/>
        <w:rPr>
          <w:sz w:val="20"/>
          <w:szCs w:val="20"/>
          <w:color w:val="auto"/>
        </w:rPr>
      </w:pPr>
      <w:r>
        <w:rPr>
          <w:rFonts w:ascii="Arial" w:cs="Arial" w:eastAsia="Arial" w:hAnsi="Arial"/>
          <w:sz w:val="18"/>
          <w:szCs w:val="18"/>
          <w:color w:val="auto"/>
        </w:rPr>
        <w:t>We maintain a tax-qualified retirement plan that provides eligible employees with an opportunity to save for retirement on a tax advantaged basis. All participants’ interests in their deferrals are 100% vested when contributed. In 2012, we made no matching contributions into the 401(k) plan. Pre-tax 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540" w:firstLine="456"/>
        <w:spacing w:after="0" w:line="238" w:lineRule="auto"/>
        <w:rPr>
          <w:sz w:val="20"/>
          <w:szCs w:val="20"/>
          <w:color w:val="auto"/>
        </w:rPr>
      </w:pPr>
      <w:r>
        <w:rPr>
          <w:rFonts w:ascii="Arial" w:cs="Arial" w:eastAsia="Arial" w:hAnsi="Arial"/>
          <w:sz w:val="18"/>
          <w:szCs w:val="18"/>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91" w:right="239" w:bottom="1440" w:gutter="0" w:footer="0" w:header="0"/>
        </w:sectPr>
      </w:pPr>
    </w:p>
    <w:bookmarkStart w:id="26" w:name="page27"/>
    <w:bookmarkEnd w:id="26"/>
    <w:p>
      <w:pPr>
        <w:ind w:right="1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proxy statement.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ind w:left="460"/>
        <w:spacing w:after="0"/>
        <w:rPr>
          <w:sz w:val="20"/>
          <w:szCs w:val="20"/>
          <w:color w:val="auto"/>
        </w:rPr>
      </w:pPr>
      <w:r>
        <w:rPr>
          <w:rFonts w:ascii="Arial" w:cs="Arial" w:eastAsia="Arial" w:hAnsi="Arial"/>
          <w:sz w:val="18"/>
          <w:szCs w:val="18"/>
          <w:color w:val="auto"/>
        </w:rPr>
        <w:t>Sandra E. Bergeron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91" w:right="299" w:bottom="1440" w:gutter="0" w:footer="0" w:header="0"/>
        </w:sectPr>
      </w:pPr>
    </w:p>
    <w:bookmarkStart w:id="27" w:name="page28"/>
    <w:bookmarkEnd w:id="27"/>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 2013 for:</w:t>
      </w:r>
    </w:p>
    <w:p>
      <w:pPr>
        <w:spacing w:after="0" w:line="7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Applicable percentage ownership is based on 31,649,202 shares of common stock outstanding at April 1, 2013.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 2013. However, we did not deem such shares outstanding for the purpose of computing the percentage ownership of any other person.</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1600 Bridge Parkway, Redwood City, California 94065.</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200" w:type="dxa"/>
            <w:vAlign w:val="bottom"/>
            <w:vMerge w:val="restart"/>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1580" w:type="dxa"/>
            <w:vAlign w:val="bottom"/>
            <w:gridSpan w:val="2"/>
          </w:tcPr>
          <w:p>
            <w:pPr>
              <w:jc w:val="right"/>
              <w:ind w:right="840"/>
              <w:spacing w:after="0" w:line="152"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Executive Officers and Directors:</w:t>
            </w:r>
          </w:p>
        </w:tc>
        <w:tc>
          <w:tcPr>
            <w:tcW w:w="9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Philippe F. Courtot (1)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9,454,086</w:t>
            </w:r>
          </w:p>
        </w:tc>
        <w:tc>
          <w:tcPr>
            <w:tcW w:w="6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C. McCauley (2)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551,837</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Peter Albert (3)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142,394</w:t>
            </w:r>
          </w:p>
        </w:tc>
        <w:tc>
          <w:tcPr>
            <w:tcW w:w="6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Sandra E. Bergeron (4)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112,500</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Amer S. Deeba (5)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347,658</w:t>
            </w:r>
          </w:p>
        </w:tc>
        <w:tc>
          <w:tcPr>
            <w:tcW w:w="6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R. Dixon (6)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6,288,626</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Jeffrey P. Hank (7)</w:t>
            </w:r>
          </w:p>
        </w:tc>
        <w:tc>
          <w:tcPr>
            <w:tcW w:w="15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45,000</w:t>
            </w: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Gen. Peter Pace (8)</w:t>
            </w:r>
          </w:p>
        </w:tc>
        <w:tc>
          <w:tcPr>
            <w:tcW w:w="15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67,500</w:t>
            </w: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Bruce K. Posey (9)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148,093</w:t>
            </w:r>
          </w:p>
        </w:tc>
        <w:tc>
          <w:tcPr>
            <w:tcW w:w="6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Howard A. Schmidt (10)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102,688</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Yves B. Sisteron (11)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2,509,717</w:t>
            </w:r>
          </w:p>
        </w:tc>
        <w:tc>
          <w:tcPr>
            <w:tcW w:w="64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Sumedh S. Thakar (12)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157,539</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John N. Wilson (13)</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256,091</w:t>
            </w:r>
          </w:p>
        </w:tc>
        <w:tc>
          <w:tcPr>
            <w:tcW w:w="64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All executive officers and directors as a group (13 persons) (14)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20,183,729</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Entities associated with Trident Capital, Inc. (15)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6,288,626</w:t>
            </w:r>
          </w:p>
        </w:tc>
        <w:tc>
          <w:tcPr>
            <w:tcW w:w="6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4"/>
        </w:trPr>
        <w:tc>
          <w:tcPr>
            <w:tcW w:w="6980" w:type="dxa"/>
            <w:vAlign w:val="bottom"/>
            <w:gridSpan w:val="2"/>
          </w:tcPr>
          <w:p>
            <w:pPr>
              <w:ind w:left="440"/>
              <w:spacing w:after="0"/>
              <w:rPr>
                <w:sz w:val="20"/>
                <w:szCs w:val="20"/>
                <w:color w:val="auto"/>
              </w:rPr>
            </w:pPr>
            <w:r>
              <w:rPr>
                <w:rFonts w:ascii="Arial" w:cs="Arial" w:eastAsia="Arial" w:hAnsi="Arial"/>
                <w:sz w:val="18"/>
                <w:szCs w:val="18"/>
                <w:color w:val="auto"/>
              </w:rPr>
              <w:t>Entities affiliated with GRP Partners (16)</w:t>
            </w:r>
          </w:p>
        </w:tc>
        <w:tc>
          <w:tcPr>
            <w:tcW w:w="940" w:type="dxa"/>
            <w:vAlign w:val="bottom"/>
          </w:tcPr>
          <w:p>
            <w:pPr>
              <w:jc w:val="right"/>
              <w:spacing w:after="0"/>
              <w:rPr>
                <w:sz w:val="20"/>
                <w:szCs w:val="20"/>
                <w:color w:val="auto"/>
              </w:rPr>
            </w:pPr>
            <w:r>
              <w:rPr>
                <w:rFonts w:ascii="Arial" w:cs="Arial" w:eastAsia="Arial" w:hAnsi="Arial"/>
                <w:sz w:val="18"/>
                <w:szCs w:val="18"/>
                <w:color w:val="auto"/>
              </w:rPr>
              <w:t>2,509,717</w:t>
            </w:r>
          </w:p>
        </w:tc>
        <w:tc>
          <w:tcPr>
            <w:tcW w:w="6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Certain options to purchase shares of our capital stock included in this table are early exercisable and, to the extent such share are unvested</w:t>
      </w:r>
    </w:p>
    <w:p>
      <w:pPr>
        <w:spacing w:after="0" w:line="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 given date, such shares will remain subject to a right of repurchase held by us.</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9" w:right="239" w:bottom="1440" w:gutter="0" w:footer="0" w:header="0"/>
        </w:sectPr>
      </w:pPr>
    </w:p>
    <w:bookmarkStart w:id="28" w:name="page29"/>
    <w:bookmarkEnd w:id="28"/>
    <w:p>
      <w:pPr>
        <w:ind w:left="452" w:right="1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7,365,069 shares of common stock and 1,989,017 shares of common stock subject to options exercisable within 60 days of April 1, 2013. In addition, consists of 100,000 shares of common stock held by Freya Anne Eduarte as custodian under the Uniform Gifts to Minors Act for Mr. Courtot’s minor child.</w:t>
      </w:r>
    </w:p>
    <w:p>
      <w:pPr>
        <w:spacing w:after="0" w:line="2" w:lineRule="exact"/>
        <w:rPr>
          <w:rFonts w:ascii="Arial" w:cs="Arial" w:eastAsia="Arial" w:hAnsi="Arial"/>
          <w:sz w:val="18"/>
          <w:szCs w:val="18"/>
          <w:color w:val="auto"/>
        </w:rPr>
      </w:pPr>
    </w:p>
    <w:p>
      <w:pPr>
        <w:ind w:left="452" w:right="1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159,999 shares of common stock and 391,838 shares of common stock subject to options exercisable within 60 days of April 1, 2013.</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142,394 shares of common stock subject to an option exercisable within 60 days of April 1, 2013.</w:t>
      </w:r>
    </w:p>
    <w:p>
      <w:pPr>
        <w:ind w:left="452" w:right="44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90,000 shares of common stock held in the Bergeron Family Trust DTD 11/15/2004, for which Ms. Bergeron is a trustee and 22,500 shares of common stock held by Ms. Bergeron.</w:t>
      </w:r>
    </w:p>
    <w:p>
      <w:pPr>
        <w:spacing w:after="0" w:line="1" w:lineRule="exact"/>
        <w:rPr>
          <w:rFonts w:ascii="Arial" w:cs="Arial" w:eastAsia="Arial" w:hAnsi="Arial"/>
          <w:sz w:val="18"/>
          <w:szCs w:val="18"/>
          <w:color w:val="auto"/>
        </w:rPr>
      </w:pPr>
    </w:p>
    <w:p>
      <w:pPr>
        <w:ind w:left="452" w:right="2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70,831 shares of common stock and 276,827 shares of common stock subject to options exercisable within 60 days of April 1, 2013.</w:t>
      </w:r>
    </w:p>
    <w:p>
      <w:pPr>
        <w:spacing w:after="0" w:line="1" w:lineRule="exact"/>
        <w:rPr>
          <w:rFonts w:ascii="Arial" w:cs="Arial" w:eastAsia="Arial" w:hAnsi="Arial"/>
          <w:sz w:val="18"/>
          <w:szCs w:val="18"/>
          <w:color w:val="auto"/>
        </w:rPr>
      </w:pPr>
    </w:p>
    <w:p>
      <w:pPr>
        <w:ind w:left="452" w:right="6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shares listed in footnote 15 below which are held by Trident Capital, Inc. and its associated entities. Mr. Dixon, one of our directors, shares voting and investment power with respect to the shares held by Trident Capital and its associated entities.</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45,000 shares of common stock subject to an option exercisable within 60 days of April 1, 2013.</w:t>
      </w:r>
    </w:p>
    <w:p>
      <w:pPr>
        <w:ind w:left="452" w:right="22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45,000 shares of common stock and 22,500 shares of common stock subject to an option exercisable within 60 days of April 1, 2013.</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148,093 shares of common stock subject to an option exercisable within 60 days of April 1, 2013.</w:t>
      </w:r>
    </w:p>
    <w:p>
      <w:pPr>
        <w:ind w:left="452" w:right="22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48,650 shares of common stock held jointly with Mr. Schmidt’s wife, 9,038 shares of common stock held in Mr. Schmidt’s name and 45,000 shares of common stock subject to an option exercisable within 60 days of April 1, 2013.</w:t>
      </w:r>
    </w:p>
    <w:p>
      <w:pPr>
        <w:spacing w:after="0" w:line="1" w:lineRule="exact"/>
        <w:rPr>
          <w:rFonts w:ascii="Arial" w:cs="Arial" w:eastAsia="Arial" w:hAnsi="Arial"/>
          <w:sz w:val="18"/>
          <w:szCs w:val="18"/>
          <w:color w:val="auto"/>
        </w:rPr>
      </w:pPr>
    </w:p>
    <w:p>
      <w:pPr>
        <w:ind w:left="452" w:right="2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shares listed in footnote 16 below, which are held by GRP Partners and its affiliated entities. Mr. Sisteron, one of our directors, shares voting and investment power with respect to the shares held by GRP Partners and its affiliates.</w:t>
      </w:r>
    </w:p>
    <w:p>
      <w:pPr>
        <w:spacing w:after="0" w:line="1" w:lineRule="exact"/>
        <w:rPr>
          <w:rFonts w:ascii="Arial" w:cs="Arial" w:eastAsia="Arial" w:hAnsi="Arial"/>
          <w:sz w:val="18"/>
          <w:szCs w:val="18"/>
          <w:color w:val="auto"/>
        </w:rPr>
      </w:pPr>
    </w:p>
    <w:p>
      <w:pPr>
        <w:ind w:left="452" w:right="3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9,539 shares of common stock and 148,000 shares of common stock subject to options exercisable within 60 days of April 1, 2013.</w:t>
      </w:r>
    </w:p>
    <w:p>
      <w:pPr>
        <w:spacing w:after="0" w:line="1" w:lineRule="exact"/>
        <w:rPr>
          <w:rFonts w:ascii="Arial" w:cs="Arial" w:eastAsia="Arial" w:hAnsi="Arial"/>
          <w:sz w:val="18"/>
          <w:szCs w:val="18"/>
          <w:color w:val="auto"/>
        </w:rPr>
      </w:pPr>
    </w:p>
    <w:p>
      <w:pPr>
        <w:ind w:left="452" w:right="2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55,500 shares of common stock and 200,591 shares of common stock subject to options exercisable within 60 days of April 1, 2013.</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3,409,260 shares subject to options exercisable within 60 days of April 1, 2013.</w:t>
      </w:r>
    </w:p>
    <w:p>
      <w:pPr>
        <w:ind w:left="452" w:hanging="452"/>
        <w:spacing w:after="0" w:line="266"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5,639,301 shares of common stock held of record by Trident Capital Fund-V, L.P., a Delaware limited partnership, 428,430 shares of common stock held of record by Trident Capital Parallel Fund-V, C.V., a partnership organized under the laws of the Netherlands, 156,856 shares of common stock held of record by Trident Capital Fund-V Principals Fund, L.P., a Delaware limited partnership, 32,770 shares of common stock held of record by Trident Capital Fund-V Affiliates Fund, L.P., a Delaware limited partnership, 31,269 shares of common stock held of record by Trident Capital Fund-V Affiliates Fund (Q), L.P., a Delaware limited partnership. Trident Capital Management-V, L.L.C, a Delaware limited liability company (“TCM-V”), is the sole general partner of Trident Capital Fund-V, L.P., Trident Capital Fund-V Affiliates Fund, L.P., Trident Capital Fund-V Affiliates Fund (Q), L.P. and Trident Capital Fund V Principals Fund, L.P. TCM-V is the sole investment general partner of Trident Capital Parallel Fund-V, C.V. The members of TCM-V are Donald R. Dixon, Bonnie N. Kennedy, Peter T. Meekin, John H. Moragne and Robert C. McCormack (collectively, the “Managers”), together in the case of certain such individuals with their respective family planning vehicles. The Managers of TCM-V share voting and investment power with respect to the shares held by each fund. The address of Trident Capital, Inc. is 505 Hamilton Avenue, Suite 200, Palo Alto, California 94301.</w:t>
      </w:r>
    </w:p>
    <w:p>
      <w:pPr>
        <w:spacing w:after="0" w:line="189" w:lineRule="exact"/>
        <w:rPr>
          <w:rFonts w:ascii="Arial" w:cs="Arial" w:eastAsia="Arial" w:hAnsi="Arial"/>
          <w:sz w:val="16"/>
          <w:szCs w:val="16"/>
          <w:color w:val="auto"/>
        </w:rPr>
      </w:pPr>
    </w:p>
    <w:p>
      <w:pPr>
        <w:ind w:left="452" w:right="340" w:hanging="452"/>
        <w:spacing w:after="0" w:line="237"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1,657,723 shares of common stock held of record by AOS Partners, L.P., a Delaware limited partnership, 575,929 shares of common stock held of record by GRPVC, L.P., a Delaware limited partnership, 200,776 shares of common stock held of record by GRP II Investors, L.P., a Delaware limited partnership, and 75,289 shares of common stock held of record by GRP II Partners, L.P., a Delaware limited partnership. Hique, Inc. is the sole general partner of AOS Partners, L.P. GRP</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12"/>
          </w:cols>
          <w:pgMar w:left="248" w:top="291" w:right="239" w:bottom="1440" w:gutter="0" w:footer="0" w:header="0"/>
        </w:sectPr>
      </w:pPr>
    </w:p>
    <w:bookmarkStart w:id="29" w:name="page30"/>
    <w:bookmarkEnd w:id="29"/>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Services Corp. is the sole general partner of GRPVC, L.P., GRP II Investors, L.P. and GRP II Partners, L.P. The investment committee members of Hique, Inc. are Brian McLoughlin, Mark Suster and Steven Dietz. The investment committee members of GRP Management Services Corp. are Yves B. Sisteron, Steven Dietz, Brian McLoughlin and Mark Suster. The investment committee members of Hique, Inc. and GRP Management Services Corp. share voting and investment power with respect to the shares held by each fund. The address for GRP Partners is 2121 Avenue of the Stars, Suite 1630, Los Angeles, California 90067.</w:t>
      </w:r>
    </w:p>
    <w:p>
      <w:pPr>
        <w:spacing w:after="0" w:line="14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700" w:top="291"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8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7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3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99"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We are party to an investors’ rights agreement which provides, among other things, that certain holders of our common stock have the right to demand that we file a registration statement or request that their shares be covered by a registration statement that we are otherwise filing.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Peter Albert</w:t>
      </w:r>
    </w:p>
    <w:p>
      <w:pPr>
        <w:spacing w:after="0" w:line="9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We entered into an offer letter agreement on April 14, 2011 with Peter Albert, our Vice President, Operations. The offer letter agreement has no specific term and constitutes at-will employment. Mr. Albert’s annual base salary was $200,000 in 2012 and is currently $250,000, effective January 1, 2013. He was eligible for annual incentive payments equal to 30% of his base salary pursuant to our 2012 Corporate Bonus Plan and is currently eligible for annual incentive payments equal to 40% of his base salary pursuant to our 2013 Corporate Bonus Plan.</w:t>
      </w:r>
    </w:p>
    <w:p>
      <w:pPr>
        <w:spacing w:after="0" w:line="155" w:lineRule="exact"/>
        <w:rPr>
          <w:sz w:val="20"/>
          <w:szCs w:val="20"/>
          <w:color w:val="auto"/>
        </w:rPr>
      </w:pPr>
    </w:p>
    <w:p>
      <w:pPr>
        <w:ind w:right="40" w:firstLine="456"/>
        <w:spacing w:after="0" w:line="228" w:lineRule="auto"/>
        <w:rPr>
          <w:sz w:val="20"/>
          <w:szCs w:val="20"/>
          <w:color w:val="auto"/>
        </w:rPr>
      </w:pPr>
      <w:r>
        <w:rPr>
          <w:rFonts w:ascii="Arial" w:cs="Arial" w:eastAsia="Arial" w:hAnsi="Arial"/>
          <w:sz w:val="18"/>
          <w:szCs w:val="18"/>
          <w:color w:val="auto"/>
        </w:rPr>
        <w:t>Mr. Albert holds one stock option that remains partially unvested. This option was granted on April 28, 2011 covering 142,394 shares with a vesting commencement date of April 14, 2011 and an exercise price per share of $4.80. This option is scheduled to vest, subject to Mr. Albert’s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 thereunder.</w:t>
      </w:r>
    </w:p>
    <w:p>
      <w:pPr>
        <w:spacing w:after="0" w:line="154"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Mr. Albert’s option grant provides that if, within 12 months following the consummation of an “acquisition”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50% vesting acceleration of the then unvested shares subject to the option. In addition (i) upon a change in control transaction where the acquiring entity does not assume or substitute for stock options, and (ii) upon an acquisition by any person of securities representing at least 50% of the combined voting power entitled to vote for directors, Mr. Albert’s outstanding and unvested options fully accelerate, in each case, subject to Mr. Albert’s continuous employment through the applicable transaction.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 S. Deeba</w:t>
      </w:r>
    </w:p>
    <w:p>
      <w:pPr>
        <w:spacing w:after="0" w:line="95" w:lineRule="exact"/>
        <w:rPr>
          <w:sz w:val="20"/>
          <w:szCs w:val="20"/>
          <w:color w:val="auto"/>
        </w:rPr>
      </w:pPr>
    </w:p>
    <w:p>
      <w:pPr>
        <w:jc w:val="both"/>
        <w:ind w:firstLine="456"/>
        <w:spacing w:after="0" w:line="275" w:lineRule="auto"/>
        <w:rPr>
          <w:sz w:val="20"/>
          <w:szCs w:val="20"/>
          <w:color w:val="auto"/>
        </w:rPr>
      </w:pPr>
      <w:r>
        <w:rPr>
          <w:rFonts w:ascii="Arial" w:cs="Arial" w:eastAsia="Arial" w:hAnsi="Arial"/>
          <w:sz w:val="16"/>
          <w:szCs w:val="16"/>
          <w:color w:val="auto"/>
        </w:rPr>
        <w:t>We entered into an offer letter agreement on September 4, 2001 with Amer S. Deeba, our Chief Marketing Officer. The offer letter agreement has no specific term and constitutes at-will employment. Mr. Deeba’s annual base salary was $200,000 in 2012 and is currently $250,000, effective January 1, 2013. He was eligible for annual incentive payments equal to 30% of his base salary pursuant to our 2012 Corporate Bonus Plan and is currently eligible for annual incentive payments equal to 40% of his base salary pursuant to our 2013 Corporate Bonus Plan.</w:t>
      </w:r>
    </w:p>
    <w:p>
      <w:pPr>
        <w:spacing w:after="0" w:line="1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6"/>
          <w:szCs w:val="16"/>
          <w:color w:val="auto"/>
        </w:rPr>
        <w:t>Mr. Deeba holds one stock option that remains partially unvested. This stock option was granted on April 30, 2012 covering 40,000 shares, with a vesting commencement date of April 30, 2012 and an exercise price per share of $8.40. This option is scheduled to vest, subject to</w:t>
      </w:r>
    </w:p>
    <w:p>
      <w:pPr>
        <w:ind w:right="160"/>
        <w:spacing w:after="0" w:line="224" w:lineRule="auto"/>
        <w:rPr>
          <w:sz w:val="20"/>
          <w:szCs w:val="20"/>
          <w:color w:val="auto"/>
        </w:rPr>
      </w:pPr>
      <w:r>
        <w:rPr>
          <w:rFonts w:ascii="Arial" w:cs="Arial" w:eastAsia="Arial" w:hAnsi="Arial"/>
          <w:sz w:val="18"/>
          <w:szCs w:val="18"/>
          <w:color w:val="auto"/>
        </w:rPr>
        <w:t>Mr. Deeba’s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monthly anniversary of the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Sumedh S. Thakar</w:t>
      </w:r>
    </w:p>
    <w:p>
      <w:pPr>
        <w:spacing w:after="0" w:line="95" w:lineRule="exact"/>
        <w:rPr>
          <w:sz w:val="20"/>
          <w:szCs w:val="20"/>
          <w:color w:val="auto"/>
        </w:rPr>
      </w:pPr>
    </w:p>
    <w:p>
      <w:pPr>
        <w:ind w:right="420" w:firstLine="456"/>
        <w:spacing w:after="0" w:line="236" w:lineRule="auto"/>
        <w:rPr>
          <w:sz w:val="20"/>
          <w:szCs w:val="20"/>
          <w:color w:val="auto"/>
        </w:rPr>
      </w:pPr>
      <w:r>
        <w:rPr>
          <w:rFonts w:ascii="Arial" w:cs="Arial" w:eastAsia="Arial" w:hAnsi="Arial"/>
          <w:sz w:val="18"/>
          <w:szCs w:val="18"/>
          <w:color w:val="auto"/>
        </w:rPr>
        <w:t>We entered into an offer letter agreement on January 20, 2003 with Sumedh S. Thakar, our Vice President, Engineering. The offer letter agreement has no specific term and constitutes at-will employment. Mr. Thakar’s annual base salary was $200,000 in 2012 and is currently $250,000, effective January 1, 2013. He was eligible for annual incentive payments equal to 30% of his base salary pursuant to our 2012 Corporate Bonus Plan and is currently eligible for annual incentive payments equal to 40% of his base salary pursuant to our 2013 Corporate Bonus Plan.</w:t>
      </w:r>
    </w:p>
    <w:p>
      <w:pPr>
        <w:spacing w:after="0" w:line="157" w:lineRule="exact"/>
        <w:rPr>
          <w:sz w:val="20"/>
          <w:szCs w:val="20"/>
          <w:color w:val="auto"/>
        </w:rPr>
      </w:pPr>
    </w:p>
    <w:p>
      <w:pPr>
        <w:ind w:firstLine="456"/>
        <w:spacing w:after="0" w:line="227" w:lineRule="auto"/>
        <w:rPr>
          <w:sz w:val="20"/>
          <w:szCs w:val="20"/>
          <w:color w:val="auto"/>
        </w:rPr>
      </w:pPr>
      <w:r>
        <w:rPr>
          <w:rFonts w:ascii="Arial" w:cs="Arial" w:eastAsia="Arial" w:hAnsi="Arial"/>
          <w:sz w:val="18"/>
          <w:szCs w:val="18"/>
          <w:color w:val="auto"/>
        </w:rPr>
        <w:t>Mr. Thakar holds four stock options granted pursuant to our 2000 Plan and individual stock option agreements that remain partially unvested. These stock options were granted on May 7, 2010 covering 5,000 shares with a vesting commencement date of December 16, 2009 and an exercise price per share of $4.10, on February 3, 2011 covering 50,000 shares with a vesting commencement date of December 1, 2010 and an exercise price per share of $4.40, on November 4, 2011 covering 20,000 shares with a vesting commencement date of November 4, 2011 and an exercise price per share of $5.90 and on April 30, 2012 covering 50,000 shares with a vesting commencement date of April 30, 2012 and an exercise price per share of $8.40. These options are scheduled to vest, subject to Mr. Thakar’s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Mr. Thakar holds one stock option granted pursuant to our 2012 Plan and an individual stock option agreement that remains partially unvested. This stock option was granted on February 7, 2013 covering 75,000 shares with a vesting commencement date of February 7, 2013 and an exercise price per share of $12.68. These options are scheduled to vest, subject to Mr. Thakar’s continued employment,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John N. Wilson</w:t>
      </w:r>
    </w:p>
    <w:p>
      <w:pPr>
        <w:spacing w:after="0" w:line="95" w:lineRule="exact"/>
        <w:rPr>
          <w:sz w:val="20"/>
          <w:szCs w:val="20"/>
          <w:color w:val="auto"/>
        </w:rPr>
      </w:pPr>
    </w:p>
    <w:p>
      <w:pPr>
        <w:ind w:right="740" w:firstLine="456"/>
        <w:spacing w:after="0" w:line="238" w:lineRule="auto"/>
        <w:rPr>
          <w:sz w:val="20"/>
          <w:szCs w:val="20"/>
          <w:color w:val="auto"/>
        </w:rPr>
      </w:pPr>
      <w:r>
        <w:rPr>
          <w:rFonts w:ascii="Arial" w:cs="Arial" w:eastAsia="Arial" w:hAnsi="Arial"/>
          <w:sz w:val="18"/>
          <w:szCs w:val="18"/>
          <w:color w:val="auto"/>
        </w:rPr>
        <w:t>We entered into an offer letter agreement on August 25, 2010 with John N. Wilson, our Executive Vice President, Worldwide Field Operations. The offer letter agreement has no specific term and constitutes at-will employment. Mr. Wilson’s current annual base salary is $200,000 and he is eligible for quarterly payments of $43,750 in sales commissions.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3" w:right="259" w:bottom="1440" w:gutter="0" w:footer="0" w:header="0"/>
        </w:sectPr>
      </w:pPr>
    </w:p>
    <w:bookmarkStart w:id="32" w:name="page33"/>
    <w:bookmarkEnd w:id="32"/>
    <w:p>
      <w:pPr>
        <w:ind w:right="40" w:firstLine="456"/>
        <w:spacing w:after="0" w:line="22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Wilson holds two stock options that remain partially unvested. These stock options were granted on November 5, 2010 covering 180,591 shares with a vesting commencement date of October 29, 2010 and an exercise price per share of $4.10 and on November 4, 2011 covering 20,000 shares with a vesting commencement date of November 4, 2011 and an exercise price per share of $5.90. These options are scheduled to vest, subject to Mr. Wilson’s continued employment,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for the November 5, 2010 grant and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for the November 4, 2011 grant of the total shares on each monthly anniversary of the respective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These options were granted pursuant to our 2000 Plan and individual stock option agreements.</w:t>
      </w:r>
    </w:p>
    <w:p>
      <w:pPr>
        <w:spacing w:after="0" w:line="15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We have also entered into indemnification agreements with certain directors and officers. The indemnification agreements and our amended and restated certificate of incorporation and amended and restated bylaws require us to indemnify our directors and officers to the fullest extent permitted by Delaware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99"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Frederic Courtot and Nicolas Courtot, two of our employees, are the sons of Philippe F. Courtot, our Chairman, President and Chief Executive Officer. Frederic Courtot is employed by us as a Director, Strategic Alliances. In 2012, Frederic Courtot earned a total of $172,613, consisting of base salary and bonus compensation. Nicolas Courtot is employed by us as a Creative Director. In 2012, Nicolas Courtot earned total compensation of $172,500, consisting of base salary and bonus compensation. In addition, each of Frederic Courtot and Nicolas Courtot participate in our employee benefit plans and arrangements which are generally made available to other employees at their level, including employee stock option, health, vacation, Section 401(k) retirement savings plans and insurance plans. The compensation of each of Frederic Courtot and Nicolas Courtot was established in accordance with our employment and compensation practices applicable to employees with equivalent qualifications, experience and responsibilities. In addition, a member of Philippe F. Courtot’s household is employed by us as a New Media Designer and, in 2012, such member of Mr. Courtot’s household received less than $120,000 in total compensation.</w:t>
      </w:r>
    </w:p>
    <w:p>
      <w:pPr>
        <w:spacing w:after="0" w:line="161"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certain limited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91"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54"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2012, all Section 16(a) filing requirements were satisfied on a timely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Annual Report and SEC Filings</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financial statements for the year ended December 31, 2012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1600 Bridge Parkway, Redwood City, California 94065.</w:t>
      </w:r>
    </w:p>
    <w:p>
      <w:pPr>
        <w:spacing w:after="0" w:line="155" w:lineRule="exact"/>
        <w:rPr>
          <w:sz w:val="20"/>
          <w:szCs w:val="20"/>
          <w:color w:val="auto"/>
        </w:rPr>
      </w:pPr>
    </w:p>
    <w:p>
      <w:pPr>
        <w:ind w:left="522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54"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Redwood City, California</w:t>
      </w:r>
    </w:p>
    <w:p>
      <w:pPr>
        <w:ind w:left="6060"/>
        <w:spacing w:after="0"/>
        <w:rPr>
          <w:sz w:val="20"/>
          <w:szCs w:val="20"/>
          <w:color w:val="auto"/>
        </w:rPr>
      </w:pPr>
      <w:r>
        <w:rPr>
          <w:rFonts w:ascii="Arial" w:cs="Arial" w:eastAsia="Arial" w:hAnsi="Arial"/>
          <w:sz w:val="18"/>
          <w:szCs w:val="18"/>
          <w:color w:val="auto"/>
        </w:rPr>
        <w:t>April 19, 2013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9" w:right="2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60" w:type="dxa"/>
            <w:vAlign w:val="bottom"/>
            <w:gridSpan w:val="2"/>
          </w:tcPr>
          <w:p>
            <w:pPr>
              <w:spacing w:after="0"/>
              <w:rPr>
                <w:sz w:val="20"/>
                <w:szCs w:val="20"/>
                <w:color w:val="auto"/>
              </w:rPr>
            </w:pPr>
            <w:r>
              <w:rPr>
                <w:rFonts w:ascii="Arial" w:cs="Arial" w:eastAsia="Arial" w:hAnsi="Arial"/>
                <w:sz w:val="14"/>
                <w:szCs w:val="14"/>
                <w:color w:val="FFFFFF"/>
              </w:rPr>
              <w:t>QUALYS, INC.</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1600 BRIDGE PARKWAY</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REDWOOD CITY, CA 94065</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INTERNET - www.proxyvote.com</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Use the Internet to transmit your voting instructions and for electronic delivery of information up until 11:59 P.M. Eastern Time the day before the cut-off date or meeting date. Have your proxy card in hand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ELECTRONIC DELIVERY OF FUTURE PROXY MATERIALS</w:t>
            </w:r>
          </w:p>
        </w:tc>
      </w:tr>
      <w:tr>
        <w:trPr>
          <w:trHeight w:val="41"/>
        </w:trPr>
        <w:tc>
          <w:tcPr>
            <w:tcW w:w="720" w:type="dxa"/>
            <w:vAlign w:val="bottom"/>
          </w:tcPr>
          <w:p>
            <w:pPr>
              <w:ind w:left="60"/>
              <w:spacing w:after="0"/>
              <w:rPr>
                <w:sz w:val="20"/>
                <w:szCs w:val="20"/>
                <w:color w:val="auto"/>
              </w:rPr>
            </w:pPr>
            <w:r>
              <w:rPr>
                <w:rFonts w:ascii="Arial" w:cs="Arial" w:eastAsia="Arial" w:hAnsi="Arial"/>
                <w:sz w:val="3"/>
                <w:szCs w:val="3"/>
                <w:color w:val="FFFFFF"/>
              </w:rPr>
              <w:t>f you</w:t>
            </w:r>
          </w:p>
        </w:tc>
        <w:tc>
          <w:tcPr>
            <w:tcW w:w="10640" w:type="dxa"/>
            <w:vAlign w:val="bottom"/>
          </w:tcPr>
          <w:p>
            <w:pPr>
              <w:ind w:left="20"/>
              <w:spacing w:after="0"/>
              <w:rPr>
                <w:sz w:val="20"/>
                <w:szCs w:val="20"/>
                <w:color w:val="auto"/>
              </w:rPr>
            </w:pPr>
            <w:r>
              <w:rPr>
                <w:rFonts w:ascii="Arial" w:cs="Arial" w:eastAsia="Arial" w:hAnsi="Arial"/>
                <w:sz w:val="3"/>
                <w:szCs w:val="3"/>
                <w:color w:val="FFFFFF"/>
              </w:rPr>
              <w:t>like to reduce the costs incurred by our company   maili g pr xy materials, you can consent to receiving all future proxy statements, proxy cards and annual reports el ctronically via  -mail or the</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Internetwould.Tsign up for electronic delivery, please follow the instructions above to vote using the Internet and, when prompted, indicate that you agree to receive or access proxy materials electronically in future</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years.</w:t>
            </w:r>
          </w:p>
        </w:tc>
        <w:tc>
          <w:tcPr>
            <w:tcW w:w="10640" w:type="dxa"/>
            <w:vAlign w:val="bottom"/>
          </w:tcPr>
          <w:p>
            <w:pPr>
              <w:spacing w:after="0"/>
              <w:rPr>
                <w:sz w:val="3"/>
                <w:szCs w:val="3"/>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PHONE - 1-800-690-6903</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Use any touch-tone telephone to transmit your voting instructions up until 11:59 P.M. Eastern Time the day before the cut-off date or meeting date. Have your proxy card in hand when you call and then follow</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instructions.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VOTE BY MAIL</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Mark, sign and date your proxy card and return it in the postage-paid envelope we have provided or return it to Vote Processing, c/o Broadridge, 51 Mercedes Way, Edgewood, NY 11717.</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TO VOTE, MARK BLOCKS BELOW IN BLUE OR BLACK INK AS FOLLOWS: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M58534-P33208</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KEEP THIS PORTION FOR YOUR RECORDS</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THIS PROXY CARD IS VALID ONLY WHEN SIGNED AND DATED.</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DETACH AND RETURN THIS PORTION ONLY</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QUALYS, INC.</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For All</w:t>
            </w:r>
          </w:p>
        </w:tc>
        <w:tc>
          <w:tcPr>
            <w:tcW w:w="10640" w:type="dxa"/>
            <w:vAlign w:val="bottom"/>
          </w:tcPr>
          <w:p>
            <w:pPr>
              <w:spacing w:after="0"/>
              <w:rPr>
                <w:sz w:val="3"/>
                <w:szCs w:val="3"/>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Withhold All</w:t>
            </w:r>
          </w:p>
        </w:tc>
        <w:tc>
          <w:tcPr>
            <w:tcW w:w="10640" w:type="dxa"/>
            <w:vAlign w:val="bottom"/>
          </w:tcPr>
          <w:p>
            <w:pPr>
              <w:spacing w:after="0"/>
              <w:rPr>
                <w:sz w:val="3"/>
                <w:szCs w:val="3"/>
                <w:color w:val="auto"/>
              </w:rPr>
            </w:pPr>
          </w:p>
        </w:tc>
      </w:tr>
      <w:tr>
        <w:trPr>
          <w:trHeight w:val="41"/>
        </w:trPr>
        <w:tc>
          <w:tcPr>
            <w:tcW w:w="11360" w:type="dxa"/>
            <w:vAlign w:val="bottom"/>
            <w:gridSpan w:val="2"/>
          </w:tcPr>
          <w:p>
            <w:pPr>
              <w:ind w:left="220"/>
              <w:spacing w:after="0"/>
              <w:rPr>
                <w:sz w:val="20"/>
                <w:szCs w:val="20"/>
                <w:color w:val="auto"/>
              </w:rPr>
            </w:pPr>
            <w:r>
              <w:rPr>
                <w:rFonts w:ascii="Arial" w:cs="Arial" w:eastAsia="Arial" w:hAnsi="Arial"/>
                <w:sz w:val="3"/>
                <w:szCs w:val="3"/>
                <w:color w:val="FFFFFF"/>
              </w:rPr>
              <w:t>All Except</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Forwithhold authority to vote for any individual nominee(s), mark “For All Except” and write the number(s) of the nominee(s) on the line below.</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Board of Directors recommends you vote FOR the following:</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1. Election of Directors</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Nominees:</w:t>
            </w:r>
          </w:p>
        </w:tc>
        <w:tc>
          <w:tcPr>
            <w:tcW w:w="10640" w:type="dxa"/>
            <w:vAlign w:val="bottom"/>
          </w:tcPr>
          <w:p>
            <w:pPr>
              <w:spacing w:after="0"/>
              <w:rPr>
                <w:sz w:val="3"/>
                <w:szCs w:val="3"/>
                <w:color w:val="auto"/>
              </w:rPr>
            </w:pPr>
          </w:p>
        </w:tc>
      </w:tr>
      <w:tr>
        <w:trPr>
          <w:trHeight w:val="41"/>
        </w:trPr>
        <w:tc>
          <w:tcPr>
            <w:tcW w:w="11360" w:type="dxa"/>
            <w:vAlign w:val="bottom"/>
            <w:gridSpan w:val="2"/>
          </w:tcPr>
          <w:p>
            <w:pPr>
              <w:ind w:left="80"/>
              <w:spacing w:after="0"/>
              <w:rPr>
                <w:sz w:val="20"/>
                <w:szCs w:val="20"/>
                <w:color w:val="auto"/>
              </w:rPr>
            </w:pPr>
            <w:r>
              <w:rPr>
                <w:rFonts w:ascii="Arial" w:cs="Arial" w:eastAsia="Arial" w:hAnsi="Arial"/>
                <w:sz w:val="3"/>
                <w:szCs w:val="3"/>
                <w:color w:val="FFFFFF"/>
              </w:rPr>
              <w:t>1) Sandra E. Bergeron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02) Yves B. Sisteron</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The Board of Directors recommends you vote FOR the following proposal:</w:t>
            </w: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For</w:t>
            </w:r>
          </w:p>
        </w:tc>
        <w:tc>
          <w:tcPr>
            <w:tcW w:w="10640" w:type="dxa"/>
            <w:vAlign w:val="bottom"/>
          </w:tcPr>
          <w:p>
            <w:pPr>
              <w:spacing w:after="0"/>
              <w:rPr>
                <w:sz w:val="3"/>
                <w:szCs w:val="3"/>
                <w:color w:val="auto"/>
              </w:rPr>
            </w:pPr>
          </w:p>
        </w:tc>
      </w:tr>
      <w:tr>
        <w:trPr>
          <w:trHeight w:val="41"/>
        </w:trPr>
        <w:tc>
          <w:tcPr>
            <w:tcW w:w="720" w:type="dxa"/>
            <w:vAlign w:val="bottom"/>
          </w:tcPr>
          <w:p>
            <w:pPr>
              <w:ind w:left="100"/>
              <w:spacing w:after="0"/>
              <w:rPr>
                <w:sz w:val="20"/>
                <w:szCs w:val="20"/>
                <w:color w:val="auto"/>
              </w:rPr>
            </w:pPr>
            <w:r>
              <w:rPr>
                <w:rFonts w:ascii="Arial" w:cs="Arial" w:eastAsia="Arial" w:hAnsi="Arial"/>
                <w:sz w:val="3"/>
                <w:szCs w:val="3"/>
                <w:color w:val="FFFFFF"/>
              </w:rPr>
              <w:t>gainst</w:t>
            </w:r>
          </w:p>
        </w:tc>
        <w:tc>
          <w:tcPr>
            <w:tcW w:w="10640" w:type="dxa"/>
            <w:vAlign w:val="bottom"/>
          </w:tcPr>
          <w:p>
            <w:pPr>
              <w:spacing w:after="0"/>
              <w:rPr>
                <w:sz w:val="3"/>
                <w:szCs w:val="3"/>
                <w:color w:val="auto"/>
              </w:rPr>
            </w:pPr>
          </w:p>
        </w:tc>
      </w:tr>
      <w:tr>
        <w:trPr>
          <w:trHeight w:val="41"/>
        </w:trPr>
        <w:tc>
          <w:tcPr>
            <w:tcW w:w="720" w:type="dxa"/>
            <w:vAlign w:val="bottom"/>
          </w:tcPr>
          <w:p>
            <w:pPr>
              <w:spacing w:after="0"/>
              <w:rPr>
                <w:sz w:val="20"/>
                <w:szCs w:val="20"/>
                <w:color w:val="auto"/>
              </w:rPr>
            </w:pPr>
            <w:r>
              <w:rPr>
                <w:rFonts w:ascii="Arial" w:cs="Arial" w:eastAsia="Arial" w:hAnsi="Arial"/>
                <w:sz w:val="3"/>
                <w:szCs w:val="3"/>
                <w:color w:val="FFFFFF"/>
              </w:rPr>
              <w:t>Abstain</w:t>
            </w:r>
          </w:p>
        </w:tc>
        <w:tc>
          <w:tcPr>
            <w:tcW w:w="10640" w:type="dxa"/>
            <w:vAlign w:val="bottom"/>
          </w:tcPr>
          <w:p>
            <w:pPr>
              <w:spacing w:after="0"/>
              <w:rPr>
                <w:sz w:val="3"/>
                <w:szCs w:val="3"/>
                <w:color w:val="auto"/>
              </w:rPr>
            </w:pP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2.  o ratify the appointment of Grant Thornton LLP as Qualys, Inc.’s independent registered public accounting firm for its fiscal year ending December 31, 2013.</w:t>
            </w:r>
          </w:p>
        </w:tc>
      </w:tr>
      <w:tr>
        <w:trPr>
          <w:trHeight w:val="41"/>
        </w:trPr>
        <w:tc>
          <w:tcPr>
            <w:tcW w:w="11360" w:type="dxa"/>
            <w:vAlign w:val="bottom"/>
            <w:gridSpan w:val="2"/>
          </w:tcPr>
          <w:p>
            <w:pPr>
              <w:spacing w:after="0"/>
              <w:rPr>
                <w:sz w:val="20"/>
                <w:szCs w:val="20"/>
                <w:color w:val="auto"/>
              </w:rPr>
            </w:pPr>
            <w:r>
              <w:rPr>
                <w:rFonts w:ascii="Arial" w:cs="Arial" w:eastAsia="Arial" w:hAnsi="Arial"/>
                <w:sz w:val="3"/>
                <w:szCs w:val="3"/>
                <w:color w:val="FFFFFF"/>
              </w:rPr>
              <w:t>NOTE: Such other business as may properly come before the meeting or any adjournment thereof.</w:t>
            </w:r>
          </w:p>
        </w:tc>
      </w:tr>
      <w:tr>
        <w:trPr>
          <w:trHeight w:val="0"/>
        </w:trPr>
        <w:tc>
          <w:tcPr>
            <w:tcW w:w="720" w:type="dxa"/>
            <w:vAlign w:val="bottom"/>
          </w:tcPr>
          <w:p>
            <w:pPr>
              <w:spacing w:after="0" w:line="80" w:lineRule="exact"/>
              <w:rPr>
                <w:sz w:val="20"/>
                <w:szCs w:val="20"/>
                <w:color w:val="auto"/>
              </w:rPr>
            </w:pPr>
            <w:r>
              <w:rPr>
                <w:rFonts w:ascii="Arial" w:cs="Arial" w:eastAsia="Arial" w:hAnsi="Arial"/>
                <w:sz w:val="9"/>
                <w:szCs w:val="9"/>
                <w:color w:val="FFFFFF"/>
              </w:rPr>
              <w:t>Please sign</w:t>
            </w:r>
          </w:p>
        </w:tc>
        <w:tc>
          <w:tcPr>
            <w:tcW w:w="10640" w:type="dxa"/>
            <w:vAlign w:val="bottom"/>
          </w:tcPr>
          <w:p>
            <w:pPr>
              <w:ind w:left="340"/>
              <w:spacing w:after="0" w:line="80" w:lineRule="exact"/>
              <w:rPr>
                <w:sz w:val="20"/>
                <w:szCs w:val="20"/>
                <w:color w:val="auto"/>
              </w:rPr>
            </w:pPr>
            <w:r>
              <w:rPr>
                <w:rFonts w:ascii="Arial" w:cs="Arial" w:eastAsia="Arial" w:hAnsi="Arial"/>
                <w:sz w:val="9"/>
                <w:szCs w:val="9"/>
                <w:color w:val="FFFFFF"/>
              </w:rPr>
              <w:t>as your name(s) appear(s) h reon. When signing as attorney, executor, administrator, or other fiduciary, please give full title as such. Joint owners should each sign personally. All holders</w:t>
            </w:r>
          </w:p>
        </w:tc>
      </w:tr>
    </w:tbl>
    <w:p>
      <w:pPr>
        <w:ind w:left="640"/>
        <w:spacing w:after="0"/>
        <w:tabs>
          <w:tab w:leader="none" w:pos="2280" w:val="left"/>
        </w:tabs>
        <w:rPr>
          <w:sz w:val="20"/>
          <w:szCs w:val="20"/>
          <w:color w:val="auto"/>
        </w:rPr>
      </w:pPr>
      <w:r>
        <w:rPr>
          <w:rFonts w:ascii="Arial" w:cs="Arial" w:eastAsia="Arial" w:hAnsi="Arial"/>
          <w:sz w:val="3"/>
          <w:szCs w:val="3"/>
          <w:color w:val="FFFFFF"/>
        </w:rPr>
        <w:t>exactly</w:t>
      </w:r>
      <w:r>
        <w:rPr>
          <w:sz w:val="20"/>
          <w:szCs w:val="20"/>
          <w:color w:val="auto"/>
        </w:rPr>
        <w:tab/>
      </w:r>
      <w:r>
        <w:rPr>
          <w:rFonts w:ascii="Arial" w:cs="Arial" w:eastAsia="Arial" w:hAnsi="Arial"/>
          <w:sz w:val="3"/>
          <w:szCs w:val="3"/>
          <w:color w:val="FFFFFF"/>
        </w:rPr>
        <w:t>please</w:t>
      </w:r>
    </w:p>
    <w:p>
      <w:pPr>
        <w:ind w:left="2380"/>
        <w:spacing w:after="0" w:line="186" w:lineRule="auto"/>
        <w:rPr>
          <w:sz w:val="20"/>
          <w:szCs w:val="20"/>
          <w:color w:val="auto"/>
        </w:rPr>
      </w:pPr>
      <w:r>
        <w:rPr>
          <w:rFonts w:ascii="Arial" w:cs="Arial" w:eastAsia="Arial" w:hAnsi="Arial"/>
          <w:sz w:val="4"/>
          <w:szCs w:val="4"/>
          <w:color w:val="FFFFFF"/>
          <w:vertAlign w:val="superscript"/>
        </w:rPr>
        <w:t>Date</w:t>
      </w:r>
    </w:p>
    <w:p>
      <w:pPr>
        <w:spacing w:after="0"/>
        <w:tabs>
          <w:tab w:leader="none" w:pos="2640" w:val="left"/>
        </w:tabs>
        <w:rPr>
          <w:sz w:val="20"/>
          <w:szCs w:val="20"/>
          <w:color w:val="auto"/>
        </w:rPr>
      </w:pPr>
      <w:r>
        <w:rPr>
          <w:rFonts w:ascii="Arial" w:cs="Arial" w:eastAsia="Arial" w:hAnsi="Arial"/>
          <w:sz w:val="27"/>
          <w:szCs w:val="27"/>
          <w:color w:val="FFFFFF"/>
          <w:vertAlign w:val="subscript"/>
        </w:rPr>
        <w:t>Signature</w:t>
      </w:r>
      <w:r>
        <w:rPr>
          <w:rFonts w:ascii="Arial" w:cs="Arial" w:eastAsia="Arial" w:hAnsi="Arial"/>
          <w:sz w:val="14"/>
          <w:szCs w:val="14"/>
          <w:color w:val="FFFFFF"/>
        </w:rPr>
        <w:t>mustsign.[PLEASEIfcorporationSIGN orWITHINpartnership,BOX]</w:t>
      </w:r>
      <w:r>
        <w:rPr>
          <w:sz w:val="20"/>
          <w:szCs w:val="20"/>
          <w:color w:val="auto"/>
        </w:rPr>
        <w:tab/>
      </w:r>
      <w:r>
        <w:rPr>
          <w:rFonts w:ascii="Arial" w:cs="Arial" w:eastAsia="Arial" w:hAnsi="Arial"/>
          <w:sz w:val="12"/>
          <w:szCs w:val="12"/>
          <w:color w:val="FFFFFF"/>
        </w:rPr>
        <w:t>sign in full corporate or partnership name by authorized officer.</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4"/>
          <w:szCs w:val="14"/>
          <w:color w:val="FFFFFF"/>
        </w:rPr>
        <w:t>(Joint Owners) Date</w:t>
      </w:r>
    </w:p>
    <w:p>
      <w:pPr>
        <w:sectPr>
          <w:pgSz w:w="11900" w:h="16838" w:orient="portrait"/>
          <w:cols w:equalWidth="0" w:num="1">
            <w:col w:w="11360"/>
          </w:cols>
          <w:pgMar w:left="240" w:top="1440" w:right="2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Important Notice Regarding the Availability of Proxy Materials for the Annual Meeting:</w:t>
      </w:r>
    </w:p>
    <w:p>
      <w:pPr>
        <w:spacing w:after="0"/>
        <w:rPr>
          <w:sz w:val="20"/>
          <w:szCs w:val="20"/>
          <w:color w:val="auto"/>
        </w:rPr>
      </w:pPr>
      <w:r>
        <w:rPr>
          <w:rFonts w:ascii="Arial" w:cs="Arial" w:eastAsia="Arial" w:hAnsi="Arial"/>
          <w:sz w:val="3"/>
          <w:szCs w:val="3"/>
          <w:color w:val="FFFFFF"/>
        </w:rPr>
        <w:t>M58535TheNotice-P33208andProxy Statement and Annual Report are available at www.proxyvote.com.</w:t>
      </w:r>
    </w:p>
    <w:p>
      <w:pPr>
        <w:spacing w:after="0" w:line="181" w:lineRule="auto"/>
        <w:rPr>
          <w:sz w:val="20"/>
          <w:szCs w:val="20"/>
          <w:color w:val="auto"/>
        </w:rPr>
      </w:pPr>
      <w:r>
        <w:rPr>
          <w:rFonts w:ascii="Arial" w:cs="Arial" w:eastAsia="Arial" w:hAnsi="Arial"/>
          <w:sz w:val="10"/>
          <w:szCs w:val="10"/>
          <w:color w:val="FFFFFF"/>
        </w:rPr>
        <w:t>QUALYS, INC.</w:t>
      </w:r>
    </w:p>
    <w:p>
      <w:pPr>
        <w:spacing w:after="0"/>
        <w:rPr>
          <w:sz w:val="20"/>
          <w:szCs w:val="20"/>
          <w:color w:val="auto"/>
        </w:rPr>
      </w:pPr>
      <w:r>
        <w:rPr>
          <w:rFonts w:ascii="Arial" w:cs="Arial" w:eastAsia="Arial" w:hAnsi="Arial"/>
          <w:sz w:val="3"/>
          <w:szCs w:val="3"/>
          <w:color w:val="FFFFFF"/>
        </w:rPr>
        <w:t>JuneAnnual4, 2013Meeting11:00of AMStockholders</w:t>
      </w:r>
    </w:p>
    <w:p>
      <w:pPr>
        <w:spacing w:after="0" w:line="194" w:lineRule="auto"/>
        <w:rPr>
          <w:sz w:val="20"/>
          <w:szCs w:val="20"/>
          <w:color w:val="auto"/>
        </w:rPr>
      </w:pPr>
      <w:r>
        <w:rPr>
          <w:rFonts w:ascii="Arial" w:cs="Arial" w:eastAsia="Arial" w:hAnsi="Arial"/>
          <w:sz w:val="5"/>
          <w:szCs w:val="5"/>
          <w:color w:val="FFFFFF"/>
          <w:vertAlign w:val="superscript"/>
        </w:rPr>
        <w:t>The</w:t>
      </w:r>
      <w:r>
        <w:rPr>
          <w:rFonts w:ascii="Arial" w:cs="Arial" w:eastAsia="Arial" w:hAnsi="Arial"/>
          <w:sz w:val="3"/>
          <w:szCs w:val="3"/>
          <w:color w:val="FFFFFF"/>
        </w:rPr>
        <w:t>is proxy is solicited by the Board of Directors</w:t>
      </w:r>
    </w:p>
    <w:p>
      <w:pPr>
        <w:ind w:firstLine="244"/>
        <w:spacing w:after="0" w:line="195" w:lineRule="auto"/>
        <w:rPr>
          <w:sz w:val="20"/>
          <w:szCs w:val="20"/>
          <w:color w:val="auto"/>
        </w:rPr>
      </w:pPr>
      <w:r>
        <w:rPr>
          <w:rFonts w:ascii="Arial" w:cs="Arial" w:eastAsia="Arial" w:hAnsi="Arial"/>
          <w:sz w:val="6"/>
          <w:szCs w:val="6"/>
          <w:color w:val="FFFFFF"/>
        </w:rPr>
        <w:t>undersigned stockholder hereby appoints Donald C. McCauley and Bruce K. Posey, or either of them, as proxies, each with the power to appoint his substitute, and hereby authorizes them to represent and to vote, as designated on the reverse side of this ballot, all of the shares of Common Stock of QUALYS, INC. that the stockholder is entitled to vote at the Annual Meeting of stockholders to be held at 11:00 AM, PDT on June 4, 2013, at the Sofitel San Francisco Bay Hotel, 223 Twin Dolphin Drive, Redwood City, California 94065, and any adjournment</w:t>
      </w:r>
      <w:r>
        <w:rPr>
          <w:rFonts w:ascii="Arial" w:cs="Arial" w:eastAsia="Arial" w:hAnsi="Arial"/>
          <w:sz w:val="7"/>
          <w:szCs w:val="7"/>
          <w:color w:val="FFFFFF"/>
          <w:vertAlign w:val="subscript"/>
        </w:rPr>
        <w:t>accordance</w:t>
      </w:r>
      <w:r>
        <w:rPr>
          <w:rFonts w:ascii="Arial" w:cs="Arial" w:eastAsia="Arial" w:hAnsi="Arial"/>
          <w:sz w:val="6"/>
          <w:szCs w:val="6"/>
          <w:color w:val="FFFFFF"/>
        </w:rPr>
        <w:t xml:space="preserve">postponement </w:t>
      </w:r>
      <w:r>
        <w:rPr>
          <w:rFonts w:ascii="Arial" w:cs="Arial" w:eastAsia="Arial" w:hAnsi="Arial"/>
          <w:sz w:val="7"/>
          <w:szCs w:val="7"/>
          <w:color w:val="FFFFFF"/>
          <w:vertAlign w:val="subscript"/>
        </w:rPr>
        <w:t>thereof</w:t>
      </w:r>
      <w:r>
        <w:rPr>
          <w:rFonts w:ascii="Arial" w:cs="Arial" w:eastAsia="Arial" w:hAnsi="Arial"/>
          <w:sz w:val="6"/>
          <w:szCs w:val="6"/>
          <w:color w:val="FFFFFF"/>
        </w:rPr>
        <w:t>.</w:t>
      </w:r>
    </w:p>
    <w:p>
      <w:pPr>
        <w:ind w:right="760"/>
        <w:spacing w:after="0" w:line="190" w:lineRule="auto"/>
        <w:rPr>
          <w:sz w:val="20"/>
          <w:szCs w:val="20"/>
          <w:color w:val="auto"/>
        </w:rPr>
      </w:pPr>
      <w:r>
        <w:rPr>
          <w:rFonts w:ascii="Arial" w:cs="Arial" w:eastAsia="Arial" w:hAnsi="Arial"/>
          <w:sz w:val="11"/>
          <w:szCs w:val="11"/>
          <w:color w:val="FFFFFF"/>
        </w:rPr>
        <w:t>This proxy, when properly executed, will be voted in the manner directed herein. If no such direction is made, this proxy will be voted in with the Board Directors’ recommendations. Continued and to be signed on reverse side</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lvl w:ilvl="1">
      <w:lvlJc w:val="left"/>
      <w:lvlText w:val="(%2)"/>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4"/>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decimal"/>
      <w:start w:val="1"/>
    </w:lvl>
    <w:lvl w:ilvl="1">
      <w:lvlJc w:val="left"/>
      <w:lvlText w:val="•"/>
      <w:numFmt w:val="bullet"/>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2019-12-07T00:02:35Z</dcterms:created>
  <dcterms:modified xsi:type="dcterms:W3CDTF">2019-12-07T00:02:35Z</dcterms:modified>
</cp:coreProperties>
</file>