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September 30, 2013</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23"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31, 2013 was 32,251,783.</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700" w:type="dxa"/>
            <w:vAlign w:val="bottom"/>
            <w:tcBorders>
              <w:bottom w:val="single" w:sz="8" w:color="0000FF"/>
            </w:tcBorders>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September 30, 2013 and December 31, 2012</w:t>
              </w:r>
            </w:hyperlink>
          </w:p>
        </w:tc>
        <w:tc>
          <w:tcPr>
            <w:tcW w:w="3000" w:type="dxa"/>
            <w:vAlign w:val="bottom"/>
            <w:gridSpan w:val="4"/>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600" w:type="dxa"/>
            <w:vAlign w:val="bottom"/>
            <w:tcBorders>
              <w:bottom w:val="single" w:sz="8" w:color="0000FF"/>
            </w:tcBorders>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for the three and nine months ended September 30, 2013 and 2012</w:t>
              </w:r>
            </w:hyperlink>
          </w:p>
        </w:tc>
        <w:tc>
          <w:tcPr>
            <w:tcW w:w="1100" w:type="dxa"/>
            <w:vAlign w:val="bottom"/>
            <w:gridSpan w:val="2"/>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520" w:type="dxa"/>
            <w:vAlign w:val="bottom"/>
            <w:tcBorders>
              <w:bottom w:val="single" w:sz="8" w:color="0000FF"/>
            </w:tcBorders>
            <w:gridSpan w:val="1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Comprehensive Income for the three and nine months ended September 30, 2013 and 2012</w:t>
              </w:r>
            </w:hyperlink>
          </w:p>
        </w:tc>
        <w:tc>
          <w:tcPr>
            <w:tcW w:w="180" w:type="dxa"/>
            <w:vAlign w:val="bottom"/>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 for the nine months ended September 30, 2013 and 2012</w:t>
              </w:r>
            </w:hyperlink>
          </w:p>
        </w:tc>
        <w:tc>
          <w:tcPr>
            <w:tcW w:w="80" w:type="dxa"/>
            <w:vAlign w:val="bottom"/>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920" w:type="dxa"/>
            <w:vAlign w:val="bottom"/>
            <w:tcBorders>
              <w:top w:val="single" w:sz="8" w:color="0000FF"/>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1780" w:type="dxa"/>
            <w:vAlign w:val="bottom"/>
            <w:gridSpan w:val="3"/>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3"/>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2">
              <w:r>
                <w:rPr>
                  <w:rFonts w:ascii="Arial" w:cs="Arial" w:eastAsia="Arial" w:hAnsi="Arial"/>
                  <w:sz w:val="16"/>
                  <w:szCs w:val="16"/>
                  <w:color w:val="0000FF"/>
                  <w:w w:val="89"/>
                </w:rPr>
                <w:t>22</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38</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38">
              <w:r>
                <w:rPr>
                  <w:rFonts w:ascii="Arial" w:cs="Arial" w:eastAsia="Arial" w:hAnsi="Arial"/>
                  <w:sz w:val="16"/>
                  <w:szCs w:val="16"/>
                  <w:color w:val="0000FF"/>
                  <w:w w:val="89"/>
                </w:rPr>
                <w:t>39</w:t>
              </w:r>
            </w:hyperlink>
          </w:p>
        </w:tc>
        <w:tc>
          <w:tcPr>
            <w:tcW w:w="200" w:type="dxa"/>
            <w:vAlign w:val="bottom"/>
          </w:tcPr>
          <w:p>
            <w:pPr>
              <w:spacing w:after="0"/>
              <w:rPr>
                <w:sz w:val="19"/>
                <w:szCs w:val="19"/>
                <w:color w:val="auto"/>
              </w:rPr>
            </w:pPr>
          </w:p>
        </w:tc>
      </w:tr>
      <w:tr>
        <w:trPr>
          <w:trHeight w:val="258"/>
        </w:trPr>
        <w:tc>
          <w:tcPr>
            <w:tcW w:w="114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63">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63</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63">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64</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180" w:type="dxa"/>
            <w:vAlign w:val="bottom"/>
          </w:tcPr>
          <w:p>
            <w:pPr>
              <w:spacing w:after="0"/>
              <w:rPr>
                <w:sz w:val="17"/>
                <w:szCs w:val="17"/>
                <w:color w:val="auto"/>
              </w:rPr>
            </w:pPr>
          </w:p>
        </w:tc>
        <w:tc>
          <w:tcPr>
            <w:tcW w:w="16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2012</w:t>
            </w:r>
          </w:p>
        </w:tc>
      </w:tr>
      <w:tr>
        <w:trPr>
          <w:trHeight w:val="283"/>
        </w:trPr>
        <w:tc>
          <w:tcPr>
            <w:tcW w:w="7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34,885</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58,748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83,547</w:t>
            </w:r>
          </w:p>
        </w:tc>
      </w:tr>
      <w:tr>
        <w:trPr>
          <w:trHeight w:val="20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$381 and $331 at September 30, 2013 and December 31, 2012,</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84"/>
        </w:trPr>
        <w:tc>
          <w:tcPr>
            <w:tcW w:w="7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respectively</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24,545</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4,377</w:t>
            </w: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131,004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147,354</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22,493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18,148</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2,811</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r>
      <w:tr>
        <w:trPr>
          <w:trHeight w:val="283"/>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181,675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170,318</w:t>
            </w:r>
          </w:p>
        </w:tc>
      </w:tr>
      <w:tr>
        <w:trPr>
          <w:trHeight w:val="25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2,031</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7,950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7,803</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56,497</w:t>
            </w: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lease obligations, current</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1,183</w:t>
            </w:r>
          </w:p>
        </w:tc>
      </w:tr>
      <w:tr>
        <w:trPr>
          <w:trHeight w:val="256"/>
        </w:trPr>
        <w:tc>
          <w:tcPr>
            <w:tcW w:w="7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67,514</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8,456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8,616</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 noncurrent</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Pr>
          <w:p>
            <w:pPr>
              <w:spacing w:after="0"/>
              <w:rPr>
                <w:sz w:val="22"/>
                <w:szCs w:val="22"/>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1,231</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noncurrent</w:t>
            </w:r>
          </w:p>
        </w:tc>
        <w:tc>
          <w:tcPr>
            <w:tcW w:w="18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r>
      <w:tr>
        <w:trPr>
          <w:trHeight w:val="250"/>
        </w:trPr>
        <w:tc>
          <w:tcPr>
            <w:tcW w:w="766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81,180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78,763</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0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84"/>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30, 2013 and December 31, 2012</w:t>
            </w: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766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32,237,969 and 31,420,028 shares issued and</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78"/>
        </w:trPr>
        <w:tc>
          <w:tcPr>
            <w:tcW w:w="7660" w:type="dxa"/>
            <w:vAlign w:val="bottom"/>
          </w:tcPr>
          <w:p>
            <w:pPr>
              <w:ind w:left="280"/>
              <w:spacing w:after="0"/>
              <w:rPr>
                <w:sz w:val="20"/>
                <w:szCs w:val="20"/>
                <w:color w:val="auto"/>
              </w:rPr>
            </w:pPr>
            <w:r>
              <w:rPr>
                <w:rFonts w:ascii="Arial" w:cs="Arial" w:eastAsia="Arial" w:hAnsi="Arial"/>
                <w:sz w:val="14"/>
                <w:szCs w:val="14"/>
                <w:color w:val="auto"/>
              </w:rPr>
              <w:t>outstanding at September 30, 2013 and December 31, 2012, respectively</w:t>
            </w:r>
          </w:p>
        </w:tc>
        <w:tc>
          <w:tcPr>
            <w:tcW w:w="180" w:type="dxa"/>
            <w:vAlign w:val="bottom"/>
          </w:tcPr>
          <w:p>
            <w:pPr>
              <w:spacing w:after="0"/>
              <w:rPr>
                <w:sz w:val="15"/>
                <w:szCs w:val="15"/>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174,056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166,651</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(1,035)</w:t>
            </w:r>
          </w:p>
        </w:tc>
      </w:tr>
      <w:tr>
        <w:trPr>
          <w:trHeight w:val="270"/>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(74,092)</w:t>
            </w:r>
          </w:p>
        </w:tc>
      </w:tr>
      <w:tr>
        <w:trPr>
          <w:trHeight w:val="250"/>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100,495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91,555</w:t>
            </w:r>
          </w:p>
        </w:tc>
      </w:tr>
      <w:tr>
        <w:trPr>
          <w:trHeight w:val="243"/>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170,318</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27,749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23,382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66,763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6,415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4,634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18,134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13,423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21,334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60,789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53,340</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15,325</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8,797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30,739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27,827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4,277</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3,154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12,226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8,811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19,839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17,027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58,704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51,963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Weighted average shares used in computing net income per share attributable to</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20" w:type="dxa"/>
            <w:vAlign w:val="bottom"/>
          </w:tcPr>
          <w:p>
            <w:pPr>
              <w:ind w:left="40"/>
              <w:spacing w:after="0"/>
              <w:rPr>
                <w:sz w:val="20"/>
                <w:szCs w:val="20"/>
                <w:color w:val="auto"/>
              </w:rPr>
            </w:pPr>
            <w:r>
              <w:rPr>
                <w:rFonts w:ascii="Arial" w:cs="Arial" w:eastAsia="Arial" w:hAnsi="Arial"/>
                <w:sz w:val="14"/>
                <w:szCs w:val="14"/>
                <w:color w:val="auto"/>
              </w:rPr>
              <w:t>common stockholders: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32,088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36,247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26,545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35,704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25,972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Change in foreign currency translation gain (loss), net of zero tax</w:t>
            </w:r>
          </w:p>
        </w:tc>
        <w:tc>
          <w:tcPr>
            <w:tcW w:w="8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Change in net unrealized gain on investments, net of zero tax</w:t>
            </w:r>
          </w:p>
        </w:tc>
        <w:tc>
          <w:tcPr>
            <w:tcW w:w="8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gain included in net income</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20" w:type="dxa"/>
            <w:vAlign w:val="bottom"/>
          </w:tcPr>
          <w:p>
            <w:pPr>
              <w:ind w:left="280"/>
              <w:spacing w:after="0"/>
              <w:rPr>
                <w:sz w:val="20"/>
                <w:szCs w:val="20"/>
                <w:color w:val="auto"/>
              </w:rPr>
            </w:pPr>
            <w:r>
              <w:rPr>
                <w:rFonts w:ascii="Arial" w:cs="Arial" w:eastAsia="Arial" w:hAnsi="Arial"/>
                <w:sz w:val="14"/>
                <w:szCs w:val="14"/>
                <w:color w:val="auto"/>
              </w:rPr>
              <w:t>Net change, net of zero tax</w:t>
            </w:r>
          </w:p>
        </w:tc>
        <w:tc>
          <w:tcPr>
            <w:tcW w:w="88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top w:val="single" w:sz="8" w:color="auto"/>
              <w:bottom w:val="single" w:sz="8" w:color="231F20"/>
            </w:tcBorders>
            <w:shd w:val="clear" w:color="auto" w:fill="CCEEFF"/>
          </w:tcPr>
          <w:p>
            <w:pPr>
              <w:spacing w:after="0"/>
              <w:rPr>
                <w:sz w:val="21"/>
                <w:szCs w:val="21"/>
                <w:color w:val="auto"/>
              </w:rPr>
            </w:pPr>
          </w:p>
        </w:tc>
        <w:tc>
          <w:tcPr>
            <w:tcW w:w="500" w:type="dxa"/>
            <w:vAlign w:val="bottom"/>
            <w:tcBorders>
              <w:top w:val="single" w:sz="8" w:color="auto"/>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231F20"/>
            </w:tcBorders>
            <w:shd w:val="clear" w:color="auto" w:fill="CCEEFF"/>
          </w:tcPr>
          <w:p>
            <w:pPr>
              <w:spacing w:after="0"/>
              <w:rPr>
                <w:sz w:val="21"/>
                <w:szCs w:val="21"/>
                <w:color w:val="auto"/>
              </w:rPr>
            </w:pPr>
          </w:p>
        </w:tc>
        <w:tc>
          <w:tcPr>
            <w:tcW w:w="500" w:type="dxa"/>
            <w:vAlign w:val="bottom"/>
            <w:tcBorders>
              <w:top w:val="single" w:sz="8" w:color="auto"/>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231F20"/>
            </w:tcBorders>
            <w:shd w:val="clear" w:color="auto" w:fill="CCEEFF"/>
          </w:tcPr>
          <w:p>
            <w:pPr>
              <w:spacing w:after="0"/>
              <w:rPr>
                <w:sz w:val="21"/>
                <w:szCs w:val="21"/>
                <w:color w:val="auto"/>
              </w:rPr>
            </w:pPr>
          </w:p>
        </w:tc>
        <w:tc>
          <w:tcPr>
            <w:tcW w:w="1040" w:type="dxa"/>
            <w:vAlign w:val="bottom"/>
            <w:tcBorders>
              <w:top w:val="single" w:sz="8" w:color="auto"/>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231F20"/>
            </w:tcBorders>
            <w:shd w:val="clear" w:color="auto" w:fill="CCEEFF"/>
          </w:tcPr>
          <w:p>
            <w:pPr>
              <w:spacing w:after="0"/>
              <w:rPr>
                <w:sz w:val="21"/>
                <w:szCs w:val="21"/>
                <w:color w:val="auto"/>
              </w:rPr>
            </w:pPr>
          </w:p>
        </w:tc>
        <w:tc>
          <w:tcPr>
            <w:tcW w:w="860" w:type="dxa"/>
            <w:vAlign w:val="bottom"/>
            <w:tcBorders>
              <w:top w:val="single" w:sz="8" w:color="auto"/>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43"/>
        </w:trPr>
        <w:tc>
          <w:tcPr>
            <w:tcW w:w="56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1,348</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26035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2012</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1,105</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7,050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5,397</w:t>
            </w:r>
          </w:p>
        </w:tc>
      </w:tr>
      <w:tr>
        <w:trPr>
          <w:trHeight w:val="27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2,583</w:t>
            </w: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Non-cash interest expense</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6"/>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on investments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264"/>
        </w:trPr>
        <w:tc>
          <w:tcPr>
            <w:tcW w:w="812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264"/>
        </w:trPr>
        <w:tc>
          <w:tcPr>
            <w:tcW w:w="812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(1,529)</w:t>
            </w:r>
          </w:p>
        </w:tc>
      </w:tr>
      <w:tr>
        <w:trPr>
          <w:trHeight w:val="276"/>
        </w:trPr>
        <w:tc>
          <w:tcPr>
            <w:tcW w:w="8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6,415</w:t>
            </w:r>
          </w:p>
        </w:tc>
      </w:tr>
      <w:tr>
        <w:trPr>
          <w:trHeight w:val="264"/>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w:t>
            </w:r>
          </w:p>
        </w:tc>
      </w:tr>
      <w:tr>
        <w:trPr>
          <w:trHeight w:val="256"/>
        </w:trPr>
        <w:tc>
          <w:tcPr>
            <w:tcW w:w="8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15,191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10,669</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113,524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(8,104)</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Release of restricted cash</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Income tax benefits from exercise of stock options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Payment of consideration related to acquisition</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for offering costs in connection with initial public offering</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250"/>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2,513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(1,325)</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1,256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34,885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25,804</w:t>
            </w:r>
          </w:p>
        </w:tc>
      </w:tr>
      <w:tr>
        <w:trPr>
          <w:trHeight w:val="264"/>
        </w:trPr>
        <w:tc>
          <w:tcPr>
            <w:tcW w:w="8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included in accrued liabilities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86</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offering costs not yet paid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1,973</w:t>
            </w:r>
          </w:p>
        </w:tc>
      </w:tr>
      <w:tr>
        <w:trPr>
          <w:trHeight w:val="258"/>
        </w:trPr>
        <w:tc>
          <w:tcPr>
            <w:tcW w:w="8120" w:type="dxa"/>
            <w:vAlign w:val="bottom"/>
          </w:tcPr>
          <w:p>
            <w:pPr>
              <w:ind w:left="280"/>
              <w:spacing w:after="0"/>
              <w:rPr>
                <w:sz w:val="20"/>
                <w:szCs w:val="20"/>
                <w:color w:val="auto"/>
              </w:rPr>
            </w:pPr>
            <w:r>
              <w:rPr>
                <w:rFonts w:ascii="Arial" w:cs="Arial" w:eastAsia="Arial" w:hAnsi="Arial"/>
                <w:sz w:val="14"/>
                <w:szCs w:val="14"/>
                <w:color w:val="auto"/>
              </w:rPr>
              <w:t>Issuance of common stock for acquisition of license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2012</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2013 is not necessarily indicative of the results of operations expected for the entire year ending December 31, 2013 or for any other future annual or interim period. These condensed consolidated financial statements should be read in conjunction with the consolidated financial statements and related notes included in the Company’s Annual Report on Form 10-K for the year ended December 31, 2012 filed with the SEC on March 5, 2013.</w:t>
      </w:r>
    </w:p>
    <w:p>
      <w:pPr>
        <w:spacing w:after="0" w:line="211"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231F20"/>
        </w:rPr>
        <w:t>Certain prior year amounts have been reclassified to conform to the current year presentation. These reclassifications did not change previously reported total assets, liabilities, stockholders' equity, income from operations or net income.</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880" w:firstLine="486"/>
        <w:spacing w:after="0" w:line="26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 owned subsidiaries. All significant intercompany transactions and balances have been eliminated upon consolidation.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condensed consolidated financial statements.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The Company invests its cash, cash equivalents and investments with major financial institutions. Cash balances with any one institution at times may be in excess of federally insured limits. Cash equivalents and investments are invested in high-quality investment grade financial instruments and are diversified. The Company has not experienced any other-than-temporary losses in such accounts and believes it is not exposed to any significant credit risk.</w:t>
      </w:r>
    </w:p>
    <w:p>
      <w:pPr>
        <w:spacing w:after="0" w:line="200" w:lineRule="exact"/>
        <w:rPr>
          <w:sz w:val="20"/>
          <w:szCs w:val="20"/>
          <w:color w:val="auto"/>
        </w:rPr>
      </w:pPr>
    </w:p>
    <w:p>
      <w:pPr>
        <w:spacing w:after="0" w:line="22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September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231F20"/>
        </w:rPr>
        <w:t xml:space="preserve">Cash and cash equivalents include cash held in banks and highly liquid money market funds, commercial paper and corporate bonds, all with original maturities of three months or less when acquired. </w:t>
      </w:r>
      <w:r>
        <w:rPr>
          <w:rFonts w:ascii="Arial" w:cs="Arial" w:eastAsia="Arial" w:hAnsi="Arial"/>
          <w:sz w:val="17"/>
          <w:szCs w:val="17"/>
          <w:color w:val="000000"/>
        </w:rPr>
        <w:t>The Company’s investments consist of</w:t>
      </w:r>
      <w:r>
        <w:rPr>
          <w:rFonts w:ascii="Arial" w:cs="Arial" w:eastAsia="Arial" w:hAnsi="Arial"/>
          <w:sz w:val="17"/>
          <w:szCs w:val="17"/>
          <w:color w:val="231F20"/>
        </w:rPr>
        <w:t xml:space="preserve"> fixed-income U.S. government agency securities, corporate bonds, municipal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200" w:lineRule="exact"/>
        <w:rPr>
          <w:sz w:val="20"/>
          <w:szCs w:val="20"/>
          <w:color w:val="auto"/>
        </w:rPr>
      </w:pPr>
    </w:p>
    <w:p>
      <w:pPr>
        <w:spacing w:after="0" w:line="20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Cash is stated at cost, which approximates fair market value. Cash equivalents and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39"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18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 xml:space="preserve">In February 2013, the FASB issued an update to ASC 220: </w:t>
      </w:r>
      <w:r>
        <w:rPr>
          <w:rFonts w:ascii="Arial" w:cs="Arial" w:eastAsia="Arial" w:hAnsi="Arial"/>
          <w:sz w:val="18"/>
          <w:szCs w:val="18"/>
          <w:i w:val="1"/>
          <w:iCs w:val="1"/>
          <w:color w:val="231F20"/>
        </w:rPr>
        <w:t>Reporting of Amounts Reclassified Out of Accumulated Other Comprehensive</w:t>
      </w:r>
      <w:r>
        <w:rPr>
          <w:rFonts w:ascii="Arial" w:cs="Arial" w:eastAsia="Arial" w:hAnsi="Arial"/>
          <w:sz w:val="18"/>
          <w:szCs w:val="18"/>
          <w:color w:val="231F20"/>
        </w:rPr>
        <w:t xml:space="preserve"> </w:t>
      </w:r>
      <w:r>
        <w:rPr>
          <w:rFonts w:ascii="Arial" w:cs="Arial" w:eastAsia="Arial" w:hAnsi="Arial"/>
          <w:sz w:val="18"/>
          <w:szCs w:val="18"/>
          <w:i w:val="1"/>
          <w:iCs w:val="1"/>
          <w:color w:val="231F20"/>
        </w:rPr>
        <w:t>Income</w:t>
      </w:r>
      <w:r>
        <w:rPr>
          <w:rFonts w:ascii="Arial" w:cs="Arial" w:eastAsia="Arial" w:hAnsi="Arial"/>
          <w:sz w:val="18"/>
          <w:szCs w:val="18"/>
          <w:color w:val="231F20"/>
        </w:rPr>
        <w:t>. Under this update, an entity is required to provide information about the amounts reclassified out of accumulated other comprehensive</w:t>
      </w:r>
      <w:r>
        <w:rPr>
          <w:rFonts w:ascii="Arial" w:cs="Arial" w:eastAsia="Arial" w:hAnsi="Arial"/>
          <w:sz w:val="18"/>
          <w:szCs w:val="18"/>
          <w:i w:val="1"/>
          <w:iCs w:val="1"/>
          <w:color w:val="231F20"/>
        </w:rPr>
        <w:t xml:space="preserve"> </w:t>
      </w:r>
      <w:r>
        <w:rPr>
          <w:rFonts w:ascii="Arial" w:cs="Arial" w:eastAsia="Arial" w:hAnsi="Arial"/>
          <w:sz w:val="18"/>
          <w:szCs w:val="18"/>
          <w:color w:val="231F20"/>
        </w:rPr>
        <w:t>income (”AOCI”) by component. In addition, an entity is required to present, either on the face of the financial statements or in the notes, significant amounts reclassified out of AOCI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Company adopted this standard in the first quarter of 2013, and the adoption of this standard did not have a material impact on the condensed consolidated financial statements. Amounts reclassified out of AOCI are recorded in interest income on the condensed consolidated statements of operations.</w:t>
      </w:r>
    </w:p>
    <w:p>
      <w:pPr>
        <w:spacing w:after="0" w:line="185"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231F20"/>
        </w:rPr>
        <w:t xml:space="preserve">In July 2013, the FASB issued ASU 2013-11: </w:t>
      </w:r>
      <w:r>
        <w:rPr>
          <w:rFonts w:ascii="Arial" w:cs="Arial" w:eastAsia="Arial" w:hAnsi="Arial"/>
          <w:sz w:val="18"/>
          <w:szCs w:val="18"/>
          <w:i w:val="1"/>
          <w:iCs w:val="1"/>
          <w:color w:val="231F20"/>
        </w:rPr>
        <w:t>Presentation of an Unrecognized Tax Benefit when a Net Operating Loss Carryforward, a</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Similar Tax Loss, or a Tax Credit Carryforward Exists. </w:t>
      </w:r>
      <w:r>
        <w:rPr>
          <w:rFonts w:ascii="Arial" w:cs="Arial" w:eastAsia="Arial" w:hAnsi="Arial"/>
          <w:sz w:val="18"/>
          <w:szCs w:val="18"/>
          <w:color w:val="231F20"/>
        </w:rPr>
        <w:t>This update provides guidance on the financial statement presentation of unrecognized</w:t>
      </w:r>
      <w:r>
        <w:rPr>
          <w:rFonts w:ascii="Arial" w:cs="Arial" w:eastAsia="Arial" w:hAnsi="Arial"/>
          <w:sz w:val="18"/>
          <w:szCs w:val="18"/>
          <w:i w:val="1"/>
          <w:iCs w:val="1"/>
          <w:color w:val="231F20"/>
        </w:rPr>
        <w:t xml:space="preserve"> </w:t>
      </w:r>
      <w:r>
        <w:rPr>
          <w:rFonts w:ascii="Arial" w:cs="Arial" w:eastAsia="Arial" w:hAnsi="Arial"/>
          <w:sz w:val="18"/>
          <w:szCs w:val="18"/>
          <w:color w:val="231F20"/>
        </w:rPr>
        <w:t>tax benefits when a net operating loss carryforward, a similar tax loss, or a tax credit carryforward exists. An unrecognized tax benefit should be presented as a reduction to a deferred tax asset for a net operating loss carryforward, a similar tax loss, or a tax credit carryforward when settlement in this manner is available under the tax law. The Company will adopt this amendment as of January 2014. The result of adoption may be to offset certain long-term liabilities to long -term deferred tax assets and the adoption will not result in a change to the tax provision. The Company does not believe that the impact on the balance sheet will be significant.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cash and certain cash equivalents, accounts receivable, restricted cash,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forward currency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8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municipal bonds and asset backed securities and derivative financial instruments consisting of forward currency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using observable inputs.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long-term investments and restricted cash consist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September 30, 2013</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25,434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25,434</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5,086</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11,598</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42,118</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43,973</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9,640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9,647</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r>
      <w:tr>
        <w:trPr>
          <w:trHeight w:val="264"/>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4,002</w:t>
            </w:r>
          </w:p>
        </w:tc>
      </w:tr>
      <w:tr>
        <w:trPr>
          <w:trHeight w:val="257"/>
        </w:trPr>
        <w:tc>
          <w:tcPr>
            <w:tcW w:w="470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58,748</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4,713</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16,094</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24,805</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125,635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125,671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23,419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23,419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11,296</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34,885</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21,080</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50"/>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83,541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83,547</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cash - cash</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September 30, 2013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55,571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55,571</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8,715</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8,715</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1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25,741</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25,741</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95,151</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95,151</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8"/>
        </w:trPr>
        <w:tc>
          <w:tcPr>
            <w:tcW w:w="47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94,843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rPr>
              <w:t>September 30, 2013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Two Years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55,571</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8,715</w:t>
            </w: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1,126</w:t>
            </w:r>
          </w:p>
        </w:tc>
      </w:tr>
      <w:tr>
        <w:trPr>
          <w:trHeight w:val="260"/>
        </w:trPr>
        <w:tc>
          <w:tcPr>
            <w:tcW w:w="402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6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16,094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25,741</w:t>
            </w:r>
          </w:p>
        </w:tc>
      </w:tr>
      <w:tr>
        <w:trPr>
          <w:trHeight w:val="273"/>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6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3,998</w:t>
            </w:r>
          </w:p>
        </w:tc>
      </w:tr>
      <w:tr>
        <w:trPr>
          <w:trHeight w:val="240"/>
        </w:trPr>
        <w:tc>
          <w:tcPr>
            <w:tcW w:w="4020" w:type="dxa"/>
            <w:vAlign w:val="bottom"/>
          </w:tcPr>
          <w:p>
            <w:pPr>
              <w:ind w:left="40"/>
              <w:spacing w:after="0"/>
              <w:rPr>
                <w:sz w:val="20"/>
                <w:szCs w:val="20"/>
                <w:color w:val="auto"/>
              </w:rPr>
            </w:pPr>
            <w:r>
              <w:rPr>
                <w:rFonts w:ascii="Arial" w:cs="Arial" w:eastAsia="Arial" w:hAnsi="Arial"/>
                <w:sz w:val="16"/>
                <w:szCs w:val="16"/>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70,346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20,807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3,998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95,151</w:t>
            </w:r>
          </w:p>
        </w:tc>
      </w:tr>
      <w:tr>
        <w:trPr>
          <w:trHeight w:val="20"/>
        </w:trPr>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60"/>
        </w:trPr>
        <w:tc>
          <w:tcPr>
            <w:tcW w:w="40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Mature within One Year</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Two Years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3"/>
          </w:tcPr>
          <w:p>
            <w:pPr>
              <w:jc w:val="center"/>
              <w:ind w:left="85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32,376</w:t>
            </w: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U.S. government agencies</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62,467</w:t>
            </w:r>
          </w:p>
        </w:tc>
      </w:tr>
      <w:tr>
        <w:trPr>
          <w:trHeight w:val="24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94,843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9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The Company does not enter into derivative financial instruments for trading or speculative purposes.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22222"/>
        </w:rPr>
        <w:t xml:space="preserve">At September 30, 2013, the Company had </w:t>
      </w:r>
      <w:r>
        <w:rPr>
          <w:rFonts w:ascii="Arial" w:cs="Arial" w:eastAsia="Arial" w:hAnsi="Arial"/>
          <w:sz w:val="18"/>
          <w:szCs w:val="18"/>
          <w:color w:val="000000"/>
        </w:rPr>
        <w:t>two</w:t>
      </w:r>
      <w:r>
        <w:rPr>
          <w:rFonts w:ascii="Arial" w:cs="Arial" w:eastAsia="Arial" w:hAnsi="Arial"/>
          <w:sz w:val="18"/>
          <w:szCs w:val="18"/>
          <w:color w:val="222222"/>
        </w:rPr>
        <w:t xml:space="preserve"> outstanding forward contracts with notional amounts of </w:t>
      </w:r>
      <w:r>
        <w:rPr>
          <w:rFonts w:ascii="Arial" w:cs="Arial" w:eastAsia="Arial" w:hAnsi="Arial"/>
          <w:sz w:val="18"/>
          <w:szCs w:val="18"/>
          <w:color w:val="000000"/>
        </w:rPr>
        <w:t>4.2 million</w:t>
      </w:r>
      <w:r>
        <w:rPr>
          <w:rFonts w:ascii="Arial" w:cs="Arial" w:eastAsia="Arial" w:hAnsi="Arial"/>
          <w:sz w:val="18"/>
          <w:szCs w:val="18"/>
          <w:color w:val="222222"/>
        </w:rPr>
        <w:t xml:space="preserve"> Euros and </w:t>
      </w:r>
      <w:r>
        <w:rPr>
          <w:rFonts w:ascii="Arial" w:cs="Arial" w:eastAsia="Arial" w:hAnsi="Arial"/>
          <w:sz w:val="18"/>
          <w:szCs w:val="18"/>
          <w:color w:val="000000"/>
        </w:rPr>
        <w:t>1.9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British pounds, both of which expired on October 31, 2013. At December 31, 2012, the Company had </w:t>
      </w:r>
      <w:r>
        <w:rPr>
          <w:rFonts w:ascii="Arial" w:cs="Arial" w:eastAsia="Arial" w:hAnsi="Arial"/>
          <w:sz w:val="18"/>
          <w:szCs w:val="18"/>
          <w:color w:val="000000"/>
        </w:rPr>
        <w:t>one</w:t>
      </w:r>
      <w:r>
        <w:rPr>
          <w:rFonts w:ascii="Arial" w:cs="Arial" w:eastAsia="Arial" w:hAnsi="Arial"/>
          <w:sz w:val="18"/>
          <w:szCs w:val="18"/>
          <w:color w:val="222222"/>
        </w:rPr>
        <w:t xml:space="preserve"> outstanding forward contract with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notional amount of </w:t>
      </w:r>
      <w:r>
        <w:rPr>
          <w:rFonts w:ascii="Arial" w:cs="Arial" w:eastAsia="Arial" w:hAnsi="Arial"/>
          <w:sz w:val="18"/>
          <w:szCs w:val="18"/>
          <w:color w:val="000000"/>
        </w:rPr>
        <w:t>10.7 million</w:t>
      </w:r>
      <w:r>
        <w:rPr>
          <w:rFonts w:ascii="Arial" w:cs="Arial" w:eastAsia="Arial" w:hAnsi="Arial"/>
          <w:sz w:val="18"/>
          <w:szCs w:val="18"/>
          <w:color w:val="222222"/>
        </w:rPr>
        <w:t xml:space="preserve"> Euros, which expired on January 31, 2013. These </w:t>
      </w:r>
      <w:r>
        <w:rPr>
          <w:rFonts w:ascii="Arial" w:cs="Arial" w:eastAsia="Arial" w:hAnsi="Arial"/>
          <w:sz w:val="18"/>
          <w:szCs w:val="18"/>
          <w:color w:val="231F20"/>
        </w:rPr>
        <w:t>forward contracts were entered into at the end of 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September 30, 2013</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2012</w:t>
      </w:r>
      <w:r>
        <w:rPr>
          <w:rFonts w:ascii="Arial" w:cs="Arial" w:eastAsia="Arial" w:hAnsi="Arial"/>
          <w:sz w:val="18"/>
          <w:szCs w:val="18"/>
          <w:color w:val="222222"/>
        </w:rPr>
        <w:t>.</w:t>
      </w:r>
      <w:r>
        <w:rPr>
          <w:rFonts w:ascii="Arial" w:cs="Arial" w:eastAsia="Arial" w:hAnsi="Arial"/>
          <w:sz w:val="18"/>
          <w:szCs w:val="18"/>
          <w:color w:val="231F20"/>
        </w:rPr>
        <w:t xml:space="preserve"> The Company recorded losses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$0.4 million </w:t>
      </w:r>
      <w:r>
        <w:rPr>
          <w:rFonts w:ascii="Arial" w:cs="Arial" w:eastAsia="Arial" w:hAnsi="Arial"/>
          <w:sz w:val="18"/>
          <w:szCs w:val="18"/>
          <w:color w:val="231F20"/>
        </w:rPr>
        <w:t>and</w:t>
      </w:r>
      <w:r>
        <w:rPr>
          <w:rFonts w:ascii="Arial" w:cs="Arial" w:eastAsia="Arial" w:hAnsi="Arial"/>
          <w:sz w:val="18"/>
          <w:szCs w:val="18"/>
          <w:color w:val="auto"/>
        </w:rPr>
        <w:t xml:space="preserve"> $0.6 million </w:t>
      </w:r>
      <w:r>
        <w:rPr>
          <w:rFonts w:ascii="Arial" w:cs="Arial" w:eastAsia="Arial" w:hAnsi="Arial"/>
          <w:sz w:val="18"/>
          <w:szCs w:val="18"/>
          <w:color w:val="231F20"/>
        </w:rPr>
        <w:t>from these contracts for the three and</w:t>
      </w:r>
      <w:r>
        <w:rPr>
          <w:rFonts w:ascii="Arial" w:cs="Arial" w:eastAsia="Arial" w:hAnsi="Arial"/>
          <w:sz w:val="18"/>
          <w:szCs w:val="18"/>
          <w:color w:val="auto"/>
        </w:rPr>
        <w:t xml:space="preserve"> nine months ended September 30, 2013</w:t>
      </w:r>
      <w:r>
        <w:rPr>
          <w:rFonts w:ascii="Arial" w:cs="Arial" w:eastAsia="Arial" w:hAnsi="Arial"/>
          <w:sz w:val="18"/>
          <w:szCs w:val="18"/>
          <w:color w:val="231F20"/>
        </w:rPr>
        <w:t>, respectively. These were partially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offset by foreign currency transaction gains of </w:t>
      </w:r>
      <w:r>
        <w:rPr>
          <w:rFonts w:ascii="Arial" w:cs="Arial" w:eastAsia="Arial" w:hAnsi="Arial"/>
          <w:sz w:val="18"/>
          <w:szCs w:val="18"/>
          <w:color w:val="000000"/>
        </w:rPr>
        <w:t>$0.3 million</w:t>
      </w:r>
      <w:r>
        <w:rPr>
          <w:rFonts w:ascii="Arial" w:cs="Arial" w:eastAsia="Arial" w:hAnsi="Arial"/>
          <w:sz w:val="18"/>
          <w:szCs w:val="18"/>
          <w:color w:val="231F20"/>
        </w:rPr>
        <w:t xml:space="preserve"> and $0.1 million for the three and </w:t>
      </w:r>
      <w:r>
        <w:rPr>
          <w:rFonts w:ascii="Arial" w:cs="Arial" w:eastAsia="Arial" w:hAnsi="Arial"/>
          <w:sz w:val="18"/>
          <w:szCs w:val="18"/>
          <w:color w:val="000000"/>
        </w:rPr>
        <w:t>nine months ended September 30, 2013</w:t>
      </w:r>
      <w:r>
        <w:rPr>
          <w:rFonts w:ascii="Arial" w:cs="Arial" w:eastAsia="Arial" w:hAnsi="Arial"/>
          <w:sz w:val="18"/>
          <w:szCs w:val="18"/>
          <w:color w:val="231F20"/>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respectively. The Company recorded losses of $0.4 million and </w:t>
      </w:r>
      <w:r>
        <w:rPr>
          <w:rFonts w:ascii="Arial" w:cs="Arial" w:eastAsia="Arial" w:hAnsi="Arial"/>
          <w:sz w:val="18"/>
          <w:szCs w:val="18"/>
          <w:color w:val="000000"/>
        </w:rPr>
        <w:t>$0.1 million</w:t>
      </w:r>
      <w:r>
        <w:rPr>
          <w:rFonts w:ascii="Arial" w:cs="Arial" w:eastAsia="Arial" w:hAnsi="Arial"/>
          <w:sz w:val="18"/>
          <w:szCs w:val="18"/>
          <w:color w:val="231F20"/>
        </w:rPr>
        <w:t xml:space="preserve"> from these contracts for the three and </w:t>
      </w:r>
      <w:r>
        <w:rPr>
          <w:rFonts w:ascii="Arial" w:cs="Arial" w:eastAsia="Arial" w:hAnsi="Arial"/>
          <w:sz w:val="18"/>
          <w:szCs w:val="18"/>
          <w:color w:val="000000"/>
        </w:rPr>
        <w:t>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w:t>
      </w:r>
      <w:r>
        <w:rPr>
          <w:rFonts w:ascii="Arial" w:cs="Arial" w:eastAsia="Arial" w:hAnsi="Arial"/>
          <w:sz w:val="18"/>
          <w:szCs w:val="18"/>
          <w:color w:val="231F20"/>
        </w:rPr>
        <w:t>, respectively. These were offset by foreign currency transaction gains of</w:t>
      </w:r>
      <w:r>
        <w:rPr>
          <w:rFonts w:ascii="Arial" w:cs="Arial" w:eastAsia="Arial" w:hAnsi="Arial"/>
          <w:sz w:val="18"/>
          <w:szCs w:val="18"/>
          <w:color w:val="auto"/>
        </w:rPr>
        <w:t xml:space="preserve"> $0.4 million </w:t>
      </w:r>
      <w:r>
        <w:rPr>
          <w:rFonts w:ascii="Arial" w:cs="Arial" w:eastAsia="Arial" w:hAnsi="Arial"/>
          <w:sz w:val="18"/>
          <w:szCs w:val="18"/>
          <w:color w:val="231F20"/>
        </w:rPr>
        <w:t>and</w:t>
      </w:r>
      <w:r>
        <w:rPr>
          <w:rFonts w:ascii="Arial" w:cs="Arial" w:eastAsia="Arial" w:hAnsi="Arial"/>
          <w:sz w:val="18"/>
          <w:szCs w:val="18"/>
          <w:color w:val="auto"/>
        </w:rPr>
        <w:t xml:space="preserve"> $49,000 </w:t>
      </w:r>
      <w:r>
        <w:rPr>
          <w:rFonts w:ascii="Arial" w:cs="Arial" w:eastAsia="Arial" w:hAnsi="Arial"/>
          <w:sz w:val="18"/>
          <w:szCs w:val="18"/>
          <w:color w:val="231F20"/>
        </w:rPr>
        <w:t>for the three and</w:t>
      </w:r>
      <w:r>
        <w:rPr>
          <w:rFonts w:ascii="Arial" w:cs="Arial" w:eastAsia="Arial" w:hAnsi="Arial"/>
          <w:sz w:val="18"/>
          <w:szCs w:val="18"/>
          <w:color w:val="auto"/>
        </w:rPr>
        <w:t xml:space="preserve"> nine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2012</w:t>
      </w:r>
      <w:r>
        <w:rPr>
          <w:rFonts w:ascii="Arial" w:cs="Arial" w:eastAsia="Arial" w:hAnsi="Arial"/>
          <w:sz w:val="18"/>
          <w:szCs w:val="18"/>
          <w:color w:val="231F20"/>
        </w:rPr>
        <w:t>, respectively. These derivatives did not meet the criteria to be designated as hedges. These instruments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were valued using Level 2 inputs.</w:t>
      </w:r>
    </w:p>
    <w:p>
      <w:pPr>
        <w:spacing w:after="0" w:line="225"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auto"/>
        </w:rPr>
        <w:t>There were no significant transfers between Level 1, Level 2 or Level 3 of the fair value hierarchy, as determined at the end of each reporting period.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2012</w:t>
            </w:r>
          </w:p>
        </w:tc>
      </w:tr>
      <w:tr>
        <w:trPr>
          <w:trHeight w:val="247"/>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9,139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6,327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16,646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16,470</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1,672</w:t>
            </w:r>
          </w:p>
        </w:tc>
      </w:tr>
      <w:tr>
        <w:trPr>
          <w:trHeight w:val="247"/>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55,032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44,812</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(26,664)</w:t>
            </w:r>
          </w:p>
        </w:tc>
      </w:tr>
      <w:tr>
        <w:trPr>
          <w:trHeight w:val="240"/>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22,493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18,148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231F20"/>
        </w:rPr>
        <w:t xml:space="preserve">Assets held under capital lease included in computer software at </w:t>
      </w:r>
      <w:r>
        <w:rPr>
          <w:rFonts w:ascii="Arial" w:cs="Arial" w:eastAsia="Arial" w:hAnsi="Arial"/>
          <w:sz w:val="18"/>
          <w:szCs w:val="18"/>
          <w:color w:val="000000"/>
        </w:rPr>
        <w:t>September 30, 2013</w:t>
      </w:r>
      <w:r>
        <w:rPr>
          <w:rFonts w:ascii="Arial" w:cs="Arial" w:eastAsia="Arial" w:hAnsi="Arial"/>
          <w:sz w:val="18"/>
          <w:szCs w:val="18"/>
          <w:color w:val="231F20"/>
        </w:rPr>
        <w:t xml:space="preserve"> and December 31, 2012 totaled approximately </w:t>
      </w:r>
      <w:r>
        <w:rPr>
          <w:rFonts w:ascii="Arial" w:cs="Arial" w:eastAsia="Arial" w:hAnsi="Arial"/>
          <w:sz w:val="18"/>
          <w:szCs w:val="18"/>
          <w:color w:val="000000"/>
        </w:rPr>
        <w:t>$3.8 million</w:t>
      </w:r>
      <w:r>
        <w:rPr>
          <w:rFonts w:ascii="Arial" w:cs="Arial" w:eastAsia="Arial" w:hAnsi="Arial"/>
          <w:sz w:val="18"/>
          <w:szCs w:val="18"/>
          <w:color w:val="231F20"/>
        </w:rPr>
        <w:t>. The related accumulated depreciation at</w:t>
      </w:r>
      <w:r>
        <w:rPr>
          <w:rFonts w:ascii="Arial" w:cs="Arial" w:eastAsia="Arial" w:hAnsi="Arial"/>
          <w:sz w:val="18"/>
          <w:szCs w:val="18"/>
          <w:color w:val="000000"/>
        </w:rPr>
        <w:t xml:space="preserve"> September 30, 2013 </w:t>
      </w:r>
      <w:r>
        <w:rPr>
          <w:rFonts w:ascii="Arial" w:cs="Arial" w:eastAsia="Arial" w:hAnsi="Arial"/>
          <w:sz w:val="18"/>
          <w:szCs w:val="18"/>
          <w:color w:val="231F20"/>
        </w:rPr>
        <w:t>and December 31, 2012 totaled</w:t>
      </w:r>
      <w:r>
        <w:rPr>
          <w:rFonts w:ascii="Arial" w:cs="Arial" w:eastAsia="Arial" w:hAnsi="Arial"/>
          <w:sz w:val="18"/>
          <w:szCs w:val="18"/>
          <w:color w:val="000000"/>
        </w:rPr>
        <w:t xml:space="preserve"> $1.7 million </w:t>
      </w:r>
      <w:r>
        <w:rPr>
          <w:rFonts w:ascii="Arial" w:cs="Arial" w:eastAsia="Arial" w:hAnsi="Arial"/>
          <w:sz w:val="18"/>
          <w:szCs w:val="18"/>
          <w:color w:val="231F20"/>
        </w:rPr>
        <w:t>and</w:t>
      </w:r>
      <w:r>
        <w:rPr>
          <w:rFonts w:ascii="Arial" w:cs="Arial" w:eastAsia="Arial" w:hAnsi="Arial"/>
          <w:sz w:val="18"/>
          <w:szCs w:val="18"/>
          <w:color w:val="000000"/>
        </w:rPr>
        <w:t xml:space="preserve"> $1.2 million</w:t>
      </w:r>
      <w:r>
        <w:rPr>
          <w:rFonts w:ascii="Arial" w:cs="Arial" w:eastAsia="Arial" w:hAnsi="Arial"/>
          <w:sz w:val="18"/>
          <w:szCs w:val="18"/>
          <w:color w:val="231F20"/>
        </w:rPr>
        <w:t>,</w:t>
      </w:r>
      <w:r>
        <w:rPr>
          <w:rFonts w:ascii="Arial" w:cs="Arial" w:eastAsia="Arial" w:hAnsi="Arial"/>
          <w:sz w:val="18"/>
          <w:szCs w:val="18"/>
          <w:color w:val="000000"/>
        </w:rPr>
        <w:t xml:space="preserve"> </w:t>
      </w:r>
      <w:r>
        <w:rPr>
          <w:rFonts w:ascii="Arial" w:cs="Arial" w:eastAsia="Arial" w:hAnsi="Arial"/>
          <w:sz w:val="18"/>
          <w:szCs w:val="18"/>
          <w:color w:val="231F20"/>
        </w:rPr>
        <w:t>respectively. The capital lease obligations are secured by the related software.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Physical scanner appliances and other computer equipment that are or will be subject to subscriptions by customers have a net carrying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value of </w:t>
      </w:r>
      <w:r>
        <w:rPr>
          <w:rFonts w:ascii="Arial" w:cs="Arial" w:eastAsia="Arial" w:hAnsi="Arial"/>
          <w:sz w:val="18"/>
          <w:szCs w:val="18"/>
          <w:color w:val="000000"/>
        </w:rPr>
        <w:t>$4.9</w:t>
      </w:r>
      <w:r>
        <w:rPr>
          <w:rFonts w:ascii="Arial" w:cs="Arial" w:eastAsia="Arial" w:hAnsi="Arial"/>
          <w:sz w:val="18"/>
          <w:szCs w:val="18"/>
          <w:color w:val="231F20"/>
        </w:rPr>
        <w:t xml:space="preserve"> million and </w:t>
      </w:r>
      <w:r>
        <w:rPr>
          <w:rFonts w:ascii="Arial" w:cs="Arial" w:eastAsia="Arial" w:hAnsi="Arial"/>
          <w:sz w:val="18"/>
          <w:szCs w:val="18"/>
          <w:color w:val="000000"/>
        </w:rPr>
        <w:t>$5.5</w:t>
      </w:r>
      <w:r>
        <w:rPr>
          <w:rFonts w:ascii="Arial" w:cs="Arial" w:eastAsia="Arial" w:hAnsi="Arial"/>
          <w:sz w:val="18"/>
          <w:szCs w:val="18"/>
          <w:color w:val="231F20"/>
        </w:rPr>
        <w:t xml:space="preserve"> million at </w:t>
      </w:r>
      <w:r>
        <w:rPr>
          <w:rFonts w:ascii="Arial" w:cs="Arial" w:eastAsia="Arial" w:hAnsi="Arial"/>
          <w:sz w:val="18"/>
          <w:szCs w:val="18"/>
          <w:color w:val="000000"/>
        </w:rPr>
        <w:t>September 30, 2013</w:t>
      </w:r>
      <w:r>
        <w:rPr>
          <w:rFonts w:ascii="Arial" w:cs="Arial" w:eastAsia="Arial" w:hAnsi="Arial"/>
          <w:sz w:val="18"/>
          <w:szCs w:val="18"/>
          <w:color w:val="231F20"/>
        </w:rPr>
        <w:t xml:space="preserve"> and December 31, 2012, respectively, including assets that have not been placed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in service of </w:t>
      </w:r>
      <w:r>
        <w:rPr>
          <w:rFonts w:ascii="Arial" w:cs="Arial" w:eastAsia="Arial" w:hAnsi="Arial"/>
          <w:sz w:val="18"/>
          <w:szCs w:val="18"/>
          <w:color w:val="000000"/>
        </w:rPr>
        <w:t>$1.0</w:t>
      </w:r>
      <w:r>
        <w:rPr>
          <w:rFonts w:ascii="Arial" w:cs="Arial" w:eastAsia="Arial" w:hAnsi="Arial"/>
          <w:sz w:val="18"/>
          <w:szCs w:val="18"/>
          <w:color w:val="231F20"/>
        </w:rPr>
        <w:t xml:space="preserve"> million and </w:t>
      </w:r>
      <w:r>
        <w:rPr>
          <w:rFonts w:ascii="Arial" w:cs="Arial" w:eastAsia="Arial" w:hAnsi="Arial"/>
          <w:sz w:val="18"/>
          <w:szCs w:val="18"/>
          <w:color w:val="000000"/>
        </w:rPr>
        <w:t>$1.5</w:t>
      </w:r>
      <w:r>
        <w:rPr>
          <w:rFonts w:ascii="Arial" w:cs="Arial" w:eastAsia="Arial" w:hAnsi="Arial"/>
          <w:sz w:val="18"/>
          <w:szCs w:val="18"/>
          <w:color w:val="231F20"/>
        </w:rPr>
        <w:t xml:space="preserve"> million, respectively. Other fixed assets not placed in service, included in computer equipment and leasehold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improvements, relate to new information technology systems and tenant improvements and totaled approximately </w:t>
      </w:r>
      <w:r>
        <w:rPr>
          <w:rFonts w:ascii="Arial" w:cs="Arial" w:eastAsia="Arial" w:hAnsi="Arial"/>
          <w:sz w:val="18"/>
          <w:szCs w:val="18"/>
          <w:color w:val="000000"/>
        </w:rPr>
        <w:t>$1.7</w:t>
      </w:r>
      <w:r>
        <w:rPr>
          <w:rFonts w:ascii="Arial" w:cs="Arial" w:eastAsia="Arial" w:hAnsi="Arial"/>
          <w:sz w:val="18"/>
          <w:szCs w:val="18"/>
          <w:color w:val="231F20"/>
        </w:rPr>
        <w:t xml:space="preserve"> million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30, 2013 </w:t>
      </w:r>
      <w:r>
        <w:rPr>
          <w:rFonts w:ascii="Arial" w:cs="Arial" w:eastAsia="Arial" w:hAnsi="Arial"/>
          <w:sz w:val="18"/>
          <w:szCs w:val="18"/>
          <w:color w:val="231F20"/>
        </w:rPr>
        <w:t>and December 31, 2012. Depreciation and amortization expense relating to property and equipment, including capitalized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leases, was $2.4 million and $1.7 million for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and 2012, respectively and $6.7 million and $5.1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47"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2012</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1,273</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2,197</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2,516</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2,811</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231F20"/>
        </w:rPr>
        <w:t xml:space="preserve">Intangibles amortization expense was </w:t>
      </w:r>
      <w:r>
        <w:rPr>
          <w:rFonts w:ascii="Arial" w:cs="Arial" w:eastAsia="Arial" w:hAnsi="Arial"/>
          <w:sz w:val="18"/>
          <w:szCs w:val="18"/>
          <w:color w:val="000000"/>
        </w:rPr>
        <w:t>$0.1</w:t>
      </w:r>
      <w:r>
        <w:rPr>
          <w:rFonts w:ascii="Arial" w:cs="Arial" w:eastAsia="Arial" w:hAnsi="Arial"/>
          <w:sz w:val="18"/>
          <w:szCs w:val="18"/>
          <w:color w:val="231F20"/>
        </w:rPr>
        <w:t xml:space="preserve"> million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and </w:t>
      </w:r>
      <w:r>
        <w:rPr>
          <w:rFonts w:ascii="Arial" w:cs="Arial" w:eastAsia="Arial" w:hAnsi="Arial"/>
          <w:sz w:val="18"/>
          <w:szCs w:val="18"/>
          <w:color w:val="000000"/>
        </w:rPr>
        <w:t>$0.3 million</w:t>
      </w:r>
      <w:r>
        <w:rPr>
          <w:rFonts w:ascii="Arial" w:cs="Arial" w:eastAsia="Arial" w:hAnsi="Arial"/>
          <w:sz w:val="18"/>
          <w:szCs w:val="18"/>
          <w:color w:val="231F20"/>
        </w:rPr>
        <w:t xml:space="preserve"> for the </w:t>
      </w:r>
      <w:r>
        <w:rPr>
          <w:rFonts w:ascii="Arial" w:cs="Arial" w:eastAsia="Arial" w:hAnsi="Arial"/>
          <w:sz w:val="18"/>
          <w:szCs w:val="18"/>
          <w:color w:val="000000"/>
        </w:rPr>
        <w:t xml:space="preserve">nine months ended September 30,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2013</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2013</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2014</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372</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669</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September 30, 2013</w:t>
      </w:r>
      <w:r>
        <w:rPr>
          <w:rFonts w:ascii="Arial" w:cs="Arial" w:eastAsia="Arial" w:hAnsi="Arial"/>
          <w:sz w:val="18"/>
          <w:szCs w:val="18"/>
          <w:color w:val="231F20"/>
        </w:rPr>
        <w:t xml:space="preserve"> and December 31, </w:t>
      </w:r>
      <w:r>
        <w:rPr>
          <w:rFonts w:ascii="Arial" w:cs="Arial" w:eastAsia="Arial" w:hAnsi="Arial"/>
          <w:sz w:val="18"/>
          <w:szCs w:val="18"/>
          <w:color w:val="000000"/>
        </w:rPr>
        <w:t>2012</w:t>
      </w:r>
      <w:r>
        <w:rPr>
          <w:rFonts w:ascii="Arial" w:cs="Arial" w:eastAsia="Arial" w:hAnsi="Arial"/>
          <w:sz w:val="18"/>
          <w:szCs w:val="18"/>
          <w:color w:val="231F20"/>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 xml:space="preserve">The Company leases certain computer equipment and its corporate office and data center facilities under noncancelable operating leases for varying periods through 2019. The Company has also entered into capital lease obligations, with varying interest rates from </w:t>
      </w:r>
      <w:r>
        <w:rPr>
          <w:rFonts w:ascii="Arial" w:cs="Arial" w:eastAsia="Arial" w:hAnsi="Arial"/>
          <w:sz w:val="18"/>
          <w:szCs w:val="18"/>
          <w:color w:val="000000"/>
        </w:rPr>
        <w:t>1.8%</w:t>
      </w:r>
      <w:r>
        <w:rPr>
          <w:rFonts w:ascii="Arial" w:cs="Arial" w:eastAsia="Arial" w:hAnsi="Arial"/>
          <w:sz w:val="18"/>
          <w:szCs w:val="18"/>
          <w:color w:val="231F20"/>
        </w:rPr>
        <w:t xml:space="preserve"> to </w:t>
      </w:r>
      <w:r>
        <w:rPr>
          <w:rFonts w:ascii="Arial" w:cs="Arial" w:eastAsia="Arial" w:hAnsi="Arial"/>
          <w:sz w:val="18"/>
          <w:szCs w:val="18"/>
          <w:color w:val="000000"/>
        </w:rPr>
        <w:t>4.0%</w:t>
      </w:r>
      <w:r>
        <w:rPr>
          <w:rFonts w:ascii="Arial" w:cs="Arial" w:eastAsia="Arial" w:hAnsi="Arial"/>
          <w:sz w:val="18"/>
          <w:szCs w:val="18"/>
          <w:color w:val="231F20"/>
        </w:rPr>
        <w:t>, a portion of which are secured by the related computer software as of</w:t>
      </w:r>
      <w:r>
        <w:rPr>
          <w:rFonts w:ascii="Arial" w:cs="Arial" w:eastAsia="Arial" w:hAnsi="Arial"/>
          <w:sz w:val="18"/>
          <w:szCs w:val="18"/>
          <w:color w:val="000000"/>
        </w:rPr>
        <w:t xml:space="preserve"> September 30, 2013 </w:t>
      </w:r>
      <w:r>
        <w:rPr>
          <w:rFonts w:ascii="Arial" w:cs="Arial" w:eastAsia="Arial" w:hAnsi="Arial"/>
          <w:sz w:val="18"/>
          <w:szCs w:val="18"/>
          <w:color w:val="231F20"/>
        </w:rPr>
        <w:t>and December 31, 2012.</w:t>
      </w:r>
    </w:p>
    <w:p>
      <w:pPr>
        <w:spacing w:after="0" w:line="161"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In connection with this transaction, the Company also has minimum obligations for related maintenance and support, which was amended in June 2013. The minimum obligations were </w:t>
      </w:r>
      <w:r>
        <w:rPr>
          <w:rFonts w:ascii="Arial" w:cs="Arial" w:eastAsia="Arial" w:hAnsi="Arial"/>
          <w:sz w:val="18"/>
          <w:szCs w:val="18"/>
          <w:color w:val="000000"/>
        </w:rPr>
        <w:t>$0.4 million</w:t>
      </w:r>
      <w:r>
        <w:rPr>
          <w:rFonts w:ascii="Arial" w:cs="Arial" w:eastAsia="Arial" w:hAnsi="Arial"/>
          <w:sz w:val="18"/>
          <w:szCs w:val="18"/>
          <w:color w:val="231F20"/>
        </w:rPr>
        <w:t xml:space="preserve"> and </w:t>
      </w:r>
      <w:r>
        <w:rPr>
          <w:rFonts w:ascii="Arial" w:cs="Arial" w:eastAsia="Arial" w:hAnsi="Arial"/>
          <w:sz w:val="18"/>
          <w:szCs w:val="18"/>
          <w:color w:val="000000"/>
        </w:rPr>
        <w:t>$1.6 million</w:t>
      </w:r>
      <w:r>
        <w:rPr>
          <w:rFonts w:ascii="Arial" w:cs="Arial" w:eastAsia="Arial" w:hAnsi="Arial"/>
          <w:sz w:val="18"/>
          <w:szCs w:val="18"/>
          <w:color w:val="231F20"/>
        </w:rPr>
        <w:t xml:space="preserve"> at </w:t>
      </w:r>
      <w:r>
        <w:rPr>
          <w:rFonts w:ascii="Arial" w:cs="Arial" w:eastAsia="Arial" w:hAnsi="Arial"/>
          <w:sz w:val="18"/>
          <w:szCs w:val="18"/>
          <w:color w:val="000000"/>
        </w:rPr>
        <w:t xml:space="preserve">September 30, 2013 </w:t>
      </w:r>
      <w:r>
        <w:rPr>
          <w:rFonts w:ascii="Arial" w:cs="Arial" w:eastAsia="Arial" w:hAnsi="Arial"/>
          <w:sz w:val="18"/>
          <w:szCs w:val="18"/>
          <w:color w:val="231F20"/>
        </w:rPr>
        <w:t>and</w:t>
      </w:r>
      <w:r>
        <w:rPr>
          <w:rFonts w:ascii="Arial" w:cs="Arial" w:eastAsia="Arial" w:hAnsi="Arial"/>
          <w:sz w:val="18"/>
          <w:szCs w:val="18"/>
          <w:color w:val="000000"/>
        </w:rPr>
        <w:t xml:space="preserve"> December 31, 2012</w:t>
      </w:r>
      <w:r>
        <w:rPr>
          <w:rFonts w:ascii="Arial" w:cs="Arial" w:eastAsia="Arial" w:hAnsi="Arial"/>
          <w:sz w:val="18"/>
          <w:szCs w:val="18"/>
          <w:color w:val="231F20"/>
        </w:rPr>
        <w:t>, respectively. Such obligations for maintenance and support are recorded in current liabilities in</w:t>
      </w:r>
      <w:r>
        <w:rPr>
          <w:rFonts w:ascii="Arial" w:cs="Arial" w:eastAsia="Arial" w:hAnsi="Arial"/>
          <w:sz w:val="18"/>
          <w:szCs w:val="18"/>
          <w:color w:val="000000"/>
        </w:rPr>
        <w:t xml:space="preserve"> </w:t>
      </w:r>
      <w:r>
        <w:rPr>
          <w:rFonts w:ascii="Arial" w:cs="Arial" w:eastAsia="Arial" w:hAnsi="Arial"/>
          <w:sz w:val="18"/>
          <w:szCs w:val="18"/>
          <w:color w:val="231F20"/>
        </w:rPr>
        <w:t xml:space="preserve">the condensed consolidated balance sheets at </w:t>
      </w:r>
      <w:r>
        <w:rPr>
          <w:rFonts w:ascii="Arial" w:cs="Arial" w:eastAsia="Arial" w:hAnsi="Arial"/>
          <w:sz w:val="18"/>
          <w:szCs w:val="18"/>
          <w:color w:val="000000"/>
        </w:rPr>
        <w:t>September 30, 2013</w:t>
      </w:r>
      <w:r>
        <w:rPr>
          <w:rFonts w:ascii="Arial" w:cs="Arial" w:eastAsia="Arial" w:hAnsi="Arial"/>
          <w:sz w:val="18"/>
          <w:szCs w:val="18"/>
          <w:color w:val="231F20"/>
        </w:rPr>
        <w:t xml:space="preserve"> and current and noncurrent liabilities at </w:t>
      </w:r>
      <w:r>
        <w:rPr>
          <w:rFonts w:ascii="Arial" w:cs="Arial" w:eastAsia="Arial" w:hAnsi="Arial"/>
          <w:sz w:val="18"/>
          <w:szCs w:val="18"/>
          <w:color w:val="000000"/>
        </w:rPr>
        <w:t>December 31, 2012</w:t>
      </w:r>
      <w:r>
        <w:rPr>
          <w:rFonts w:ascii="Arial" w:cs="Arial" w:eastAsia="Arial" w:hAnsi="Arial"/>
          <w:sz w:val="18"/>
          <w:szCs w:val="18"/>
          <w:color w:val="231F20"/>
        </w:rPr>
        <w:t>.</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September 30, 2013</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3,693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2018 and thereafter</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line="20" w:lineRule="exact"/>
              <w:rPr>
                <w:sz w:val="1"/>
                <w:szCs w:val="1"/>
                <w:color w:val="auto"/>
              </w:rPr>
            </w:pPr>
          </w:p>
        </w:tc>
      </w:tr>
      <w:tr>
        <w:trPr>
          <w:trHeight w:val="247"/>
        </w:trPr>
        <w:tc>
          <w:tcPr>
            <w:tcW w:w="79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$1.3 million</w:t>
      </w:r>
      <w:r>
        <w:rPr>
          <w:rFonts w:ascii="Arial" w:cs="Arial" w:eastAsia="Arial" w:hAnsi="Arial"/>
          <w:sz w:val="18"/>
          <w:szCs w:val="18"/>
          <w:color w:val="231F20"/>
        </w:rPr>
        <w:t xml:space="preserve"> and </w:t>
      </w:r>
      <w:r>
        <w:rPr>
          <w:rFonts w:ascii="Arial" w:cs="Arial" w:eastAsia="Arial" w:hAnsi="Arial"/>
          <w:sz w:val="18"/>
          <w:szCs w:val="18"/>
          <w:color w:val="000000"/>
        </w:rPr>
        <w:t>$ 1.1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and </w:t>
      </w:r>
      <w:r>
        <w:rPr>
          <w:rFonts w:ascii="Arial" w:cs="Arial" w:eastAsia="Arial" w:hAnsi="Arial"/>
          <w:sz w:val="18"/>
          <w:szCs w:val="18"/>
          <w:color w:val="000000"/>
        </w:rPr>
        <w:t>$4.0 million</w:t>
      </w:r>
      <w:r>
        <w:rPr>
          <w:rFonts w:ascii="Arial" w:cs="Arial" w:eastAsia="Arial" w:hAnsi="Arial"/>
          <w:sz w:val="18"/>
          <w:szCs w:val="18"/>
          <w:color w:val="231F20"/>
        </w:rPr>
        <w:t xml:space="preserve"> </w:t>
      </w:r>
      <w:r>
        <w:rPr>
          <w:rFonts w:ascii="Arial" w:cs="Arial" w:eastAsia="Arial" w:hAnsi="Arial"/>
          <w:sz w:val="18"/>
          <w:szCs w:val="18"/>
          <w:color w:val="000000"/>
        </w:rPr>
        <w:t xml:space="preserve">and $3.1 million for the nine months ended September 30, 2013 and 2012, </w:t>
      </w:r>
      <w:r>
        <w:rPr>
          <w:rFonts w:ascii="Arial" w:cs="Arial" w:eastAsia="Arial" w:hAnsi="Arial"/>
          <w:sz w:val="18"/>
          <w:szCs w:val="18"/>
          <w:color w:val="231F20"/>
        </w:rPr>
        <w:t>respectively. Although certain of the operating lease agreements</w:t>
      </w:r>
      <w:r>
        <w:rPr>
          <w:rFonts w:ascii="Arial" w:cs="Arial" w:eastAsia="Arial" w:hAnsi="Arial"/>
          <w:sz w:val="18"/>
          <w:szCs w:val="18"/>
          <w:color w:val="000000"/>
        </w:rPr>
        <w:t xml:space="preserve"> </w:t>
      </w:r>
      <w:r>
        <w:rPr>
          <w:rFonts w:ascii="Arial" w:cs="Arial" w:eastAsia="Arial" w:hAnsi="Arial"/>
          <w:sz w:val="18"/>
          <w:szCs w:val="18"/>
          <w:color w:val="231F20"/>
        </w:rPr>
        <w:t xml:space="preserve">provide for escalating rent payments over the terms of the leases, rent expense under these agreements is recognized on a straight-line basis. As of </w:t>
      </w:r>
      <w:r>
        <w:rPr>
          <w:rFonts w:ascii="Arial" w:cs="Arial" w:eastAsia="Arial" w:hAnsi="Arial"/>
          <w:sz w:val="18"/>
          <w:szCs w:val="18"/>
          <w:color w:val="000000"/>
        </w:rPr>
        <w:t>September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has accrued </w:t>
      </w:r>
      <w:r>
        <w:rPr>
          <w:rFonts w:ascii="Arial" w:cs="Arial" w:eastAsia="Arial" w:hAnsi="Arial"/>
          <w:sz w:val="18"/>
          <w:szCs w:val="18"/>
          <w:color w:val="000000"/>
        </w:rPr>
        <w:t>$0.5 million</w:t>
      </w:r>
      <w:r>
        <w:rPr>
          <w:rFonts w:ascii="Arial" w:cs="Arial" w:eastAsia="Arial" w:hAnsi="Arial"/>
          <w:sz w:val="18"/>
          <w:szCs w:val="18"/>
          <w:color w:val="231F20"/>
        </w:rPr>
        <w:t xml:space="preserve"> of deferred rent related to these agreements, which is reflected in other noncurrent liabilities in the accompanying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amounts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$0.4 million</w:t>
      </w:r>
      <w:r>
        <w:rPr>
          <w:rFonts w:ascii="Arial" w:cs="Arial" w:eastAsia="Arial" w:hAnsi="Arial"/>
          <w:sz w:val="18"/>
          <w:szCs w:val="18"/>
          <w:color w:val="231F20"/>
        </w:rPr>
        <w:t xml:space="preserve"> at </w:t>
      </w:r>
      <w:r>
        <w:rPr>
          <w:rFonts w:ascii="Arial" w:cs="Arial" w:eastAsia="Arial" w:hAnsi="Arial"/>
          <w:sz w:val="18"/>
          <w:szCs w:val="18"/>
          <w:color w:val="000000"/>
        </w:rPr>
        <w:t>September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which is recorded within accrued liabilities in the 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September 30, 2013</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September 30, 2013</w:t>
      </w:r>
      <w:r>
        <w:rPr>
          <w:rFonts w:ascii="Arial" w:cs="Arial" w:eastAsia="Arial" w:hAnsi="Arial"/>
          <w:sz w:val="18"/>
          <w:szCs w:val="18"/>
          <w:color w:val="231F20"/>
        </w:rPr>
        <w:t>, other than an accrual for sales and other taxes, the Company has not recorded any material liabilities in accordance with</w:t>
      </w:r>
      <w:r>
        <w:rPr>
          <w:rFonts w:ascii="Arial" w:cs="Arial" w:eastAsia="Arial" w:hAnsi="Arial"/>
          <w:sz w:val="18"/>
          <w:szCs w:val="18"/>
          <w:color w:val="000000"/>
        </w:rPr>
        <w:t xml:space="preserve"> </w:t>
      </w:r>
      <w:r>
        <w:rPr>
          <w:rFonts w:ascii="Arial" w:cs="Arial" w:eastAsia="Arial" w:hAnsi="Arial"/>
          <w:sz w:val="18"/>
          <w:szCs w:val="18"/>
          <w:color w:val="231F20"/>
        </w:rPr>
        <w:t>accounting for contingencies.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3,050,000</w:t>
      </w:r>
      <w:r>
        <w:rPr>
          <w:rFonts w:ascii="Arial" w:cs="Arial" w:eastAsia="Arial" w:hAnsi="Arial"/>
          <w:sz w:val="18"/>
          <w:szCs w:val="18"/>
          <w:color w:val="231F20"/>
        </w:rPr>
        <w:t xml:space="preserve"> shares of common stock. The number of shares of common stock available for issuance under the 2012 Plan includes an annual increase on January 1 of each year starting on January 1, 2014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Options, SARs, RSAs, RSUs, performance units and performance awards may be granted with vesting terms as determined by the board of directors and expire no more than </w:t>
      </w:r>
      <w:r>
        <w:rPr>
          <w:rFonts w:ascii="Arial" w:cs="Arial" w:eastAsia="Arial" w:hAnsi="Arial"/>
          <w:sz w:val="18"/>
          <w:szCs w:val="18"/>
          <w:color w:val="000000"/>
        </w:rPr>
        <w:t>ten</w:t>
      </w:r>
      <w:r>
        <w:rPr>
          <w:rFonts w:ascii="Arial" w:cs="Arial" w:eastAsia="Arial" w:hAnsi="Arial"/>
          <w:sz w:val="18"/>
          <w:szCs w:val="18"/>
          <w:color w:val="231F20"/>
        </w:rPr>
        <w:t xml:space="preserve"> years after the date of grant or earlier if employment or service is terminated. As of September 30, 2013, </w:t>
      </w:r>
      <w:r>
        <w:rPr>
          <w:rFonts w:ascii="Arial" w:cs="Arial" w:eastAsia="Arial" w:hAnsi="Arial"/>
          <w:sz w:val="18"/>
          <w:szCs w:val="18"/>
          <w:color w:val="000000"/>
        </w:rPr>
        <w:t>1,613,525</w:t>
      </w:r>
      <w:r>
        <w:rPr>
          <w:rFonts w:ascii="Arial" w:cs="Arial" w:eastAsia="Arial" w:hAnsi="Arial"/>
          <w:sz w:val="18"/>
          <w:szCs w:val="18"/>
          <w:color w:val="231F20"/>
        </w:rPr>
        <w:t xml:space="preserve"> shares were available for grant under the 2012 Plan.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initial public offering ("IPO"), and accordingly, no shares are currently available for issuance under the 2000 Plan. The 2000 Plan continues to govern outstanding awards granted thereunder.</w:t>
      </w:r>
    </w:p>
    <w:p>
      <w:pPr>
        <w:spacing w:after="0" w:line="209" w:lineRule="exact"/>
        <w:rPr>
          <w:sz w:val="20"/>
          <w:szCs w:val="20"/>
          <w:color w:val="auto"/>
        </w:rPr>
      </w:pPr>
    </w:p>
    <w:p>
      <w:pPr>
        <w:ind w:right="180" w:firstLine="405"/>
        <w:spacing w:after="0" w:line="251"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As of </w:t>
      </w:r>
      <w:r>
        <w:rPr>
          <w:rFonts w:ascii="Arial" w:cs="Arial" w:eastAsia="Arial" w:hAnsi="Arial"/>
          <w:sz w:val="18"/>
          <w:szCs w:val="18"/>
          <w:color w:val="000000"/>
        </w:rPr>
        <w:t>September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xml:space="preserve">, there were </w:t>
      </w:r>
      <w:r>
        <w:rPr>
          <w:rFonts w:ascii="Arial" w:cs="Arial" w:eastAsia="Arial" w:hAnsi="Arial"/>
          <w:sz w:val="18"/>
          <w:szCs w:val="18"/>
          <w:color w:val="000000"/>
        </w:rPr>
        <w:t>20,336</w:t>
      </w:r>
      <w:r>
        <w:rPr>
          <w:rFonts w:ascii="Arial" w:cs="Arial" w:eastAsia="Arial" w:hAnsi="Arial"/>
          <w:sz w:val="18"/>
          <w:szCs w:val="18"/>
          <w:color w:val="231F20"/>
        </w:rPr>
        <w:t xml:space="preserve"> and </w:t>
      </w:r>
      <w:r>
        <w:rPr>
          <w:rFonts w:ascii="Arial" w:cs="Arial" w:eastAsia="Arial" w:hAnsi="Arial"/>
          <w:sz w:val="18"/>
          <w:szCs w:val="18"/>
          <w:color w:val="000000"/>
        </w:rPr>
        <w:t>47,220</w:t>
      </w:r>
      <w:r>
        <w:rPr>
          <w:rFonts w:ascii="Arial" w:cs="Arial" w:eastAsia="Arial" w:hAnsi="Arial"/>
          <w:sz w:val="18"/>
          <w:szCs w:val="18"/>
          <w:color w:val="231F20"/>
        </w:rPr>
        <w:t xml:space="preserve"> shares, respectively, that were subject to the Company’s right to repurchase. The Company repurchased 125 unvested common shares in the three and nine months ended September 30, 2013. There were no shares repurchased during the three months ended September 30, 2012. For the nine months ended September 30, 2012, the Company repurchased 60,125 unvested common shares. The amounts paid for these shares purchased under an early exercise of stock options are not reported as a component of stockholders’ equity until those shares vest. The amounts received in exchange for these shares totaled $0.1 million and </w:t>
      </w:r>
      <w:r>
        <w:rPr>
          <w:rFonts w:ascii="Arial" w:cs="Arial" w:eastAsia="Arial" w:hAnsi="Arial"/>
          <w:sz w:val="18"/>
          <w:szCs w:val="18"/>
          <w:color w:val="000000"/>
        </w:rPr>
        <w:t>$0.3 million</w:t>
      </w:r>
      <w:r>
        <w:rPr>
          <w:rFonts w:ascii="Arial" w:cs="Arial" w:eastAsia="Arial" w:hAnsi="Arial"/>
          <w:sz w:val="18"/>
          <w:szCs w:val="18"/>
          <w:color w:val="231F20"/>
        </w:rPr>
        <w:t xml:space="preserve"> as of September 30, 2013 and </w:t>
      </w:r>
      <w:r>
        <w:rPr>
          <w:rFonts w:ascii="Arial" w:cs="Arial" w:eastAsia="Arial" w:hAnsi="Arial"/>
          <w:sz w:val="18"/>
          <w:szCs w:val="18"/>
          <w:color w:val="000000"/>
        </w:rPr>
        <w:t>December 31, 2012</w:t>
      </w:r>
      <w:r>
        <w:rPr>
          <w:rFonts w:ascii="Arial" w:cs="Arial" w:eastAsia="Arial" w:hAnsi="Arial"/>
          <w:sz w:val="18"/>
          <w:szCs w:val="18"/>
          <w:color w:val="231F20"/>
        </w:rPr>
        <w:t>, respectively, have been recorded as an accrued liability in the accompanying condensed consolidated balance sheets and will be reclassified to common stock and additional paid-in capital as the shares vest.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1" w:right="2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Employee stock-based compensation is included in the condensed consolidated statements of operations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4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47"/>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6"/>
          </w:tcPr>
          <w:p>
            <w:pPr>
              <w:ind w:left="8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1,226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260" w:firstLine="486"/>
        <w:spacing w:after="0" w:line="291"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2013</w:t>
      </w:r>
      <w:r>
        <w:rPr>
          <w:rFonts w:ascii="Arial" w:cs="Arial" w:eastAsia="Arial" w:hAnsi="Arial"/>
          <w:sz w:val="17"/>
          <w:szCs w:val="17"/>
          <w:color w:val="231F20"/>
        </w:rPr>
        <w:t xml:space="preserve"> and </w:t>
      </w:r>
      <w:r>
        <w:rPr>
          <w:rFonts w:ascii="Arial" w:cs="Arial" w:eastAsia="Arial" w:hAnsi="Arial"/>
          <w:sz w:val="17"/>
          <w:szCs w:val="17"/>
          <w:color w:val="000000"/>
        </w:rPr>
        <w:t>December 31, 2012</w:t>
      </w:r>
      <w:r>
        <w:rPr>
          <w:rFonts w:ascii="Arial" w:cs="Arial" w:eastAsia="Arial" w:hAnsi="Arial"/>
          <w:sz w:val="17"/>
          <w:szCs w:val="17"/>
          <w:color w:val="231F20"/>
        </w:rPr>
        <w:t xml:space="preserve">, the Company had </w:t>
      </w:r>
      <w:r>
        <w:rPr>
          <w:rFonts w:ascii="Arial" w:cs="Arial" w:eastAsia="Arial" w:hAnsi="Arial"/>
          <w:sz w:val="17"/>
          <w:szCs w:val="17"/>
          <w:color w:val="000000"/>
        </w:rPr>
        <w:t>$8.7 million</w:t>
      </w:r>
      <w:r>
        <w:rPr>
          <w:rFonts w:ascii="Arial" w:cs="Arial" w:eastAsia="Arial" w:hAnsi="Arial"/>
          <w:sz w:val="17"/>
          <w:szCs w:val="17"/>
          <w:color w:val="231F20"/>
        </w:rPr>
        <w:t xml:space="preserve"> and $5.8 million, respectively, of total unrecognized employee compensation cost related to nonvested awards that it expects to recognize over a weighted-average period of </w:t>
      </w:r>
      <w:r>
        <w:rPr>
          <w:rFonts w:ascii="Arial" w:cs="Arial" w:eastAsia="Arial" w:hAnsi="Arial"/>
          <w:sz w:val="17"/>
          <w:szCs w:val="17"/>
          <w:color w:val="000000"/>
        </w:rPr>
        <w:t>2</w:t>
      </w:r>
      <w:r>
        <w:rPr>
          <w:rFonts w:ascii="Arial" w:cs="Arial" w:eastAsia="Arial" w:hAnsi="Arial"/>
          <w:sz w:val="17"/>
          <w:szCs w:val="17"/>
          <w:color w:val="231F20"/>
        </w:rPr>
        <w:t xml:space="preserve"> years.</w:t>
      </w:r>
    </w:p>
    <w:p>
      <w:pPr>
        <w:spacing w:after="0" w:line="21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rPr>
              <w:t>Nine months ended</w:t>
            </w:r>
          </w:p>
        </w:tc>
        <w:tc>
          <w:tcPr>
            <w:tcW w:w="760" w:type="dxa"/>
            <w:vAlign w:val="bottom"/>
          </w:tcPr>
          <w:p>
            <w:pPr>
              <w:spacing w:after="0"/>
              <w:rPr>
                <w:sz w:val="18"/>
                <w:szCs w:val="18"/>
                <w:color w:val="auto"/>
              </w:rPr>
            </w:pPr>
          </w:p>
        </w:tc>
      </w:tr>
      <w:tr>
        <w:trPr>
          <w:trHeight w:val="283"/>
        </w:trPr>
        <w:tc>
          <w:tcPr>
            <w:tcW w:w="4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24"/>
                <w:szCs w:val="24"/>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2012</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940" w:type="dxa"/>
            <w:vAlign w:val="bottom"/>
          </w:tcPr>
          <w:p>
            <w:pPr>
              <w:jc w:val="right"/>
              <w:spacing w:after="0"/>
              <w:rPr>
                <w:sz w:val="20"/>
                <w:szCs w:val="20"/>
                <w:color w:val="auto"/>
              </w:rPr>
            </w:pPr>
            <w:r>
              <w:rPr>
                <w:rFonts w:ascii="Arial" w:cs="Arial" w:eastAsia="Arial" w:hAnsi="Arial"/>
                <w:sz w:val="16"/>
                <w:szCs w:val="16"/>
                <w:color w:val="auto"/>
              </w:rPr>
              <w:t>52% to</w:t>
            </w:r>
          </w:p>
        </w:tc>
        <w:tc>
          <w:tcPr>
            <w:tcW w:w="780" w:type="dxa"/>
            <w:vAlign w:val="bottom"/>
          </w:tcPr>
          <w:p>
            <w:pPr>
              <w:ind w:left="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 to</w:t>
            </w:r>
          </w:p>
        </w:tc>
        <w:tc>
          <w:tcPr>
            <w:tcW w:w="760" w:type="dxa"/>
            <w:vAlign w:val="bottom"/>
          </w:tcPr>
          <w:p>
            <w:pPr>
              <w:ind w:lef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53%</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to</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to</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w:t>
            </w:r>
          </w:p>
        </w:tc>
      </w:tr>
      <w:tr>
        <w:trPr>
          <w:trHeight w:val="251"/>
        </w:trPr>
        <w:tc>
          <w:tcPr>
            <w:tcW w:w="42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94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left="6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r>
    </w:tbl>
    <w:p>
      <w:pPr>
        <w:spacing w:after="0" w:line="2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Non-employee stock-based compensation was </w:t>
      </w:r>
      <w:r>
        <w:rPr>
          <w:rFonts w:ascii="Arial" w:cs="Arial" w:eastAsia="Arial" w:hAnsi="Arial"/>
          <w:sz w:val="18"/>
          <w:szCs w:val="18"/>
          <w:color w:val="000000"/>
        </w:rPr>
        <w:t>$0.4 million</w:t>
      </w:r>
      <w:r>
        <w:rPr>
          <w:rFonts w:ascii="Arial" w:cs="Arial" w:eastAsia="Arial" w:hAnsi="Arial"/>
          <w:sz w:val="18"/>
          <w:szCs w:val="18"/>
          <w:color w:val="231F20"/>
        </w:rPr>
        <w:t xml:space="preserve"> and </w:t>
      </w:r>
      <w:r>
        <w:rPr>
          <w:rFonts w:ascii="Arial" w:cs="Arial" w:eastAsia="Arial" w:hAnsi="Arial"/>
          <w:sz w:val="18"/>
          <w:szCs w:val="18"/>
          <w:color w:val="000000"/>
        </w:rPr>
        <w:t>$0.2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and </w:t>
      </w:r>
      <w:r>
        <w:rPr>
          <w:rFonts w:ascii="Arial" w:cs="Arial" w:eastAsia="Arial" w:hAnsi="Arial"/>
          <w:sz w:val="18"/>
          <w:szCs w:val="18"/>
          <w:color w:val="000000"/>
        </w:rPr>
        <w:t>$ 0.7 million</w:t>
      </w:r>
      <w:r>
        <w:rPr>
          <w:rFonts w:ascii="Arial" w:cs="Arial" w:eastAsia="Arial" w:hAnsi="Arial"/>
          <w:sz w:val="18"/>
          <w:szCs w:val="18"/>
          <w:color w:val="231F20"/>
        </w:rPr>
        <w:t xml:space="preserve"> and </w:t>
      </w:r>
      <w:r>
        <w:rPr>
          <w:rFonts w:ascii="Arial" w:cs="Arial" w:eastAsia="Arial" w:hAnsi="Arial"/>
          <w:sz w:val="18"/>
          <w:szCs w:val="18"/>
          <w:color w:val="000000"/>
        </w:rPr>
        <w:t xml:space="preserve">$0.4 million </w:t>
      </w:r>
      <w:r>
        <w:rPr>
          <w:rFonts w:ascii="Arial" w:cs="Arial" w:eastAsia="Arial" w:hAnsi="Arial"/>
          <w:sz w:val="18"/>
          <w:szCs w:val="18"/>
          <w:color w:val="231F20"/>
        </w:rPr>
        <w:t>for the</w:t>
      </w:r>
      <w:r>
        <w:rPr>
          <w:rFonts w:ascii="Arial" w:cs="Arial" w:eastAsia="Arial" w:hAnsi="Arial"/>
          <w:sz w:val="18"/>
          <w:szCs w:val="18"/>
          <w:color w:val="000000"/>
        </w:rPr>
        <w:t xml:space="preserve"> nine months ended September 30,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 Non-employee stock-based compensation is recognized</w:t>
      </w:r>
      <w:r>
        <w:rPr>
          <w:rFonts w:ascii="Arial" w:cs="Arial" w:eastAsia="Arial" w:hAnsi="Arial"/>
          <w:sz w:val="18"/>
          <w:szCs w:val="18"/>
          <w:color w:val="000000"/>
        </w:rPr>
        <w:t xml:space="preserve"> </w:t>
      </w:r>
      <w:r>
        <w:rPr>
          <w:rFonts w:ascii="Arial" w:cs="Arial" w:eastAsia="Arial" w:hAnsi="Arial"/>
          <w:sz w:val="18"/>
          <w:szCs w:val="18"/>
          <w:color w:val="231F20"/>
        </w:rPr>
        <w:t>over the vesting periods of the options. The value of options granted to non-employees is remeasured as they vest over a performance period.</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4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6,513,508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1,412,325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2013</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6,769,954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103,805</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2013</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6,109,405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96,911</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2013</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5,406,675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82,897</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The terms and conditions of </w:t>
      </w:r>
      <w:r>
        <w:rPr>
          <w:rFonts w:ascii="Arial" w:cs="Arial" w:eastAsia="Arial" w:hAnsi="Arial"/>
          <w:sz w:val="18"/>
          <w:szCs w:val="18"/>
          <w:color w:val="231F20"/>
        </w:rPr>
        <w:t>RSAs</w:t>
      </w:r>
      <w:r>
        <w:rPr>
          <w:rFonts w:ascii="Arial" w:cs="Arial" w:eastAsia="Arial" w:hAnsi="Arial"/>
          <w:sz w:val="18"/>
          <w:szCs w:val="18"/>
          <w:color w:val="auto"/>
        </w:rPr>
        <w:t xml:space="preserve">, including vesting criteria and timing are set by the board of directors. The cost of </w:t>
      </w:r>
      <w:r>
        <w:rPr>
          <w:rFonts w:ascii="Arial" w:cs="Arial" w:eastAsia="Arial" w:hAnsi="Arial"/>
          <w:sz w:val="18"/>
          <w:szCs w:val="18"/>
          <w:color w:val="231F20"/>
        </w:rPr>
        <w:t>RSAs</w:t>
      </w:r>
      <w:r>
        <w:rPr>
          <w:rFonts w:ascii="Arial" w:cs="Arial" w:eastAsia="Arial" w:hAnsi="Arial"/>
          <w:sz w:val="18"/>
          <w:szCs w:val="18"/>
          <w:color w:val="auto"/>
        </w:rPr>
        <w:t xml:space="preserve"> is determined using the fair value of the Company’s common stock on the date of the grant. Compensation cost is recognized on a straight-line basis over the requisite service period of each grant adjusted for estimated forfeitures. Recipients of </w:t>
      </w:r>
      <w:r>
        <w:rPr>
          <w:rFonts w:ascii="Arial" w:cs="Arial" w:eastAsia="Arial" w:hAnsi="Arial"/>
          <w:sz w:val="18"/>
          <w:szCs w:val="18"/>
          <w:color w:val="231F20"/>
        </w:rPr>
        <w:t>RSAs</w:t>
      </w:r>
      <w:r>
        <w:rPr>
          <w:rFonts w:ascii="Arial" w:cs="Arial" w:eastAsia="Arial" w:hAnsi="Arial"/>
          <w:sz w:val="18"/>
          <w:szCs w:val="18"/>
          <w:color w:val="auto"/>
        </w:rPr>
        <w:t xml:space="preserve"> generally have voting and dividend rights without regard to vesting. The Company has the right to repurchase shares that do not vest.</w:t>
      </w:r>
    </w:p>
    <w:p>
      <w:pPr>
        <w:spacing w:after="0" w:line="204"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During the nine months ended September 30, 2013 and 2012, the Company granted 1,900 and 2,750 shares of restricted stock, respectively, which vested immediately and had no further restrictions or service period, and resulted in compensation expense of $20,000 and $32,000 for the nine months ended September 30, 2013 and 2012,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420" w:type="dxa"/>
            <w:vAlign w:val="bottom"/>
          </w:tcPr>
          <w:p>
            <w:pPr>
              <w:spacing w:after="0"/>
              <w:rPr>
                <w:sz w:val="18"/>
                <w:szCs w:val="18"/>
                <w:color w:val="auto"/>
              </w:rPr>
            </w:pPr>
          </w:p>
        </w:tc>
      </w:tr>
      <w:tr>
        <w:trPr>
          <w:trHeight w:val="283"/>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w w:val="98"/>
              </w:rPr>
              <w:t>September 30,</w:t>
            </w:r>
          </w:p>
        </w:tc>
        <w:tc>
          <w:tcPr>
            <w:tcW w:w="42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22"/>
                <w:szCs w:val="22"/>
                <w:color w:val="auto"/>
              </w:rPr>
            </w:pPr>
          </w:p>
        </w:tc>
      </w:tr>
      <w:tr>
        <w:trPr>
          <w:trHeight w:val="247"/>
        </w:trPr>
        <w:tc>
          <w:tcPr>
            <w:tcW w:w="5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gains (losses), net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4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 xml:space="preserve">The provision for income taxes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and 2012 primarily reflects the provision for income taxes for foreign and state taxes and certain discrete items.</w:t>
      </w:r>
    </w:p>
    <w:p>
      <w:pPr>
        <w:spacing w:after="0" w:line="19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2013</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$ 3.1 million</w:t>
      </w:r>
      <w:r>
        <w:rPr>
          <w:rFonts w:ascii="Arial" w:cs="Arial" w:eastAsia="Arial" w:hAnsi="Arial"/>
          <w:sz w:val="18"/>
          <w:szCs w:val="18"/>
          <w:color w:val="231F20"/>
        </w:rPr>
        <w:t xml:space="preserve">, of which </w:t>
      </w:r>
      <w:r>
        <w:rPr>
          <w:rFonts w:ascii="Arial" w:cs="Arial" w:eastAsia="Arial" w:hAnsi="Arial"/>
          <w:sz w:val="18"/>
          <w:szCs w:val="18"/>
          <w:color w:val="000000"/>
        </w:rPr>
        <w:t>$0.9 million</w:t>
      </w:r>
      <w:r>
        <w:rPr>
          <w:rFonts w:ascii="Arial" w:cs="Arial" w:eastAsia="Arial" w:hAnsi="Arial"/>
          <w:sz w:val="18"/>
          <w:szCs w:val="18"/>
          <w:color w:val="231F20"/>
        </w:rPr>
        <w:t xml:space="preserve">, if recognized and in absence of a valuation allowance, would favorably impact the Company's effective tax rate. As of </w:t>
      </w:r>
      <w:r>
        <w:rPr>
          <w:rFonts w:ascii="Arial" w:cs="Arial" w:eastAsia="Arial" w:hAnsi="Arial"/>
          <w:sz w:val="18"/>
          <w:szCs w:val="18"/>
          <w:color w:val="000000"/>
        </w:rPr>
        <w:t>December 31, 2012</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$2.6 million</w:t>
      </w:r>
      <w:r>
        <w:rPr>
          <w:rFonts w:ascii="Arial" w:cs="Arial" w:eastAsia="Arial" w:hAnsi="Arial"/>
          <w:sz w:val="18"/>
          <w:szCs w:val="18"/>
          <w:color w:val="231F20"/>
        </w:rPr>
        <w:t xml:space="preserve">, of which </w:t>
      </w:r>
      <w:r>
        <w:rPr>
          <w:rFonts w:ascii="Arial" w:cs="Arial" w:eastAsia="Arial" w:hAnsi="Arial"/>
          <w:sz w:val="18"/>
          <w:szCs w:val="18"/>
          <w:color w:val="000000"/>
        </w:rPr>
        <w:t>$1.0 million</w:t>
      </w:r>
      <w:r>
        <w:rPr>
          <w:rFonts w:ascii="Arial" w:cs="Arial" w:eastAsia="Arial" w:hAnsi="Arial"/>
          <w:sz w:val="18"/>
          <w:szCs w:val="18"/>
          <w:color w:val="231F20"/>
        </w:rPr>
        <w:t>, if recognized and in absence of valuation allowance, would favorably impact the Company's effective tax rate.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25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47"/>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55,750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45,644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7,806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23,173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21,119</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27,749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23,382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78,923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66,763</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2013</w:t>
      </w:r>
      <w:r>
        <w:rPr>
          <w:rFonts w:ascii="Arial" w:cs="Arial" w:eastAsia="Arial" w:hAnsi="Arial"/>
          <w:sz w:val="18"/>
          <w:szCs w:val="18"/>
          <w:color w:val="231F20"/>
        </w:rPr>
        <w:t xml:space="preserve"> and </w:t>
      </w:r>
      <w:r>
        <w:rPr>
          <w:rFonts w:ascii="Arial" w:cs="Arial" w:eastAsia="Arial" w:hAnsi="Arial"/>
          <w:sz w:val="18"/>
          <w:szCs w:val="18"/>
          <w:color w:val="000000"/>
        </w:rPr>
        <w:t>December 31, 2012</w:t>
      </w:r>
      <w:r>
        <w:rPr>
          <w:rFonts w:ascii="Arial" w:cs="Arial" w:eastAsia="Arial" w:hAnsi="Arial"/>
          <w:sz w:val="18"/>
          <w:szCs w:val="18"/>
          <w:color w:val="231F20"/>
        </w:rPr>
        <w:t>, property and equipment located outside the United States were not material.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 Attributable to Common Stockholders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attributable to common stockholders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tcPr>
          <w:p>
            <w:pPr>
              <w:ind w:left="40"/>
              <w:spacing w:after="0"/>
              <w:rPr>
                <w:sz w:val="20"/>
                <w:szCs w:val="20"/>
                <w:color w:val="auto"/>
              </w:rPr>
            </w:pPr>
            <w:r>
              <w:rPr>
                <w:rFonts w:ascii="Arial" w:cs="Arial" w:eastAsia="Arial" w:hAnsi="Arial"/>
                <w:sz w:val="14"/>
                <w:szCs w:val="14"/>
                <w:color w:val="auto"/>
              </w:rPr>
              <w:t>Numerator: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attributable to participating securities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attributable to common stockholders - basic</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Undistributed earnings reallocated to participating securities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243"/>
        </w:trPr>
        <w:tc>
          <w:tcPr>
            <w:tcW w:w="5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attributable to common stockholders - diluted</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Weighted-average shares used in computing net income per share attributable to</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common stockholders - basic</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32,088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31,789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5,540</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Effect of potentially dilutive securities: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Convertible preferred stock</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Common stock options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4,159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3,915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Contingently issuable shares related to an acquisition</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4"/>
        </w:trPr>
        <w:tc>
          <w:tcPr>
            <w:tcW w:w="5620" w:type="dxa"/>
            <w:vAlign w:val="bottom"/>
          </w:tcPr>
          <w:p>
            <w:pPr>
              <w:ind w:left="280"/>
              <w:spacing w:after="0"/>
              <w:rPr>
                <w:sz w:val="20"/>
                <w:szCs w:val="20"/>
                <w:color w:val="auto"/>
              </w:rPr>
            </w:pPr>
            <w:r>
              <w:rPr>
                <w:rFonts w:ascii="Arial" w:cs="Arial" w:eastAsia="Arial" w:hAnsi="Arial"/>
                <w:sz w:val="14"/>
                <w:szCs w:val="14"/>
                <w:color w:val="auto"/>
              </w:rPr>
              <w:t>Weighted-average shares used in computing net income per share attributable to</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36,247</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26,545</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35,704</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25,972</w:t>
            </w:r>
          </w:p>
        </w:tc>
        <w:tc>
          <w:tcPr>
            <w:tcW w:w="0" w:type="dxa"/>
            <w:vAlign w:val="bottom"/>
          </w:tcPr>
          <w:p>
            <w:pPr>
              <w:spacing w:after="0"/>
              <w:rPr>
                <w:sz w:val="1"/>
                <w:szCs w:val="1"/>
                <w:color w:val="auto"/>
              </w:rPr>
            </w:pPr>
          </w:p>
        </w:tc>
      </w:tr>
      <w:tr>
        <w:trPr>
          <w:trHeight w:val="211"/>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common stockholders - 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All of the convertible preferred stock automatically converted to common stock on a 1-for-1 basis in connection with the consummation of the Company's initial public offering. For the three and nine months ended September 30, 2012, the amounts presented in the table above were the weighted average shares of common stock underlying outstanding shares of convertible preferred stock.</w:t>
      </w:r>
    </w:p>
    <w:p>
      <w:pPr>
        <w:spacing w:after="0" w:line="229"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231F20"/>
        </w:rPr>
        <w:t>The following shares were excluded in the calculation of diluted net income per share because their inclusion would have been anti-dilutive: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4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jc w:val="center"/>
              <w:ind w:right="36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1980" w:type="dxa"/>
            <w:vAlign w:val="bottom"/>
            <w:tcBorders>
              <w:bottom w:val="single" w:sz="8" w:color="auto"/>
            </w:tcBorders>
            <w:gridSpan w:val="3"/>
          </w:tcPr>
          <w:p>
            <w:pPr>
              <w:jc w:val="center"/>
              <w:ind w:left="84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options</w:t>
            </w: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1,108</w:t>
            </w:r>
          </w:p>
        </w:tc>
        <w:tc>
          <w:tcPr>
            <w:tcW w:w="1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1,031</w:t>
            </w:r>
          </w:p>
        </w:tc>
      </w:tr>
      <w:tr>
        <w:trPr>
          <w:trHeight w:val="237"/>
        </w:trPr>
        <w:tc>
          <w:tcPr>
            <w:tcW w:w="5620" w:type="dxa"/>
            <w:vAlign w:val="bottom"/>
          </w:tcPr>
          <w:p>
            <w:pPr>
              <w:spacing w:after="0"/>
              <w:rPr>
                <w:sz w:val="20"/>
                <w:szCs w:val="20"/>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1,108</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340"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2012, filed with the Securities and Exchange Commission, or SEC, on March 5, 2013.</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We disclaim any obligation to update any forward-looking statements to reflect events or circumstances after the date of such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12"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7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were founded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84% and 87% for the nine months ended September 30, 2013 and 2012,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w:t>
      </w:r>
    </w:p>
    <w:p>
      <w:pPr>
        <w:spacing w:after="0" w:line="16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 size businesses across a broad range of industries, including education, financial services, government, healthcare, insurance, manufacturing, media, retail, technology and utilities. In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approximately </w:t>
      </w:r>
      <w:r>
        <w:rPr>
          <w:rFonts w:ascii="Arial" w:cs="Arial" w:eastAsia="Arial" w:hAnsi="Arial"/>
          <w:sz w:val="18"/>
          <w:szCs w:val="18"/>
          <w:color w:val="000000"/>
        </w:rPr>
        <w:t>71%</w:t>
      </w:r>
      <w:r>
        <w:rPr>
          <w:rFonts w:ascii="Arial" w:cs="Arial" w:eastAsia="Arial" w:hAnsi="Arial"/>
          <w:sz w:val="18"/>
          <w:szCs w:val="18"/>
          <w:color w:val="231F20"/>
        </w:rPr>
        <w:t xml:space="preserve"> and </w:t>
      </w:r>
      <w:r>
        <w:rPr>
          <w:rFonts w:ascii="Arial" w:cs="Arial" w:eastAsia="Arial" w:hAnsi="Arial"/>
          <w:sz w:val="18"/>
          <w:szCs w:val="18"/>
          <w:color w:val="000000"/>
        </w:rPr>
        <w:t>68%</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09"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60" w:firstLine="405"/>
        <w:spacing w:after="0" w:line="254" w:lineRule="auto"/>
        <w:rPr>
          <w:sz w:val="20"/>
          <w:szCs w:val="20"/>
          <w:color w:val="auto"/>
        </w:rPr>
      </w:pPr>
      <w:r>
        <w:rPr>
          <w:rFonts w:ascii="Arial" w:cs="Arial" w:eastAsia="Arial" w:hAnsi="Arial"/>
          <w:sz w:val="18"/>
          <w:szCs w:val="18"/>
          <w:color w:val="231F20"/>
        </w:rPr>
        <w:t xml:space="preserve">We have had continued revenue growth in the three and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same periods in 2012. Our revenues increased to </w:t>
      </w:r>
      <w:r>
        <w:rPr>
          <w:rFonts w:ascii="Arial" w:cs="Arial" w:eastAsia="Arial" w:hAnsi="Arial"/>
          <w:sz w:val="18"/>
          <w:szCs w:val="18"/>
          <w:color w:val="000000"/>
        </w:rPr>
        <w:t>$27.7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from </w:t>
      </w:r>
      <w:r>
        <w:rPr>
          <w:rFonts w:ascii="Arial" w:cs="Arial" w:eastAsia="Arial" w:hAnsi="Arial"/>
          <w:sz w:val="18"/>
          <w:szCs w:val="18"/>
          <w:color w:val="000000"/>
        </w:rPr>
        <w:t>$23.4 million</w:t>
      </w:r>
      <w:r>
        <w:rPr>
          <w:rFonts w:ascii="Arial" w:cs="Arial" w:eastAsia="Arial" w:hAnsi="Arial"/>
          <w:sz w:val="18"/>
          <w:szCs w:val="18"/>
          <w:color w:val="231F20"/>
        </w:rPr>
        <w:t xml:space="preserve"> for the comparable period in 2012, representing an increase of </w:t>
      </w:r>
      <w:r>
        <w:rPr>
          <w:rFonts w:ascii="Arial" w:cs="Arial" w:eastAsia="Arial" w:hAnsi="Arial"/>
          <w:sz w:val="18"/>
          <w:szCs w:val="18"/>
          <w:color w:val="000000"/>
        </w:rPr>
        <w:t>$4.4 million</w:t>
      </w:r>
      <w:r>
        <w:rPr>
          <w:rFonts w:ascii="Arial" w:cs="Arial" w:eastAsia="Arial" w:hAnsi="Arial"/>
          <w:sz w:val="18"/>
          <w:szCs w:val="18"/>
          <w:color w:val="231F20"/>
        </w:rPr>
        <w:t xml:space="preserve"> or </w:t>
      </w:r>
      <w:r>
        <w:rPr>
          <w:rFonts w:ascii="Arial" w:cs="Arial" w:eastAsia="Arial" w:hAnsi="Arial"/>
          <w:sz w:val="18"/>
          <w:szCs w:val="18"/>
          <w:color w:val="000000"/>
        </w:rPr>
        <w:t>19%</w:t>
      </w:r>
      <w:r>
        <w:rPr>
          <w:rFonts w:ascii="Arial" w:cs="Arial" w:eastAsia="Arial" w:hAnsi="Arial"/>
          <w:sz w:val="18"/>
          <w:szCs w:val="18"/>
          <w:color w:val="231F20"/>
        </w:rPr>
        <w:t xml:space="preserve">. Revenues reached </w:t>
      </w:r>
      <w:r>
        <w:rPr>
          <w:rFonts w:ascii="Arial" w:cs="Arial" w:eastAsia="Arial" w:hAnsi="Arial"/>
          <w:sz w:val="18"/>
          <w:szCs w:val="18"/>
          <w:color w:val="000000"/>
        </w:rPr>
        <w:t>$78.9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w:t>
      </w:r>
      <w:r>
        <w:rPr>
          <w:rFonts w:ascii="Arial" w:cs="Arial" w:eastAsia="Arial" w:hAnsi="Arial"/>
          <w:sz w:val="18"/>
          <w:szCs w:val="18"/>
          <w:color w:val="000000"/>
        </w:rPr>
        <w:t xml:space="preserve">$66.8 million </w:t>
      </w:r>
      <w:r>
        <w:rPr>
          <w:rFonts w:ascii="Arial" w:cs="Arial" w:eastAsia="Arial" w:hAnsi="Arial"/>
          <w:sz w:val="18"/>
          <w:szCs w:val="18"/>
          <w:color w:val="231F20"/>
        </w:rPr>
        <w:t>in the</w:t>
      </w:r>
      <w:r>
        <w:rPr>
          <w:rFonts w:ascii="Arial" w:cs="Arial" w:eastAsia="Arial" w:hAnsi="Arial"/>
          <w:sz w:val="18"/>
          <w:szCs w:val="18"/>
          <w:color w:val="000000"/>
        </w:rPr>
        <w:t xml:space="preserve"> nine months ended September 30, 2012</w:t>
      </w:r>
      <w:r>
        <w:rPr>
          <w:rFonts w:ascii="Arial" w:cs="Arial" w:eastAsia="Arial" w:hAnsi="Arial"/>
          <w:sz w:val="18"/>
          <w:szCs w:val="18"/>
          <w:color w:val="231F20"/>
        </w:rPr>
        <w:t>, representing an increase of</w:t>
      </w:r>
      <w:r>
        <w:rPr>
          <w:rFonts w:ascii="Arial" w:cs="Arial" w:eastAsia="Arial" w:hAnsi="Arial"/>
          <w:sz w:val="18"/>
          <w:szCs w:val="18"/>
          <w:color w:val="000000"/>
        </w:rPr>
        <w:t xml:space="preserve"> $12.2 million</w:t>
      </w:r>
      <w:r>
        <w:rPr>
          <w:rFonts w:ascii="Arial" w:cs="Arial" w:eastAsia="Arial" w:hAnsi="Arial"/>
          <w:sz w:val="18"/>
          <w:szCs w:val="18"/>
          <w:color w:val="231F20"/>
        </w:rPr>
        <w:t>, or</w:t>
      </w:r>
      <w:r>
        <w:rPr>
          <w:rFonts w:ascii="Arial" w:cs="Arial" w:eastAsia="Arial" w:hAnsi="Arial"/>
          <w:sz w:val="18"/>
          <w:szCs w:val="18"/>
          <w:color w:val="000000"/>
        </w:rPr>
        <w:t xml:space="preserve"> 18%</w:t>
      </w:r>
      <w:r>
        <w:rPr>
          <w:rFonts w:ascii="Arial" w:cs="Arial" w:eastAsia="Arial" w:hAnsi="Arial"/>
          <w:sz w:val="18"/>
          <w:szCs w:val="18"/>
          <w:color w:val="231F20"/>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Metrics</w:t>
      </w:r>
    </w:p>
    <w:p>
      <w:pPr>
        <w:spacing w:after="0" w:line="2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Four-Quarter Bookings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monitor Four-Quarter Bookings, a non-GAAP financial measure, which is calculated as revenues for the preceding four quarters plus the change in current deferred revenues for the same period. We believe this metric provides an additional tool for investors to use in assessing our business performance in a way that more fully reflects current business trends than reported revenues and reduces the variations in any particular quarter caused by customer subscription renewals. We believe Four-Quarter Bookings reflects the material sales trends for our business because it includes sales of subscriptions to new customers, as well as subscription renewals and upsells of additional subscriptions to existing customers. Since over 80% of our subscriptions are one year in length, we use current deferred revenues in this metric in order to focus on revenues to be generated over the next four quarters and to exclude the impact of multi-year subscriptions. Under our revenue recognition policy, we record subscription fees as deferred revenues and recognize revenues ratably over the subscription periods. For this reason, substantially all of our revenues for a period are typically generated from subscriptions commencing in prior periods. In addition, subscription renewals may vary during the year based on the date of our customers’ original subscriptions, customer requests to modify subscription periods or other factors.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unaudited table presents the reconciliation of revenues to Four-Quarter Bookings for the four quarters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30, 2013 </w:t>
      </w:r>
      <w:r>
        <w:rPr>
          <w:rFonts w:ascii="Arial" w:cs="Arial" w:eastAsia="Arial" w:hAnsi="Arial"/>
          <w:sz w:val="18"/>
          <w:szCs w:val="18"/>
          <w:color w:val="231F20"/>
        </w:rPr>
        <w:t>and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Four Quarters Ended</w:t>
            </w:r>
          </w:p>
        </w:tc>
      </w:tr>
      <w:tr>
        <w:trPr>
          <w:trHeight w:val="283"/>
        </w:trPr>
        <w:tc>
          <w:tcPr>
            <w:tcW w:w="7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2012</w:t>
            </w:r>
          </w:p>
        </w:tc>
      </w:tr>
      <w:tr>
        <w:trPr>
          <w:trHeight w:val="247"/>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103,580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87,416</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Beginning of the Four-Quarter Period</w:t>
            </w: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51,693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40,413</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Ending</w:t>
            </w:r>
          </w:p>
        </w:tc>
        <w:tc>
          <w:tcPr>
            <w:tcW w:w="3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61,389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51,693</w:t>
            </w:r>
          </w:p>
        </w:tc>
      </w:tr>
      <w:tr>
        <w:trPr>
          <w:trHeight w:val="250"/>
        </w:trPr>
        <w:tc>
          <w:tcPr>
            <w:tcW w:w="7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change</w:t>
            </w:r>
          </w:p>
        </w:tc>
        <w:tc>
          <w:tcPr>
            <w:tcW w:w="3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9,696</w:t>
            </w:r>
          </w:p>
        </w:tc>
        <w:tc>
          <w:tcPr>
            <w:tcW w:w="10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11,280</w:t>
            </w: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Four-Quarter Bookings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113,276</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98,696</w:t>
            </w:r>
          </w:p>
        </w:tc>
      </w:tr>
      <w:tr>
        <w:trPr>
          <w:trHeight w:val="22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Percentage change from prior year period</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2"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unaudited table presents the reconciliation of net income to Adjusted EBITDA for the three and </w:t>
      </w:r>
      <w:r>
        <w:rPr>
          <w:rFonts w:ascii="Arial" w:cs="Arial" w:eastAsia="Arial" w:hAnsi="Arial"/>
          <w:sz w:val="18"/>
          <w:szCs w:val="18"/>
          <w:color w:val="000000"/>
        </w:rPr>
        <w:t>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September 30, 2013 </w:t>
      </w:r>
      <w:r>
        <w:rPr>
          <w:rFonts w:ascii="Arial" w:cs="Arial" w:eastAsia="Arial" w:hAnsi="Arial"/>
          <w:sz w:val="18"/>
          <w:szCs w:val="18"/>
          <w:color w:val="231F20"/>
        </w:rPr>
        <w:t>and</w:t>
      </w:r>
      <w:r>
        <w:rPr>
          <w:rFonts w:ascii="Arial" w:cs="Arial" w:eastAsia="Arial" w:hAnsi="Arial"/>
          <w:sz w:val="18"/>
          <w:szCs w:val="18"/>
          <w:color w:val="auto"/>
        </w:rPr>
        <w:t xml:space="preserve"> 2012</w:t>
      </w:r>
      <w:r>
        <w:rPr>
          <w:rFonts w:ascii="Arial" w:cs="Arial" w:eastAsia="Arial" w:hAnsi="Arial"/>
          <w:sz w:val="18"/>
          <w:szCs w:val="18"/>
          <w:color w:val="231F20"/>
        </w:rPr>
        <w: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24"/>
                <w:szCs w:val="24"/>
                <w:color w:val="auto"/>
              </w:rPr>
            </w:pPr>
          </w:p>
        </w:tc>
      </w:tr>
      <w:tr>
        <w:trPr>
          <w:trHeight w:val="264"/>
        </w:trPr>
        <w:tc>
          <w:tcPr>
            <w:tcW w:w="54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247"/>
        </w:trPr>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1,105</w:t>
            </w:r>
          </w:p>
        </w:tc>
      </w:tr>
      <w:tr>
        <w:trPr>
          <w:trHeight w:val="260"/>
        </w:trPr>
        <w:tc>
          <w:tcPr>
            <w:tcW w:w="54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195</w:t>
            </w: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r>
      <w:tr>
        <w:trPr>
          <w:trHeight w:val="260"/>
        </w:trPr>
        <w:tc>
          <w:tcPr>
            <w:tcW w:w="542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2,452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6,731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5,066</w:t>
            </w: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331</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3,808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2,583</w:t>
            </w:r>
          </w:p>
        </w:tc>
      </w:tr>
      <w:tr>
        <w:trPr>
          <w:trHeight w:val="24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12,943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9,357</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0"/>
        </w:trPr>
        <w:tc>
          <w:tcPr>
            <w:tcW w:w="54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Four-Quarter Bookings and Adjusted EBITDA</w:t>
      </w:r>
    </w:p>
    <w:p>
      <w:pPr>
        <w:spacing w:after="0" w:line="19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Four-Quarter Bookings and Adjusted EBITDA, non-GAAP financial measures, have limitations as analytical tools, and should not be considered in isolation from or as a substitute for the measures presented in accordance with U.S. GAAP. Some of these limitations are:</w:t>
      </w:r>
    </w:p>
    <w:p>
      <w:pPr>
        <w:spacing w:after="0" w:line="88" w:lineRule="exact"/>
        <w:rPr>
          <w:sz w:val="20"/>
          <w:szCs w:val="20"/>
          <w:color w:val="auto"/>
        </w:rPr>
      </w:pPr>
    </w:p>
    <w:p>
      <w:pPr>
        <w:ind w:left="1060" w:hanging="404"/>
        <w:spacing w:after="0" w:line="26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Four-Quarter Bookings reflects the amount of revenues over a four-quarter period, plus the net change in the current portion of deferred revenues, while revenues are recognized ratably over the subscription periods;</w:t>
      </w:r>
    </w:p>
    <w:p>
      <w:pPr>
        <w:spacing w:after="0" w:line="47" w:lineRule="exact"/>
        <w:rPr>
          <w:rFonts w:ascii="Arial" w:cs="Arial" w:eastAsia="Arial" w:hAnsi="Arial"/>
          <w:sz w:val="18"/>
          <w:szCs w:val="18"/>
          <w:color w:val="231F20"/>
        </w:rPr>
      </w:pPr>
    </w:p>
    <w:p>
      <w:pPr>
        <w:ind w:left="1060" w:hanging="404"/>
        <w:spacing w:after="0"/>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60" w:hanging="404"/>
        <w:spacing w:after="0" w:line="26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88" w:lineRule="exact"/>
        <w:rPr>
          <w:rFonts w:ascii="Arial" w:cs="Arial" w:eastAsia="Arial" w:hAnsi="Arial"/>
          <w:sz w:val="18"/>
          <w:szCs w:val="18"/>
          <w:color w:val="231F20"/>
        </w:rPr>
      </w:pPr>
    </w:p>
    <w:p>
      <w:pPr>
        <w:ind w:left="1060" w:right="20" w:hanging="404"/>
        <w:spacing w:after="0" w:line="262" w:lineRule="auto"/>
        <w:tabs>
          <w:tab w:leader="none" w:pos="106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Four-Quarter Bookings or Adjusted EBITDA differently or not at all, which reduces their usefulness as a comparative measure.</w:t>
      </w:r>
    </w:p>
    <w:p>
      <w:pPr>
        <w:spacing w:after="0" w:line="23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231F20"/>
        </w:rPr>
        <w:t>Because of these limitations, Four-Quarter Bookings and Adjusted EBITDA should be considered alongside other financial performance measures, including revenues, net income and our financial results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8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provided to certain customers as part of their subscriptions, expenses related to the use of third-party data centers, amortization of third-party technology licensing fees, shipping costs, fees paid to contractors who supplement or support our operations center personnel and overhead allocations. We expect to continue to make significant capital investments to expand our data center operations, which will increase the cost of revenues in absolute dollars.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that sales and marketing expenses will increase in absolute dollars.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professional services fees, insurance, certain other corporate governance-related expenses, and overhead allocations. We expect that general and administrative expenses will increase in absolute dollars, as we continue to add personnel to support our growth and operate as a public company.</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231F20"/>
        </w:rPr>
        <w:t>Our other income (expense), net consists primarily of foreign exchange gains and losses, the majority of which result from fluctuations between the U.S. dollar and the Euro, British pound and Japanese yen, interest expense associated with our capital leases, and interest and investment income.</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We maintain a valuation allowance on our U.S. federal and state deferred tax assets. Our cash tax expense is impacted by each jurisdiction’s individual tax rates, laws on timing of recognition of income and deductions and availability of net operating losses and tax credits. Given the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to the extent earnings are lower than anticipated in countries that have lower statutory rates and higher than anticipated in countries that have higher statutory rates. Our effective tax rate could also change due to changes in our earnings projections, by changes in the valuation of our deferred tax assets or liabilities, or by changes in tax laws, regulations, or accounting principles, as well as certain discrete items.</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41" w:right="29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8"/>
          </w:tcPr>
          <w:p>
            <w:pPr>
              <w:jc w:val="right"/>
              <w:ind w:right="72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6"/>
          </w:tcPr>
          <w:p>
            <w:pPr>
              <w:jc w:val="right"/>
              <w:ind w:right="56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8"/>
          </w:tcPr>
          <w:p>
            <w:pPr>
              <w:ind w:left="36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63"/>
              <w:spacing w:after="0"/>
              <w:rPr>
                <w:sz w:val="20"/>
                <w:szCs w:val="20"/>
                <w:color w:val="auto"/>
              </w:rPr>
            </w:pPr>
            <w:r>
              <w:rPr>
                <w:rFonts w:ascii="Arial" w:cs="Arial" w:eastAsia="Arial" w:hAnsi="Arial"/>
                <w:sz w:val="16"/>
                <w:szCs w:val="16"/>
                <w:color w:val="231F20"/>
                <w:w w:val="89"/>
              </w:rPr>
              <w:t>$</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31F20"/>
              </w:rPr>
              <w:t>27,749</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231F20"/>
              </w:rPr>
              <w:t>23,382</w:t>
            </w:r>
          </w:p>
        </w:tc>
        <w:tc>
          <w:tcPr>
            <w:tcW w:w="10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22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231F20"/>
              </w:rPr>
              <w:t>78,923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231F20"/>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231F20"/>
              </w:rPr>
              <w:t>66,763</w:t>
            </w:r>
          </w:p>
        </w:tc>
        <w:tc>
          <w:tcPr>
            <w:tcW w:w="0" w:type="dxa"/>
            <w:vAlign w:val="bottom"/>
          </w:tcPr>
          <w:p>
            <w:pPr>
              <w:spacing w:after="0"/>
              <w:rPr>
                <w:sz w:val="1"/>
                <w:szCs w:val="1"/>
                <w:color w:val="auto"/>
              </w:rPr>
            </w:pP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8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6,415</w:t>
            </w:r>
          </w:p>
        </w:tc>
        <w:tc>
          <w:tcPr>
            <w:tcW w:w="100" w:type="dxa"/>
            <w:vAlign w:val="bottom"/>
            <w:tcBorders>
              <w:bottom w:val="single" w:sz="8" w:color="231F20"/>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260" w:type="dxa"/>
            <w:vAlign w:val="bottom"/>
            <w:tcBorders>
              <w:bottom w:val="single" w:sz="8" w:color="231F20"/>
            </w:tcBorders>
            <w:shd w:val="clear" w:color="auto" w:fill="CCEEFF"/>
          </w:tcPr>
          <w:p>
            <w:pPr>
              <w:spacing w:after="0"/>
              <w:rPr>
                <w:sz w:val="24"/>
                <w:szCs w:val="24"/>
                <w:color w:val="auto"/>
              </w:rPr>
            </w:pPr>
          </w:p>
        </w:tc>
        <w:tc>
          <w:tcPr>
            <w:tcW w:w="86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4,634</w:t>
            </w:r>
          </w:p>
        </w:tc>
        <w:tc>
          <w:tcPr>
            <w:tcW w:w="100" w:type="dxa"/>
            <w:vAlign w:val="bottom"/>
            <w:shd w:val="clear" w:color="auto" w:fill="CCEEFF"/>
          </w:tcPr>
          <w:p>
            <w:pPr>
              <w:spacing w:after="0"/>
              <w:rPr>
                <w:sz w:val="24"/>
                <w:szCs w:val="24"/>
                <w:color w:val="auto"/>
              </w:rPr>
            </w:pPr>
          </w:p>
        </w:tc>
        <w:tc>
          <w:tcPr>
            <w:tcW w:w="6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220" w:type="dxa"/>
            <w:vAlign w:val="bottom"/>
            <w:tcBorders>
              <w:bottom w:val="single" w:sz="8" w:color="231F20"/>
            </w:tcBorders>
            <w:shd w:val="clear" w:color="auto" w:fill="CCEEFF"/>
          </w:tcPr>
          <w:p>
            <w:pPr>
              <w:spacing w:after="0"/>
              <w:rPr>
                <w:sz w:val="24"/>
                <w:szCs w:val="24"/>
                <w:color w:val="auto"/>
              </w:rPr>
            </w:pPr>
          </w:p>
        </w:tc>
        <w:tc>
          <w:tcPr>
            <w:tcW w:w="98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18,134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260" w:type="dxa"/>
            <w:vAlign w:val="bottom"/>
            <w:tcBorders>
              <w:bottom w:val="single" w:sz="8" w:color="231F20"/>
            </w:tcBorders>
            <w:shd w:val="clear" w:color="auto" w:fill="CCEEFF"/>
          </w:tcPr>
          <w:p>
            <w:pPr>
              <w:spacing w:after="0"/>
              <w:rPr>
                <w:sz w:val="24"/>
                <w:szCs w:val="24"/>
                <w:color w:val="auto"/>
              </w:rPr>
            </w:pPr>
          </w:p>
        </w:tc>
        <w:tc>
          <w:tcPr>
            <w:tcW w:w="10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13,423</w:t>
            </w:r>
          </w:p>
        </w:tc>
        <w:tc>
          <w:tcPr>
            <w:tcW w:w="0" w:type="dxa"/>
            <w:vAlign w:val="bottom"/>
          </w:tcPr>
          <w:p>
            <w:pPr>
              <w:spacing w:after="0"/>
              <w:rPr>
                <w:sz w:val="1"/>
                <w:szCs w:val="1"/>
                <w:color w:val="auto"/>
              </w:rPr>
            </w:pPr>
          </w:p>
        </w:tc>
      </w:tr>
      <w:tr>
        <w:trPr>
          <w:trHeight w:val="240"/>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18,748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60,789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53,340</w:t>
            </w:r>
          </w:p>
        </w:tc>
        <w:tc>
          <w:tcPr>
            <w:tcW w:w="0" w:type="dxa"/>
            <w:vAlign w:val="bottom"/>
          </w:tcPr>
          <w:p>
            <w:pPr>
              <w:spacing w:after="0"/>
              <w:rPr>
                <w:sz w:val="1"/>
                <w:szCs w:val="1"/>
                <w:color w:val="auto"/>
              </w:rPr>
            </w:pP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31F20"/>
              </w:rPr>
              <w:t>5,151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231F20"/>
              </w:rPr>
              <w:t>5,076</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231F20"/>
              </w:rPr>
              <w:t>15,739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231F20"/>
              </w:rPr>
              <w:t>15,325</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10,411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8,797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30,739</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27,827</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4,277</w:t>
            </w:r>
          </w:p>
        </w:tc>
        <w:tc>
          <w:tcPr>
            <w:tcW w:w="100" w:type="dxa"/>
            <w:vAlign w:val="bottom"/>
            <w:tcBorders>
              <w:bottom w:val="single" w:sz="8" w:color="231F20"/>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3,154</w:t>
            </w:r>
          </w:p>
        </w:tc>
        <w:tc>
          <w:tcPr>
            <w:tcW w:w="100" w:type="dxa"/>
            <w:vAlign w:val="bottom"/>
            <w:tcBorders>
              <w:bottom w:val="single" w:sz="8" w:color="CCEEFF"/>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12,226</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8,811</w:t>
            </w:r>
          </w:p>
        </w:tc>
        <w:tc>
          <w:tcPr>
            <w:tcW w:w="0" w:type="dxa"/>
            <w:vAlign w:val="bottom"/>
          </w:tcPr>
          <w:p>
            <w:pPr>
              <w:spacing w:after="0"/>
              <w:rPr>
                <w:sz w:val="1"/>
                <w:szCs w:val="1"/>
                <w:color w:val="auto"/>
              </w:rPr>
            </w:pPr>
          </w:p>
        </w:tc>
      </w:tr>
      <w:tr>
        <w:trPr>
          <w:trHeight w:val="244"/>
        </w:trPr>
        <w:tc>
          <w:tcPr>
            <w:tcW w:w="56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17,027</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58,704</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51,963</w:t>
            </w:r>
          </w:p>
        </w:tc>
        <w:tc>
          <w:tcPr>
            <w:tcW w:w="0" w:type="dxa"/>
            <w:vAlign w:val="bottom"/>
          </w:tcPr>
          <w:p>
            <w:pPr>
              <w:spacing w:after="0"/>
              <w:rPr>
                <w:sz w:val="1"/>
                <w:szCs w:val="1"/>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2,085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7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4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1,951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7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8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210</w:t>
            </w:r>
          </w:p>
        </w:tc>
        <w:tc>
          <w:tcPr>
            <w:tcW w:w="10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77</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22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372</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102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1,309</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1,667</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1,579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500" w:type="dxa"/>
            <w:vAlign w:val="bottom"/>
            <w:vMerge w:val="continue"/>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62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6"/>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76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8"/>
          </w:tcPr>
          <w:p>
            <w:pPr>
              <w:ind w:left="5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167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4"/>
                <w:szCs w:val="24"/>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902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443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40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r>
      <w:tr>
        <w:trPr>
          <w:trHeight w:val="25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r>
      <w:tr>
        <w:trPr>
          <w:trHeight w:val="257"/>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w:t>
            </w:r>
          </w:p>
        </w:tc>
      </w:tr>
      <w:tr>
        <w:trPr>
          <w:trHeight w:val="260"/>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r>
      <w:tr>
        <w:trPr>
          <w:trHeight w:val="260"/>
        </w:trPr>
        <w:tc>
          <w:tcPr>
            <w:tcW w:w="630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42</w:t>
            </w:r>
          </w:p>
        </w:tc>
      </w:tr>
      <w:tr>
        <w:trPr>
          <w:trHeight w:val="273"/>
        </w:trPr>
        <w:tc>
          <w:tcPr>
            <w:tcW w:w="5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50"/>
        </w:trPr>
        <w:tc>
          <w:tcPr>
            <w:tcW w:w="54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78</w:t>
            </w:r>
          </w:p>
        </w:tc>
      </w:tr>
      <w:tr>
        <w:trPr>
          <w:trHeight w:val="25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57"/>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40"/>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September 30, 2013</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2012</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27,749</w:t>
            </w:r>
          </w:p>
        </w:tc>
        <w:tc>
          <w:tcPr>
            <w:tcW w:w="8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23,382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4,367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bl>
    <w:p>
      <w:pPr>
        <w:spacing w:after="0" w:line="21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$4.4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primarily due to new customer subscriptions entered into after September 30, 2012 and from an increase in the purchase of</w:t>
      </w:r>
      <w:r>
        <w:rPr>
          <w:rFonts w:ascii="Arial" w:cs="Arial" w:eastAsia="Arial" w:hAnsi="Arial"/>
          <w:sz w:val="18"/>
          <w:szCs w:val="18"/>
          <w:color w:val="000000"/>
        </w:rPr>
        <w:t xml:space="preserve"> </w:t>
      </w:r>
      <w:r>
        <w:rPr>
          <w:rFonts w:ascii="Arial" w:cs="Arial" w:eastAsia="Arial" w:hAnsi="Arial"/>
          <w:sz w:val="18"/>
          <w:szCs w:val="18"/>
          <w:color w:val="231F20"/>
        </w:rPr>
        <w:t xml:space="preserve">subscriptions from existing customers. Of the total increase of </w:t>
      </w:r>
      <w:r>
        <w:rPr>
          <w:rFonts w:ascii="Arial" w:cs="Arial" w:eastAsia="Arial" w:hAnsi="Arial"/>
          <w:sz w:val="18"/>
          <w:szCs w:val="18"/>
          <w:color w:val="000000"/>
        </w:rPr>
        <w:t>$ 4.4 million</w:t>
      </w:r>
      <w:r>
        <w:rPr>
          <w:rFonts w:ascii="Arial" w:cs="Arial" w:eastAsia="Arial" w:hAnsi="Arial"/>
          <w:sz w:val="18"/>
          <w:szCs w:val="18"/>
          <w:color w:val="231F20"/>
        </w:rPr>
        <w:t>, $3.9 million was from customers in the United States and the remaining $0.5 million was from customers in foreign countries. The growth in revenues reflects increased demand for our solutions.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1,781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$1.8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2012</w:t>
      </w:r>
      <w:r>
        <w:rPr>
          <w:rFonts w:ascii="Arial" w:cs="Arial" w:eastAsia="Arial" w:hAnsi="Arial"/>
          <w:sz w:val="18"/>
          <w:szCs w:val="18"/>
          <w:color w:val="231F20"/>
        </w:rPr>
        <w:t>, primarily due to a $0.7 million increase in depreciation expenses related to additional computer hardware and software for</w:t>
      </w:r>
      <w:r>
        <w:rPr>
          <w:rFonts w:ascii="Arial" w:cs="Arial" w:eastAsia="Arial" w:hAnsi="Arial"/>
          <w:sz w:val="18"/>
          <w:szCs w:val="18"/>
          <w:color w:val="000000"/>
        </w:rPr>
        <w:t xml:space="preserve"> </w:t>
      </w:r>
      <w:r>
        <w:rPr>
          <w:rFonts w:ascii="Arial" w:cs="Arial" w:eastAsia="Arial" w:hAnsi="Arial"/>
          <w:sz w:val="18"/>
          <w:szCs w:val="18"/>
          <w:color w:val="231F20"/>
        </w:rPr>
        <w:t>our new and existing data centers, increased personnel expenses of $0.4 million, principally driven by the addition of employees in our operations staff, increased data center cost of $0.3 million related to expanded storage and other data center-related costs, and increased third-party software maintenance expense of $0.3 million. The decrease in gross profit percentage reflects the impact of continued increased investments to expand our data center infrastructure, to further enable disaster recovery of our solutions, and to add capacity to deploy new solutions on our cloud platform.</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5,151</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5,076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231F20"/>
        </w:rPr>
        <w:t xml:space="preserve">Research and development expenses remained relatively constant in the three months ended September 30, 2013 compared to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with slight increases in personnel expenses as we continue to invest in enhancing our platform and</w:t>
      </w:r>
      <w:r>
        <w:rPr>
          <w:rFonts w:ascii="Arial" w:cs="Arial" w:eastAsia="Arial" w:hAnsi="Arial"/>
          <w:sz w:val="18"/>
          <w:szCs w:val="18"/>
          <w:color w:val="000000"/>
        </w:rPr>
        <w:t xml:space="preserve"> </w:t>
      </w:r>
      <w:r>
        <w:rPr>
          <w:rFonts w:ascii="Arial" w:cs="Arial" w:eastAsia="Arial" w:hAnsi="Arial"/>
          <w:sz w:val="18"/>
          <w:szCs w:val="18"/>
          <w:color w:val="231F20"/>
        </w:rPr>
        <w:t>developing new solutions.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10,411</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1,614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$1.6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2012</w:t>
      </w:r>
      <w:r>
        <w:rPr>
          <w:rFonts w:ascii="Arial" w:cs="Arial" w:eastAsia="Arial" w:hAnsi="Arial"/>
          <w:sz w:val="18"/>
          <w:szCs w:val="18"/>
          <w:color w:val="231F20"/>
        </w:rPr>
        <w:t>, primarily due to an increase in personnel expenses of $0.6 million, principally driven by the addition of employees</w:t>
      </w:r>
      <w:r>
        <w:rPr>
          <w:rFonts w:ascii="Arial" w:cs="Arial" w:eastAsia="Arial" w:hAnsi="Arial"/>
          <w:sz w:val="18"/>
          <w:szCs w:val="18"/>
          <w:color w:val="000000"/>
        </w:rPr>
        <w:t xml:space="preserve"> </w:t>
      </w:r>
      <w:r>
        <w:rPr>
          <w:rFonts w:ascii="Arial" w:cs="Arial" w:eastAsia="Arial" w:hAnsi="Arial"/>
          <w:sz w:val="18"/>
          <w:szCs w:val="18"/>
          <w:color w:val="231F20"/>
        </w:rPr>
        <w:t>as we continue to expand our domestic and international sales and marketing efforts and increased recruiting expenses of $0.2 million. We also incurred increased marketing expenses of $0.5 million, primarily related to increased trade show and program activities, and travel related costs of $0.1 million.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4,277</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1,123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$1.1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2012</w:t>
      </w:r>
      <w:r>
        <w:rPr>
          <w:rFonts w:ascii="Arial" w:cs="Arial" w:eastAsia="Arial" w:hAnsi="Arial"/>
          <w:sz w:val="18"/>
          <w:szCs w:val="18"/>
          <w:color w:val="231F20"/>
        </w:rPr>
        <w:t>, primarily driven by increased personnel expenses of $0.5 million principally due to the addition of</w:t>
      </w:r>
      <w:r>
        <w:rPr>
          <w:rFonts w:ascii="Arial" w:cs="Arial" w:eastAsia="Arial" w:hAnsi="Arial"/>
          <w:sz w:val="18"/>
          <w:szCs w:val="18"/>
          <w:color w:val="000000"/>
        </w:rPr>
        <w:t xml:space="preserve"> </w:t>
      </w:r>
      <w:r>
        <w:rPr>
          <w:rFonts w:ascii="Arial" w:cs="Arial" w:eastAsia="Arial" w:hAnsi="Arial"/>
          <w:sz w:val="18"/>
          <w:szCs w:val="18"/>
          <w:color w:val="231F20"/>
        </w:rPr>
        <w:t>employees to support the growth of our business and building out of our infrastructure to support public company requirements. We also incurred increased stock-based compensation of $0.2 million related to non-employees, primarily due to relatively higher stock prices, as well as increased insurance, director fees and other fees of $0.2 million, and increased professional services of $0.1 million.</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24</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54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jc w:val="both"/>
        <w:ind w:right="400" w:firstLine="486"/>
        <w:spacing w:after="0" w:line="256" w:lineRule="auto"/>
        <w:rPr>
          <w:sz w:val="20"/>
          <w:szCs w:val="20"/>
          <w:color w:val="auto"/>
        </w:rPr>
      </w:pPr>
      <w:r>
        <w:rPr>
          <w:rFonts w:ascii="Arial" w:cs="Arial" w:eastAsia="Arial" w:hAnsi="Arial"/>
          <w:sz w:val="18"/>
          <w:szCs w:val="18"/>
          <w:color w:val="231F20"/>
        </w:rPr>
        <w:t xml:space="preserve">Other income (expense), net was relatively constant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2012</w:t>
      </w:r>
      <w:r>
        <w:rPr>
          <w:rFonts w:ascii="Arial" w:cs="Arial" w:eastAsia="Arial" w:hAnsi="Arial"/>
          <w:sz w:val="18"/>
          <w:szCs w:val="18"/>
          <w:color w:val="231F20"/>
        </w:rPr>
        <w:t>. Other income (expense) for the</w:t>
      </w:r>
      <w:r>
        <w:rPr>
          <w:rFonts w:ascii="Arial" w:cs="Arial" w:eastAsia="Arial" w:hAnsi="Arial"/>
          <w:sz w:val="18"/>
          <w:szCs w:val="18"/>
          <w:color w:val="000000"/>
        </w:rPr>
        <w:t xml:space="preserve"> three months ended September 30, 2013 </w:t>
      </w:r>
      <w:r>
        <w:rPr>
          <w:rFonts w:ascii="Arial" w:cs="Arial" w:eastAsia="Arial" w:hAnsi="Arial"/>
          <w:sz w:val="18"/>
          <w:szCs w:val="18"/>
          <w:color w:val="231F20"/>
        </w:rPr>
        <w:t>included foreign exchange losses of</w:t>
      </w:r>
      <w:r>
        <w:rPr>
          <w:rFonts w:ascii="Arial" w:cs="Arial" w:eastAsia="Arial" w:hAnsi="Arial"/>
          <w:sz w:val="18"/>
          <w:szCs w:val="18"/>
          <w:color w:val="000000"/>
        </w:rPr>
        <w:t xml:space="preserve"> </w:t>
      </w:r>
      <w:r>
        <w:rPr>
          <w:rFonts w:ascii="Arial" w:cs="Arial" w:eastAsia="Arial" w:hAnsi="Arial"/>
          <w:sz w:val="18"/>
          <w:szCs w:val="18"/>
          <w:color w:val="231F20"/>
        </w:rPr>
        <w:t>$0.1 million</w:t>
      </w:r>
      <w:r>
        <w:rPr>
          <w:rFonts w:ascii="Arial" w:cs="Arial" w:eastAsia="Arial" w:hAnsi="Arial"/>
          <w:sz w:val="18"/>
          <w:szCs w:val="18"/>
          <w:color w:val="000000"/>
        </w:rPr>
        <w:t>, offset by $0.1 million of investment income.</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133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21"/>
                <w:szCs w:val="21"/>
                <w:color w:val="auto"/>
              </w:rPr>
            </w:pP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Provision for income taxes increased </w:t>
      </w:r>
      <w:r>
        <w:rPr>
          <w:rFonts w:ascii="Arial" w:cs="Arial" w:eastAsia="Arial" w:hAnsi="Arial"/>
          <w:sz w:val="18"/>
          <w:szCs w:val="18"/>
          <w:color w:val="000000"/>
        </w:rPr>
        <w:t>$0.1 million</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2012</w:t>
      </w:r>
      <w:r>
        <w:rPr>
          <w:rFonts w:ascii="Arial" w:cs="Arial" w:eastAsia="Arial" w:hAnsi="Arial"/>
          <w:sz w:val="18"/>
          <w:szCs w:val="18"/>
          <w:color w:val="231F20"/>
        </w:rPr>
        <w:t>. The provision for income taxes is primarily for taxes on income in foreign jurisdictions and state income taxes in the</w:t>
      </w:r>
      <w:r>
        <w:rPr>
          <w:rFonts w:ascii="Arial" w:cs="Arial" w:eastAsia="Arial" w:hAnsi="Arial"/>
          <w:sz w:val="18"/>
          <w:szCs w:val="18"/>
          <w:color w:val="000000"/>
        </w:rPr>
        <w:t xml:space="preserve"> </w:t>
      </w:r>
      <w:r>
        <w:rPr>
          <w:rFonts w:ascii="Arial" w:cs="Arial" w:eastAsia="Arial" w:hAnsi="Arial"/>
          <w:sz w:val="18"/>
          <w:szCs w:val="18"/>
          <w:color w:val="231F20"/>
        </w:rPr>
        <w:t xml:space="preserve">United States. The increase is primarily </w:t>
      </w:r>
      <w:r>
        <w:rPr>
          <w:rFonts w:ascii="Arial" w:cs="Arial" w:eastAsia="Arial" w:hAnsi="Arial"/>
          <w:sz w:val="18"/>
          <w:szCs w:val="18"/>
          <w:color w:val="000000"/>
        </w:rPr>
        <w:t>due to a higher reduction of the liability for uncertain tax positions related to foreign taxes in the 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Nine Months Ended September 30, 2013</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2012</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78,923</w:t>
            </w:r>
          </w:p>
        </w:tc>
        <w:tc>
          <w:tcPr>
            <w:tcW w:w="8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12,160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26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$12.2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 xml:space="preserve">2012 </w:t>
      </w:r>
      <w:r>
        <w:rPr>
          <w:rFonts w:ascii="Arial" w:cs="Arial" w:eastAsia="Arial" w:hAnsi="Arial"/>
          <w:sz w:val="18"/>
          <w:szCs w:val="18"/>
          <w:color w:val="231F20"/>
        </w:rPr>
        <w:t>primarily due to new customer subscriptions entered into after September 30, 2012 and from an increase in the purchase of subscriptions</w:t>
      </w:r>
      <w:r>
        <w:rPr>
          <w:rFonts w:ascii="Arial" w:cs="Arial" w:eastAsia="Arial" w:hAnsi="Arial"/>
          <w:sz w:val="18"/>
          <w:szCs w:val="18"/>
          <w:color w:val="000000"/>
        </w:rPr>
        <w:t xml:space="preserve"> </w:t>
      </w:r>
      <w:r>
        <w:rPr>
          <w:rFonts w:ascii="Arial" w:cs="Arial" w:eastAsia="Arial" w:hAnsi="Arial"/>
          <w:sz w:val="18"/>
          <w:szCs w:val="18"/>
          <w:color w:val="231F20"/>
        </w:rPr>
        <w:t xml:space="preserve">from existing customers. Of the total increase of </w:t>
      </w:r>
      <w:r>
        <w:rPr>
          <w:rFonts w:ascii="Arial" w:cs="Arial" w:eastAsia="Arial" w:hAnsi="Arial"/>
          <w:sz w:val="18"/>
          <w:szCs w:val="18"/>
          <w:color w:val="000000"/>
        </w:rPr>
        <w:t>$12.2 million</w:t>
      </w:r>
      <w:r>
        <w:rPr>
          <w:rFonts w:ascii="Arial" w:cs="Arial" w:eastAsia="Arial" w:hAnsi="Arial"/>
          <w:sz w:val="18"/>
          <w:szCs w:val="18"/>
          <w:color w:val="231F20"/>
        </w:rPr>
        <w:t xml:space="preserve">, </w:t>
      </w:r>
      <w:r>
        <w:rPr>
          <w:rFonts w:ascii="Arial" w:cs="Arial" w:eastAsia="Arial" w:hAnsi="Arial"/>
          <w:sz w:val="18"/>
          <w:szCs w:val="18"/>
          <w:color w:val="000000"/>
        </w:rPr>
        <w:t>$10.1 million</w:t>
      </w:r>
      <w:r>
        <w:rPr>
          <w:rFonts w:ascii="Arial" w:cs="Arial" w:eastAsia="Arial" w:hAnsi="Arial"/>
          <w:sz w:val="18"/>
          <w:szCs w:val="18"/>
          <w:color w:val="231F20"/>
        </w:rPr>
        <w:t xml:space="preserve"> was from customers in the United States and the remaining </w:t>
      </w:r>
      <w:r>
        <w:rPr>
          <w:rFonts w:ascii="Arial" w:cs="Arial" w:eastAsia="Arial" w:hAnsi="Arial"/>
          <w:sz w:val="18"/>
          <w:szCs w:val="18"/>
          <w:color w:val="000000"/>
        </w:rPr>
        <w:t>$2.1</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was from customers in foreign countries. The growth in revenues reflects increased demand for our solutions.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18,134</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4,711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26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$4.7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 September</w:t>
      </w:r>
      <w:r>
        <w:rPr>
          <w:rFonts w:ascii="Arial" w:cs="Arial" w:eastAsia="Arial" w:hAnsi="Arial"/>
          <w:sz w:val="18"/>
          <w:szCs w:val="18"/>
          <w:color w:val="231F20"/>
        </w:rPr>
        <w:t xml:space="preserve"> </w:t>
      </w:r>
      <w:r>
        <w:rPr>
          <w:rFonts w:ascii="Arial" w:cs="Arial" w:eastAsia="Arial" w:hAnsi="Arial"/>
          <w:sz w:val="18"/>
          <w:szCs w:val="18"/>
          <w:color w:val="000000"/>
        </w:rPr>
        <w:t>30, 2012</w:t>
      </w:r>
      <w:r>
        <w:rPr>
          <w:rFonts w:ascii="Arial" w:cs="Arial" w:eastAsia="Arial" w:hAnsi="Arial"/>
          <w:sz w:val="18"/>
          <w:szCs w:val="18"/>
          <w:color w:val="231F20"/>
        </w:rPr>
        <w:t>, primarily due to a $1.7 million increase in depreciation expenses related to additional computer hardware and software for our new</w:t>
      </w:r>
      <w:r>
        <w:rPr>
          <w:rFonts w:ascii="Arial" w:cs="Arial" w:eastAsia="Arial" w:hAnsi="Arial"/>
          <w:sz w:val="18"/>
          <w:szCs w:val="18"/>
          <w:color w:val="000000"/>
        </w:rPr>
        <w:t xml:space="preserve"> </w:t>
      </w:r>
      <w:r>
        <w:rPr>
          <w:rFonts w:ascii="Arial" w:cs="Arial" w:eastAsia="Arial" w:hAnsi="Arial"/>
          <w:sz w:val="18"/>
          <w:szCs w:val="18"/>
          <w:color w:val="231F20"/>
        </w:rPr>
        <w:t>and existing data centers; increased personnel expenses of $1.4 million, principally driven by the addition of employees in our operations staff; increased data center costs of $0.7 million, driven by expanded storage and other data center-related costs; and increased third-party software maintenance expense of $0.5 million. The decrease in gross profit percentage reflects the impact of continued increased investments to expand our data center infrastructure, to further enable disaster recovery of our solutions, and to add capacity to deploy new solutions on our cloud platform.</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15,739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$0.4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2012</w:t>
      </w:r>
      <w:r>
        <w:rPr>
          <w:rFonts w:ascii="Arial" w:cs="Arial" w:eastAsia="Arial" w:hAnsi="Arial"/>
          <w:sz w:val="18"/>
          <w:szCs w:val="18"/>
          <w:color w:val="231F20"/>
        </w:rPr>
        <w:t>, primarily due to an increase in personnel expenses of $0.6 million, principally driven by the addition of</w:t>
      </w:r>
      <w:r>
        <w:rPr>
          <w:rFonts w:ascii="Arial" w:cs="Arial" w:eastAsia="Arial" w:hAnsi="Arial"/>
          <w:sz w:val="18"/>
          <w:szCs w:val="18"/>
          <w:color w:val="000000"/>
        </w:rPr>
        <w:t xml:space="preserve"> </w:t>
      </w:r>
      <w:r>
        <w:rPr>
          <w:rFonts w:ascii="Arial" w:cs="Arial" w:eastAsia="Arial" w:hAnsi="Arial"/>
          <w:sz w:val="18"/>
          <w:szCs w:val="18"/>
          <w:color w:val="231F20"/>
        </w:rPr>
        <w:t>employees as we continue to invest in enhancing our platform and developing new solutions. The increase was partially offset by lower travel related costs of $0.1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30,739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2,912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$2.9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2012</w:t>
      </w:r>
      <w:r>
        <w:rPr>
          <w:rFonts w:ascii="Arial" w:cs="Arial" w:eastAsia="Arial" w:hAnsi="Arial"/>
          <w:sz w:val="18"/>
          <w:szCs w:val="18"/>
          <w:color w:val="231F20"/>
        </w:rPr>
        <w:t>, primarily due to an increase in personnel expenses of $1.8 million, principally driven by the addition of employees</w:t>
      </w:r>
      <w:r>
        <w:rPr>
          <w:rFonts w:ascii="Arial" w:cs="Arial" w:eastAsia="Arial" w:hAnsi="Arial"/>
          <w:sz w:val="18"/>
          <w:szCs w:val="18"/>
          <w:color w:val="000000"/>
        </w:rPr>
        <w:t xml:space="preserve"> </w:t>
      </w:r>
      <w:r>
        <w:rPr>
          <w:rFonts w:ascii="Arial" w:cs="Arial" w:eastAsia="Arial" w:hAnsi="Arial"/>
          <w:sz w:val="18"/>
          <w:szCs w:val="18"/>
          <w:color w:val="231F20"/>
        </w:rPr>
        <w:t>as we continue to expand our domestic and international sales and marketing efforts. We also incurred increased marketing expenses of $0.5 million, related to increased trade show and program activities, increased travel related costs of $0.2 million, and increased recruiting expenses of $0.2 million.</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12,226</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8,811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3,415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$ 3.4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2012</w:t>
      </w:r>
      <w:r>
        <w:rPr>
          <w:rFonts w:ascii="Arial" w:cs="Arial" w:eastAsia="Arial" w:hAnsi="Arial"/>
          <w:sz w:val="18"/>
          <w:szCs w:val="18"/>
          <w:color w:val="231F20"/>
        </w:rPr>
        <w:t>, primarily due to an increase in personnel expenses of $1.6 million principally due to the addition of</w:t>
      </w:r>
      <w:r>
        <w:rPr>
          <w:rFonts w:ascii="Arial" w:cs="Arial" w:eastAsia="Arial" w:hAnsi="Arial"/>
          <w:sz w:val="18"/>
          <w:szCs w:val="18"/>
          <w:color w:val="000000"/>
        </w:rPr>
        <w:t xml:space="preserve"> </w:t>
      </w:r>
      <w:r>
        <w:rPr>
          <w:rFonts w:ascii="Arial" w:cs="Arial" w:eastAsia="Arial" w:hAnsi="Arial"/>
          <w:sz w:val="18"/>
          <w:szCs w:val="18"/>
          <w:color w:val="231F20"/>
        </w:rPr>
        <w:t>employees to support the growth of our business and building out of our infrastructure to support public company requirements. We also incurred increased stock-based compensation of $0.4 million related to non-employees, primarily due to relatively higher stock prices, as well as increased insurance, director fees and other fees of $0.8 million and increased professional services of $0.3 million.</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51"/>
        </w:trPr>
        <w:tc>
          <w:tcPr>
            <w:tcW w:w="538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580" w:type="dxa"/>
            <w:vAlign w:val="bottom"/>
          </w:tcPr>
          <w:p>
            <w:pPr>
              <w:spacing w:after="0"/>
              <w:rPr>
                <w:sz w:val="21"/>
                <w:szCs w:val="21"/>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Other income (expense), net increased $0.1 million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2012</w:t>
      </w:r>
      <w:r>
        <w:rPr>
          <w:rFonts w:ascii="Arial" w:cs="Arial" w:eastAsia="Arial" w:hAnsi="Arial"/>
          <w:sz w:val="18"/>
          <w:szCs w:val="18"/>
          <w:color w:val="231F20"/>
        </w:rPr>
        <w:t>. Other income (expense) in the</w:t>
      </w:r>
      <w:r>
        <w:rPr>
          <w:rFonts w:ascii="Arial" w:cs="Arial" w:eastAsia="Arial" w:hAnsi="Arial"/>
          <w:sz w:val="18"/>
          <w:szCs w:val="18"/>
          <w:color w:val="000000"/>
        </w:rPr>
        <w:t xml:space="preserve"> nine months ended September 30, 2013 </w:t>
      </w:r>
      <w:r>
        <w:rPr>
          <w:rFonts w:ascii="Arial" w:cs="Arial" w:eastAsia="Arial" w:hAnsi="Arial"/>
          <w:sz w:val="18"/>
          <w:szCs w:val="18"/>
          <w:color w:val="231F20"/>
        </w:rPr>
        <w:t>included proceeds of $0.2 million from a</w:t>
      </w:r>
      <w:r>
        <w:rPr>
          <w:rFonts w:ascii="Arial" w:cs="Arial" w:eastAsia="Arial" w:hAnsi="Arial"/>
          <w:sz w:val="18"/>
          <w:szCs w:val="18"/>
          <w:color w:val="000000"/>
        </w:rPr>
        <w:t xml:space="preserve"> </w:t>
      </w:r>
      <w:r>
        <w:rPr>
          <w:rFonts w:ascii="Arial" w:cs="Arial" w:eastAsia="Arial" w:hAnsi="Arial"/>
          <w:sz w:val="18"/>
          <w:szCs w:val="18"/>
          <w:color w:val="231F20"/>
        </w:rPr>
        <w:t>negotiated settlement and increased investment income of $0.2 million, partially offset by an increase in foreign currency exchange losses of $0.4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8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372</w:t>
            </w:r>
          </w:p>
        </w:tc>
        <w:tc>
          <w:tcPr>
            <w:tcW w:w="102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295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50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1"/>
                <w:szCs w:val="21"/>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62"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231F20"/>
        </w:rPr>
        <w:t xml:space="preserve">Provision for income taxes increased </w:t>
      </w:r>
      <w:r>
        <w:rPr>
          <w:rFonts w:ascii="Arial" w:cs="Arial" w:eastAsia="Arial" w:hAnsi="Arial"/>
          <w:sz w:val="18"/>
          <w:szCs w:val="18"/>
          <w:color w:val="000000"/>
        </w:rPr>
        <w:t>$0.3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2012</w:t>
      </w:r>
      <w:r>
        <w:rPr>
          <w:rFonts w:ascii="Arial" w:cs="Arial" w:eastAsia="Arial" w:hAnsi="Arial"/>
          <w:sz w:val="18"/>
          <w:szCs w:val="18"/>
          <w:color w:val="231F20"/>
        </w:rPr>
        <w:t>, primarily</w:t>
      </w:r>
      <w:r>
        <w:rPr>
          <w:rFonts w:ascii="Arial" w:cs="Arial" w:eastAsia="Arial" w:hAnsi="Arial"/>
          <w:sz w:val="18"/>
          <w:szCs w:val="18"/>
          <w:color w:val="000000"/>
        </w:rPr>
        <w:t xml:space="preserve"> due to a higher reduction of the liability for uncertain tax positions related to foreign taxes in </w:t>
      </w:r>
      <w:r>
        <w:rPr>
          <w:rFonts w:ascii="Arial" w:cs="Arial" w:eastAsia="Arial" w:hAnsi="Arial"/>
          <w:sz w:val="18"/>
          <w:szCs w:val="18"/>
          <w:color w:val="231F20"/>
        </w:rPr>
        <w:t>the</w:t>
      </w:r>
      <w:r>
        <w:rPr>
          <w:rFonts w:ascii="Arial" w:cs="Arial" w:eastAsia="Arial" w:hAnsi="Arial"/>
          <w:sz w:val="18"/>
          <w:szCs w:val="18"/>
          <w:color w:val="000000"/>
        </w:rPr>
        <w:t xml:space="preserve"> nine months ended September 30, 2012</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2013</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$125.7</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$2.5 million 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applicable foreign tax credits.</w:t>
      </w:r>
    </w:p>
    <w:p>
      <w:pPr>
        <w:spacing w:after="0" w:line="20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 xml:space="preserve">We have experienced positive cash flows from operations during the nine months ended </w:t>
      </w:r>
      <w:r>
        <w:rPr>
          <w:rFonts w:ascii="Arial" w:cs="Arial" w:eastAsia="Arial" w:hAnsi="Arial"/>
          <w:sz w:val="18"/>
          <w:szCs w:val="18"/>
          <w:color w:val="000000"/>
        </w:rPr>
        <w:t>September 30, 2013</w:t>
      </w:r>
      <w:r>
        <w:rPr>
          <w:rFonts w:ascii="Arial" w:cs="Arial" w:eastAsia="Arial" w:hAnsi="Arial"/>
          <w:sz w:val="18"/>
          <w:szCs w:val="18"/>
          <w:color w:val="231F20"/>
        </w:rPr>
        <w:t xml:space="preserve"> and 2012. We believe our existing cash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10,669</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(8,104)</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9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$15.2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$1.6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$ 4.7 million</w:t>
      </w:r>
      <w:r>
        <w:rPr>
          <w:rFonts w:ascii="Arial" w:cs="Arial" w:eastAsia="Arial" w:hAnsi="Arial"/>
          <w:sz w:val="18"/>
          <w:szCs w:val="18"/>
          <w:color w:val="231F20"/>
        </w:rPr>
        <w:t xml:space="preserve">, attributable to our continued growth. These working capital increases are further increased by non-cash items including depreciation and amortization expense of </w:t>
      </w:r>
      <w:r>
        <w:rPr>
          <w:rFonts w:ascii="Arial" w:cs="Arial" w:eastAsia="Arial" w:hAnsi="Arial"/>
          <w:sz w:val="18"/>
          <w:szCs w:val="18"/>
          <w:color w:val="000000"/>
        </w:rPr>
        <w:t>$7.1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$3.8 million</w:t>
      </w:r>
      <w:r>
        <w:rPr>
          <w:rFonts w:ascii="Arial" w:cs="Arial" w:eastAsia="Arial" w:hAnsi="Arial"/>
          <w:sz w:val="18"/>
          <w:szCs w:val="18"/>
          <w:color w:val="231F20"/>
        </w:rPr>
        <w:t>. These working capital increases are partially offset by an increase in accounts receivable of $0.7 million, as well as a decrease of $1.5 million in accounts payable and accrued liabilities due to the timing of payments.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$10.7 million</w:t>
      </w:r>
      <w:r>
        <w:rPr>
          <w:rFonts w:ascii="Arial" w:cs="Arial" w:eastAsia="Arial" w:hAnsi="Arial"/>
          <w:sz w:val="18"/>
          <w:szCs w:val="18"/>
          <w:color w:val="231F20"/>
        </w:rPr>
        <w:t xml:space="preserve"> in cash related to an increase of </w:t>
      </w:r>
      <w:r>
        <w:rPr>
          <w:rFonts w:ascii="Arial" w:cs="Arial" w:eastAsia="Arial" w:hAnsi="Arial"/>
          <w:sz w:val="18"/>
          <w:szCs w:val="18"/>
          <w:color w:val="000000"/>
        </w:rPr>
        <w:t>$6.4 million</w:t>
      </w:r>
      <w:r>
        <w:rPr>
          <w:rFonts w:ascii="Arial" w:cs="Arial" w:eastAsia="Arial" w:hAnsi="Arial"/>
          <w:sz w:val="18"/>
          <w:szCs w:val="18"/>
          <w:color w:val="231F20"/>
        </w:rPr>
        <w:t xml:space="preserve"> in deferred revenues, attributable to our continued growth and an increase in subscriptions exceeding one year and net income of </w:t>
      </w:r>
      <w:r>
        <w:rPr>
          <w:rFonts w:ascii="Arial" w:cs="Arial" w:eastAsia="Arial" w:hAnsi="Arial"/>
          <w:sz w:val="18"/>
          <w:szCs w:val="18"/>
          <w:color w:val="000000"/>
        </w:rPr>
        <w:t>$1.1 million</w:t>
      </w:r>
      <w:r>
        <w:rPr>
          <w:rFonts w:ascii="Arial" w:cs="Arial" w:eastAsia="Arial" w:hAnsi="Arial"/>
          <w:sz w:val="18"/>
          <w:szCs w:val="18"/>
          <w:color w:val="231F20"/>
        </w:rPr>
        <w:t xml:space="preserve">, adjusted by non-cash items including depreciation and amortization expense of </w:t>
      </w:r>
      <w:r>
        <w:rPr>
          <w:rFonts w:ascii="Arial" w:cs="Arial" w:eastAsia="Arial" w:hAnsi="Arial"/>
          <w:sz w:val="18"/>
          <w:szCs w:val="18"/>
          <w:color w:val="000000"/>
        </w:rPr>
        <w:t>$5.4 million</w:t>
      </w:r>
      <w:r>
        <w:rPr>
          <w:rFonts w:ascii="Arial" w:cs="Arial" w:eastAsia="Arial" w:hAnsi="Arial"/>
          <w:sz w:val="18"/>
          <w:szCs w:val="18"/>
          <w:color w:val="231F20"/>
        </w:rPr>
        <w:t xml:space="preserve"> and stock-based compensation expense of </w:t>
      </w:r>
      <w:r>
        <w:rPr>
          <w:rFonts w:ascii="Arial" w:cs="Arial" w:eastAsia="Arial" w:hAnsi="Arial"/>
          <w:sz w:val="18"/>
          <w:szCs w:val="18"/>
          <w:color w:val="000000"/>
        </w:rPr>
        <w:t>$2.6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These working capital increases were partially offset by an increase of</w:t>
      </w:r>
      <w:r>
        <w:rPr>
          <w:rFonts w:ascii="Arial" w:cs="Arial" w:eastAsia="Arial" w:hAnsi="Arial"/>
          <w:sz w:val="18"/>
          <w:szCs w:val="18"/>
          <w:color w:val="000000"/>
        </w:rPr>
        <w:t xml:space="preserve"> $2.9 million </w:t>
      </w:r>
      <w:r>
        <w:rPr>
          <w:rFonts w:ascii="Arial" w:cs="Arial" w:eastAsia="Arial" w:hAnsi="Arial"/>
          <w:sz w:val="18"/>
          <w:szCs w:val="18"/>
          <w:color w:val="231F20"/>
        </w:rPr>
        <w:t>in accounts receivable due to the overall growth of</w:t>
      </w:r>
      <w:r>
        <w:rPr>
          <w:rFonts w:ascii="Arial" w:cs="Arial" w:eastAsia="Arial" w:hAnsi="Arial"/>
          <w:sz w:val="18"/>
          <w:szCs w:val="18"/>
          <w:color w:val="000000"/>
        </w:rPr>
        <w:t xml:space="preserve"> </w:t>
      </w:r>
      <w:r>
        <w:rPr>
          <w:rFonts w:ascii="Arial" w:cs="Arial" w:eastAsia="Arial" w:hAnsi="Arial"/>
          <w:sz w:val="18"/>
          <w:szCs w:val="18"/>
          <w:color w:val="231F20"/>
        </w:rPr>
        <w:t>our business and a decrease of $2.1 million in accounts payable and accrued liabilities due to the timing of payments.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$10.4 million was primarily attributable to $10.4 million</w:t>
      </w:r>
      <w:r>
        <w:rPr>
          <w:rFonts w:ascii="Arial" w:cs="Arial" w:eastAsia="Arial" w:hAnsi="Arial"/>
          <w:sz w:val="18"/>
          <w:szCs w:val="18"/>
          <w:color w:val="231F20"/>
        </w:rPr>
        <w:t xml:space="preserve"> </w:t>
      </w:r>
      <w:r>
        <w:rPr>
          <w:rFonts w:ascii="Arial" w:cs="Arial" w:eastAsia="Arial" w:hAnsi="Arial"/>
          <w:sz w:val="18"/>
          <w:szCs w:val="18"/>
          <w:color w:val="000000"/>
        </w:rPr>
        <w:t>of cash for capital expenditures, including computer hardware and software for our data centers to support our growth and development, and to purchase physical scanner appliances provided to certain customers as part of their subscriptions. There were also purchases of investments of $113.7 million, partially offset by the sales and maturities of investments of $113.5 million.</w:t>
      </w:r>
    </w:p>
    <w:p>
      <w:pPr>
        <w:spacing w:after="0" w:line="20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we used </w:t>
      </w:r>
      <w:r>
        <w:rPr>
          <w:rFonts w:ascii="Arial" w:cs="Arial" w:eastAsia="Arial" w:hAnsi="Arial"/>
          <w:sz w:val="18"/>
          <w:szCs w:val="18"/>
          <w:color w:val="000000"/>
        </w:rPr>
        <w:t>$8.1 million</w:t>
      </w:r>
      <w:r>
        <w:rPr>
          <w:rFonts w:ascii="Arial" w:cs="Arial" w:eastAsia="Arial" w:hAnsi="Arial"/>
          <w:sz w:val="18"/>
          <w:szCs w:val="18"/>
          <w:color w:val="231F20"/>
        </w:rPr>
        <w:t xml:space="preserve"> of cash for capital expenditures, including computer hardware and software for our data centers to support our growth and development, and to purchase physical scanner appliances provided to certain customers as part of their subscriptions.</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9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2013</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$2.5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$3.4</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 partially offset by repayments on our capital lease obligations of</w:t>
      </w:r>
      <w:r>
        <w:rPr>
          <w:rFonts w:ascii="Arial" w:cs="Arial" w:eastAsia="Arial" w:hAnsi="Arial"/>
          <w:sz w:val="18"/>
          <w:szCs w:val="18"/>
          <w:color w:val="000000"/>
        </w:rPr>
        <w:t xml:space="preserve"> $0.9 million</w:t>
      </w:r>
      <w:r>
        <w:rPr>
          <w:rFonts w:ascii="Arial" w:cs="Arial" w:eastAsia="Arial" w:hAnsi="Arial"/>
          <w:sz w:val="18"/>
          <w:szCs w:val="18"/>
          <w:color w:val="231F20"/>
        </w:rPr>
        <w:t>.</w:t>
      </w:r>
    </w:p>
    <w:p>
      <w:pPr>
        <w:spacing w:after="0" w:line="19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$1.3 million</w:t>
      </w:r>
      <w:r>
        <w:rPr>
          <w:rFonts w:ascii="Arial" w:cs="Arial" w:eastAsia="Arial" w:hAnsi="Arial"/>
          <w:sz w:val="18"/>
          <w:szCs w:val="18"/>
          <w:color w:val="231F20"/>
        </w:rPr>
        <w:t xml:space="preserve"> was primarily attributable to repayments on our capital lease obligations of </w:t>
      </w:r>
      <w:r>
        <w:rPr>
          <w:rFonts w:ascii="Arial" w:cs="Arial" w:eastAsia="Arial" w:hAnsi="Arial"/>
          <w:sz w:val="18"/>
          <w:szCs w:val="18"/>
          <w:color w:val="000000"/>
        </w:rPr>
        <w:t>$1.8 million</w:t>
      </w:r>
      <w:r>
        <w:rPr>
          <w:rFonts w:ascii="Arial" w:cs="Arial" w:eastAsia="Arial" w:hAnsi="Arial"/>
          <w:sz w:val="18"/>
          <w:szCs w:val="18"/>
          <w:color w:val="231F20"/>
        </w:rPr>
        <w:t xml:space="preserve">, payment of consideration related to our Nemean acquisition of $1.0 million and cash paid for offering costs in connection with our IPO of $0.6 million. These cash outflows were partially offset by </w:t>
      </w:r>
      <w:r>
        <w:rPr>
          <w:rFonts w:ascii="Arial" w:cs="Arial" w:eastAsia="Arial" w:hAnsi="Arial"/>
          <w:sz w:val="18"/>
          <w:szCs w:val="18"/>
          <w:color w:val="000000"/>
        </w:rPr>
        <w:t>$2.0 million</w:t>
      </w:r>
      <w:r>
        <w:rPr>
          <w:rFonts w:ascii="Arial" w:cs="Arial" w:eastAsia="Arial" w:hAnsi="Arial"/>
          <w:sz w:val="18"/>
          <w:szCs w:val="18"/>
          <w:color w:val="231F20"/>
        </w:rPr>
        <w:t xml:space="preserve"> of proceeds from the exercise of stock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80" w:firstLine="486"/>
        <w:spacing w:after="0" w:line="278" w:lineRule="auto"/>
        <w:rPr>
          <w:sz w:val="20"/>
          <w:szCs w:val="20"/>
          <w:color w:val="auto"/>
        </w:rPr>
      </w:pPr>
      <w:r>
        <w:rPr>
          <w:rFonts w:ascii="Arial" w:cs="Arial" w:eastAsia="Arial" w:hAnsi="Arial"/>
          <w:sz w:val="17"/>
          <w:szCs w:val="17"/>
          <w:color w:val="231F20"/>
        </w:rPr>
        <w:t xml:space="preserve">Our principal commitments consist of obligations under our outstanding leases for office space and third-party data centers, capital lease and third-party software maintenance obligations. The following table summarizes our contractual cash obligations, including future interest payments, at </w:t>
      </w:r>
      <w:r>
        <w:rPr>
          <w:rFonts w:ascii="Arial" w:cs="Arial" w:eastAsia="Arial" w:hAnsi="Arial"/>
          <w:sz w:val="17"/>
          <w:szCs w:val="17"/>
          <w:color w:val="000000"/>
        </w:rPr>
        <w:t>September 30, 2013</w:t>
      </w:r>
      <w:r>
        <w:rPr>
          <w:rFonts w:ascii="Arial" w:cs="Arial" w:eastAsia="Arial" w:hAnsi="Arial"/>
          <w:sz w:val="17"/>
          <w:szCs w:val="17"/>
          <w:color w:val="231F20"/>
        </w:rPr>
        <w:t xml:space="preserve"> and the effect such obligations are expected to have on our liquidity and cash flows in future periods: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6"/>
                <w:szCs w:val="16"/>
                <w:b w:val="1"/>
                <w:bCs w:val="1"/>
                <w:color w:val="auto"/>
              </w:rPr>
              <w:t>Payment Due by Period</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1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 and</w:t>
            </w:r>
          </w:p>
        </w:tc>
      </w:tr>
      <w:tr>
        <w:trPr>
          <w:trHeight w:val="180"/>
        </w:trPr>
        <w:tc>
          <w:tcPr>
            <w:tcW w:w="40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jc w:val="right"/>
              <w:ind w:right="419"/>
              <w:spacing w:after="0" w:line="181"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rPr>
              <w:t>2014-2015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2016-2017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80" w:type="dxa"/>
            <w:vAlign w:val="bottom"/>
            <w:gridSpan w:val="2"/>
          </w:tcPr>
          <w:p>
            <w:pPr>
              <w:spacing w:after="0"/>
              <w:rPr>
                <w:sz w:val="20"/>
                <w:szCs w:val="20"/>
                <w:color w:val="auto"/>
              </w:rPr>
            </w:pPr>
            <w:r>
              <w:rPr>
                <w:rFonts w:ascii="Arial" w:cs="Arial" w:eastAsia="Arial" w:hAnsi="Arial"/>
                <w:sz w:val="16"/>
                <w:szCs w:val="16"/>
                <w:color w:val="auto"/>
              </w:rPr>
              <w:t xml:space="preserve">Maintenance obligations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12,679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7,473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20"/>
        </w:trPr>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right="280" w:hanging="332"/>
        <w:spacing w:after="0" w:line="261"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nine months ended September 30, 2013</w:t>
      </w:r>
      <w:r>
        <w:rPr>
          <w:rFonts w:ascii="Arial" w:cs="Arial" w:eastAsia="Arial" w:hAnsi="Arial"/>
          <w:sz w:val="14"/>
          <w:szCs w:val="14"/>
          <w:color w:val="231F20"/>
        </w:rPr>
        <w:t>, we made regular payments on our operating lease obligations of $2.9 million.</w:t>
      </w:r>
    </w:p>
    <w:p>
      <w:pPr>
        <w:ind w:left="340" w:right="180" w:hanging="332"/>
        <w:spacing w:after="0" w:line="251"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Capital lease obligations represent financing on computer software purchases. During the </w:t>
      </w:r>
      <w:r>
        <w:rPr>
          <w:rFonts w:ascii="Arial" w:cs="Arial" w:eastAsia="Arial" w:hAnsi="Arial"/>
          <w:sz w:val="14"/>
          <w:szCs w:val="14"/>
          <w:color w:val="000000"/>
        </w:rPr>
        <w:t>nine months ended September 30, 2013</w:t>
      </w:r>
      <w:r>
        <w:rPr>
          <w:rFonts w:ascii="Arial" w:cs="Arial" w:eastAsia="Arial" w:hAnsi="Arial"/>
          <w:sz w:val="14"/>
          <w:szCs w:val="14"/>
          <w:color w:val="231F20"/>
        </w:rPr>
        <w:t xml:space="preserve">, we made regular payments on our capital lease obligations of </w:t>
      </w:r>
      <w:r>
        <w:rPr>
          <w:rFonts w:ascii="Arial" w:cs="Arial" w:eastAsia="Arial" w:hAnsi="Arial"/>
          <w:sz w:val="14"/>
          <w:szCs w:val="14"/>
          <w:color w:val="000000"/>
        </w:rPr>
        <w:t>$0.9 million</w:t>
      </w:r>
      <w:r>
        <w:rPr>
          <w:rFonts w:ascii="Arial" w:cs="Arial" w:eastAsia="Arial" w:hAnsi="Arial"/>
          <w:sz w:val="14"/>
          <w:szCs w:val="14"/>
          <w:color w:val="231F20"/>
        </w:rPr>
        <w:t>.</w:t>
      </w:r>
    </w:p>
    <w:p>
      <w:pPr>
        <w:ind w:left="340" w:right="40" w:hanging="332"/>
        <w:spacing w:after="0" w:line="278" w:lineRule="auto"/>
        <w:tabs>
          <w:tab w:leader="none" w:pos="232"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 xml:space="preserve">Maintenance obligations relate to third-party software licenses. During the </w:t>
      </w:r>
      <w:r>
        <w:rPr>
          <w:rFonts w:ascii="Arial" w:cs="Arial" w:eastAsia="Arial" w:hAnsi="Arial"/>
          <w:sz w:val="14"/>
          <w:szCs w:val="14"/>
          <w:color w:val="000000"/>
        </w:rPr>
        <w:t>nine months ended September 30, 2013</w:t>
      </w:r>
      <w:r>
        <w:rPr>
          <w:rFonts w:ascii="Arial" w:cs="Arial" w:eastAsia="Arial" w:hAnsi="Arial"/>
          <w:sz w:val="14"/>
          <w:szCs w:val="14"/>
          <w:color w:val="231F20"/>
        </w:rPr>
        <w:t>, we made regular payments on our maintenance obligations of $1.7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2"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2012, filed with the SEC on March 5, 2013, the accounting policies related to revenue recognition, goodwill and intangibles,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1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231F20"/>
        </w:rPr>
        <w:t>Quantitative and Qualitative Disclosures about Market Risk</w:t>
      </w:r>
    </w:p>
    <w:p>
      <w:pPr>
        <w:spacing w:after="0" w:line="328"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Beginning in December 2011, we began to use foreign exchange forward contracts to partially mitigate the impact of fluctuations in cash and accounts receivable balances denominated in Euros, and beginning in February 2013, to mitigate the impact of balances denominated in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have $125.7 million in cash, cash equivalents and short-term and long-term investments at September 30, 2013. Cash and cash equivalents include cash held in banks and highly liquid money market funds and commercial paper. Investments consist of fixed-income U.S. government agency securities, corporate bonds, municipal bonds, asset-backed securities and commercial paper. All of these investments, excluding long-term investments, have maturities of less than one year from date of purchase. Long-term investments have maturities that extend more than one year from date of purchase.</w:t>
      </w:r>
    </w:p>
    <w:p>
      <w:pPr>
        <w:spacing w:after="0" w:line="16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primary objective of our investment activities is the preservation of principal and supporting our liquidity requirements. We do not enter into investments for trading or speculative purposes. Our investments are subject to market risk due to changes in interest rates, which may affect the interest income we earn and the fair market value of the investments. Due to the nature of these investments held as available-for-sale securities, we do not believe that a 10% increase or decrease in interest rates would have a material impact. We therefore do not expect our operating results or cash flows to be materially affected by a sudden change in market interest rates.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2013,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355"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41" w:right="29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Legal Proceedings</w:t>
      </w:r>
    </w:p>
    <w:p>
      <w:pPr>
        <w:spacing w:after="0" w:line="207"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maintain profitability in the future. Although we had net income in the nine months ended September 30, 2013, we had net losses in the first quarter of 2013 and also during the three and six months ended June 30, 2012. The net losses were primarily due to increased sales and marketing activities during those quarters, as we continued to expand our worldwide customer base, as well as focus on the promotion of our new solutions. We plan to continue to invest in our infrastructure, new solutions, research and development and sales and marketing, and as a result, we cannot assure you that we will regain or maintain profitability. In addition, as a public company, we incur significant accounting, legal and other expenses that we did not incur as a private company.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41" w:right="31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derived 84</w:t>
      </w:r>
      <w:r>
        <w:rPr>
          <w:rFonts w:ascii="Arial" w:cs="Arial" w:eastAsia="Arial" w:hAnsi="Arial"/>
          <w:sz w:val="18"/>
          <w:szCs w:val="18"/>
          <w:color w:val="000000"/>
        </w:rPr>
        <w:t>% and 87%</w:t>
      </w:r>
      <w:r>
        <w:rPr>
          <w:rFonts w:ascii="Arial" w:cs="Arial" w:eastAsia="Arial" w:hAnsi="Arial"/>
          <w:sz w:val="18"/>
          <w:szCs w:val="18"/>
          <w:color w:val="231F20"/>
        </w:rPr>
        <w:t xml:space="preserve"> of our revenues from subscriptions to our QualysGuard Vulnerability Management solution for the nine months ended September 30, 2013 and </w:t>
      </w:r>
      <w:r>
        <w:rPr>
          <w:rFonts w:ascii="Arial" w:cs="Arial" w:eastAsia="Arial" w:hAnsi="Arial"/>
          <w:sz w:val="18"/>
          <w:szCs w:val="18"/>
          <w:color w:val="000000"/>
        </w:rPr>
        <w:t>2012</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right="820" w:firstLine="405"/>
        <w:spacing w:after="0" w:line="250"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additional data center facilities in 2013 to provide additional capacity for our cloud platform and to enable disaster recovery. We are continuing to build out these facilities and anticipate they will be fully operational by 2014. However, the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206"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compete with large public companies, such as Hewlett-Packard Company, Imperva, Inc., International Business Machines Corporation, McAfee, Inc. (a subsidiary of Intel Corporation), and Symantec Corporation, as well as private security providers including Barracuda Networks, Inc., BeyondTrust Software, Inc., Lumension Security,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6" w:lineRule="exact"/>
        <w:rPr>
          <w:sz w:val="20"/>
          <w:szCs w:val="20"/>
          <w:color w:val="auto"/>
        </w:rPr>
      </w:pPr>
    </w:p>
    <w:p>
      <w:pPr>
        <w:jc w:val="both"/>
        <w:ind w:right="56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2010</w:t>
      </w:r>
      <w:r>
        <w:rPr>
          <w:rFonts w:ascii="Arial" w:cs="Arial" w:eastAsia="Arial" w:hAnsi="Arial"/>
          <w:sz w:val="18"/>
          <w:szCs w:val="18"/>
          <w:color w:val="231F20"/>
        </w:rPr>
        <w:t xml:space="preserve"> to </w:t>
      </w:r>
      <w:r>
        <w:rPr>
          <w:rFonts w:ascii="Arial" w:cs="Arial" w:eastAsia="Arial" w:hAnsi="Arial"/>
          <w:sz w:val="18"/>
          <w:szCs w:val="18"/>
          <w:color w:val="000000"/>
        </w:rPr>
        <w:t>2012</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$65.4 million</w:t>
      </w:r>
      <w:r>
        <w:rPr>
          <w:rFonts w:ascii="Arial" w:cs="Arial" w:eastAsia="Arial" w:hAnsi="Arial"/>
          <w:sz w:val="18"/>
          <w:szCs w:val="18"/>
          <w:color w:val="231F20"/>
        </w:rPr>
        <w:t xml:space="preserve"> to </w:t>
      </w:r>
      <w:r>
        <w:rPr>
          <w:rFonts w:ascii="Arial" w:cs="Arial" w:eastAsia="Arial" w:hAnsi="Arial"/>
          <w:sz w:val="18"/>
          <w:szCs w:val="18"/>
          <w:color w:val="000000"/>
        </w:rPr>
        <w:t>$91.4</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232 employees at the beginning of 2010 to 382 employees at September 30, 2013.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the nine months ended September 30, 2013 and </w:t>
      </w:r>
      <w:r>
        <w:rPr>
          <w:rFonts w:ascii="Arial" w:cs="Arial" w:eastAsia="Arial" w:hAnsi="Arial"/>
          <w:sz w:val="18"/>
          <w:szCs w:val="18"/>
          <w:color w:val="000000"/>
        </w:rPr>
        <w:t>2012</w:t>
      </w:r>
      <w:r>
        <w:rPr>
          <w:rFonts w:ascii="Arial" w:cs="Arial" w:eastAsia="Arial" w:hAnsi="Arial"/>
          <w:sz w:val="18"/>
          <w:szCs w:val="18"/>
          <w:color w:val="231F20"/>
        </w:rPr>
        <w:t>, we derived approximately</w:t>
      </w:r>
      <w:r>
        <w:rPr>
          <w:rFonts w:ascii="Arial" w:cs="Arial" w:eastAsia="Arial" w:hAnsi="Arial"/>
          <w:sz w:val="18"/>
          <w:szCs w:val="18"/>
          <w:color w:val="000000"/>
        </w:rPr>
        <w:t xml:space="preserve"> 39% and 40%, </w:t>
      </w:r>
      <w:r>
        <w:rPr>
          <w:rFonts w:ascii="Arial" w:cs="Arial" w:eastAsia="Arial" w:hAnsi="Arial"/>
          <w:sz w:val="18"/>
          <w:szCs w:val="18"/>
          <w:color w:val="231F20"/>
        </w:rPr>
        <w:t>of our revenues, respectively, from sales of subscriptions for our solutions through channel</w:t>
      </w:r>
      <w:r>
        <w:rPr>
          <w:rFonts w:ascii="Arial" w:cs="Arial" w:eastAsia="Arial" w:hAnsi="Arial"/>
          <w:sz w:val="18"/>
          <w:szCs w:val="18"/>
          <w:color w:val="000000"/>
        </w:rPr>
        <w:t xml:space="preserve"> </w:t>
      </w:r>
      <w:r>
        <w:rPr>
          <w:rFonts w:ascii="Arial" w:cs="Arial" w:eastAsia="Arial" w:hAnsi="Arial"/>
          <w:sz w:val="18"/>
          <w:szCs w:val="18"/>
          <w:color w:val="231F20"/>
        </w:rPr>
        <w:t xml:space="preserve">partners, and the percentage of revenues derived from channel partners may increase in future periods. Additionally, one of our channel partners, Dell, Inc. accounted for </w:t>
      </w:r>
      <w:r>
        <w:rPr>
          <w:rFonts w:ascii="Arial" w:cs="Arial" w:eastAsia="Arial" w:hAnsi="Arial"/>
          <w:sz w:val="18"/>
          <w:szCs w:val="18"/>
          <w:color w:val="000000"/>
        </w:rPr>
        <w:t>5%</w:t>
      </w:r>
      <w:r>
        <w:rPr>
          <w:rFonts w:ascii="Arial" w:cs="Arial" w:eastAsia="Arial" w:hAnsi="Arial"/>
          <w:sz w:val="18"/>
          <w:szCs w:val="18"/>
          <w:color w:val="231F20"/>
        </w:rPr>
        <w:t xml:space="preserve"> and </w:t>
      </w:r>
      <w:r>
        <w:rPr>
          <w:rFonts w:ascii="Arial" w:cs="Arial" w:eastAsia="Arial" w:hAnsi="Arial"/>
          <w:sz w:val="18"/>
          <w:szCs w:val="18"/>
          <w:color w:val="000000"/>
        </w:rPr>
        <w:t>6%</w:t>
      </w:r>
      <w:r>
        <w:rPr>
          <w:rFonts w:ascii="Arial" w:cs="Arial" w:eastAsia="Arial" w:hAnsi="Arial"/>
          <w:sz w:val="18"/>
          <w:szCs w:val="18"/>
          <w:color w:val="231F20"/>
        </w:rPr>
        <w:t xml:space="preserve"> of our revenues for the nine months ended September 30, 2013 and </w:t>
      </w:r>
      <w:r>
        <w:rPr>
          <w:rFonts w:ascii="Arial" w:cs="Arial" w:eastAsia="Arial" w:hAnsi="Arial"/>
          <w:sz w:val="18"/>
          <w:szCs w:val="18"/>
          <w:color w:val="000000"/>
        </w:rPr>
        <w:t>2012</w:t>
      </w:r>
      <w:r>
        <w:rPr>
          <w:rFonts w:ascii="Arial" w:cs="Arial" w:eastAsia="Arial" w:hAnsi="Arial"/>
          <w:sz w:val="18"/>
          <w:szCs w:val="18"/>
          <w:color w:val="231F20"/>
        </w:rPr>
        <w:t>, respectively.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for the nine months ended September 30, 2013, we incurred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for the nine months ended September 30, 2013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1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We have three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$0.4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September 30, 2013</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highly-skilled personnel and we may not be able to compete for these employees.</w:t>
      </w:r>
    </w:p>
    <w:p>
      <w:pPr>
        <w:spacing w:after="0" w:line="19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231F20"/>
        </w:rPr>
        <w:t xml:space="preserve">We are required under </w:t>
      </w:r>
      <w:r>
        <w:rPr>
          <w:rFonts w:ascii="Arial" w:cs="Arial" w:eastAsia="Arial" w:hAnsi="Arial"/>
          <w:sz w:val="18"/>
          <w:szCs w:val="18"/>
          <w:color w:val="000000"/>
        </w:rPr>
        <w:t>accounting principles generally accepted in the United States (“U.S. GAAP”)</w:t>
      </w:r>
      <w:r>
        <w:rPr>
          <w:rFonts w:ascii="Arial" w:cs="Arial" w:eastAsia="Arial" w:hAnsi="Arial"/>
          <w:sz w:val="18"/>
          <w:szCs w:val="18"/>
          <w:color w:val="231F20"/>
        </w:rPr>
        <w:t xml:space="preserve">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 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41" w:right="27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 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goodwill and intangibles, reserves, accounting for income taxes and stock-based compensation.</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182"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41" w:right="27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$52.9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2012</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During the quarter ended June 30, 2012, we identified a deficiency in our internal control over financial reporting and we determined that we should restate our consolidated financial statements as of December 31, 2010 and 2011 and for the year ended December 31, 2010 to correct an error in our 2010 provision for income taxes. The restatement related to the tax benefit resulting from a reduction of our liability for uncertain tax positions upon the lapse of the statute of limitations for the 2007 tax year of our French subsidiary. We did not release the liability at December 31, 2010 due to an error in the determination of when the statute of limitations would expire. Our review of the tax provision prepared by a third-party tax advisor was not effective in identifying the error in an appropriate timeframe. We concluded that this control deficiency was not a material weakness, but rather constituted a significant deficiency in our internal control over financial reporting. However, other control deficiencies which may rise to the level of a material weakness may be discovered in the future. In addition, our current controls and any new controls that we develop may 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and may result in additional restatements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09"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commencing with our Annual Report on Form 10-K for the year ending December 31, 2013. Our independent registered public accounting firm is not required to formally attest to the effectiveness of our internal control over financial reporting until the later of our Annual Report on Form 10-K for the year ending December 31, 2013 or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would remain an “emerging growth company” for up to five years, although,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89"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2013</w:t>
      </w:r>
      <w:r>
        <w:rPr>
          <w:rFonts w:ascii="Arial" w:cs="Arial" w:eastAsia="Arial" w:hAnsi="Arial"/>
          <w:sz w:val="18"/>
          <w:szCs w:val="18"/>
          <w:color w:val="231F20"/>
        </w:rPr>
        <w:t>, our executive officers, directors and holders of 5% or more of our outstanding common stock beneficially own, in the aggregate, a majority of our outstanding common stock. As a result, such persons, acting together, have the ability to control our management and affairs and substantially all matters submitted to our stockholders for approval, including the election and removal of directors and approval of any significant transaction. These persons also have the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41" w:right="2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2013, we had approximately 32.2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In addition, as of September 30, 2013, an aggregate of </w:t>
      </w:r>
      <w:r>
        <w:rPr>
          <w:rFonts w:ascii="Arial" w:cs="Arial" w:eastAsia="Arial" w:hAnsi="Arial"/>
          <w:sz w:val="18"/>
          <w:szCs w:val="18"/>
          <w:color w:val="000000"/>
        </w:rPr>
        <w:t>1.6 million</w:t>
      </w:r>
      <w:r>
        <w:rPr>
          <w:rFonts w:ascii="Arial" w:cs="Arial" w:eastAsia="Arial" w:hAnsi="Arial"/>
          <w:sz w:val="18"/>
          <w:szCs w:val="18"/>
          <w:color w:val="231F20"/>
        </w:rPr>
        <w:t xml:space="preserve"> shares of our common stock is reserved for future issuance under our</w:t>
      </w:r>
    </w:p>
    <w:p>
      <w:pPr>
        <w:spacing w:after="0" w:line="9"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231F20"/>
        </w:rPr>
        <w:t>2012 Equity Incentive Plan, which can be freely sold in the public market upon issuance. If a large number of these shares are sold in the public market, the sales could reduce the trading price of our common stock.</w:t>
      </w:r>
    </w:p>
    <w:p>
      <w:pPr>
        <w:spacing w:after="0" w:line="17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41" w:right="25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141" w:right="35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ind w:right="5320"/>
        <w:spacing w:after="0" w:line="381" w:lineRule="auto"/>
        <w:rPr>
          <w:sz w:val="20"/>
          <w:szCs w:val="20"/>
          <w:color w:val="auto"/>
        </w:rPr>
      </w:pPr>
      <w:r>
        <w:rPr>
          <w:rFonts w:ascii="Arial" w:cs="Arial" w:eastAsia="Arial" w:hAnsi="Arial"/>
          <w:sz w:val="18"/>
          <w:szCs w:val="18"/>
          <w:b w:val="1"/>
          <w:bCs w:val="1"/>
          <w:color w:val="231F20"/>
        </w:rPr>
        <w:t xml:space="preserve">Item 2. Unregistered Sales of Equity Securities and Use of Proceeds </w:t>
      </w:r>
      <w:r>
        <w:rPr>
          <w:rFonts w:ascii="Arial" w:cs="Arial" w:eastAsia="Arial" w:hAnsi="Arial"/>
          <w:sz w:val="18"/>
          <w:szCs w:val="18"/>
          <w:color w:val="231F20"/>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240" w:top="141" w:right="49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November 7, 2013.</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41"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380" w:type="dxa"/>
            <w:vAlign w:val="bottom"/>
            <w:gridSpan w:val="3"/>
          </w:tcPr>
          <w:p>
            <w:pPr>
              <w:jc w:val="center"/>
              <w:ind w:right="120"/>
              <w:spacing w:after="0"/>
              <w:rPr>
                <w:rFonts w:ascii="Arial" w:cs="Arial" w:eastAsia="Arial" w:hAnsi="Arial"/>
                <w:sz w:val="16"/>
                <w:szCs w:val="16"/>
                <w:color w:val="0000FF"/>
                <w:w w:val="99"/>
              </w:rPr>
            </w:pPr>
            <w:hyperlink w:anchor="page1">
              <w:r>
                <w:rPr>
                  <w:rFonts w:ascii="Arial" w:cs="Arial" w:eastAsia="Arial" w:hAnsi="Arial"/>
                  <w:sz w:val="16"/>
                  <w:szCs w:val="16"/>
                  <w:color w:val="0000FF"/>
                  <w:w w:val="99"/>
                </w:rPr>
                <w:t>Table of Contents</w:t>
              </w:r>
            </w:hyperlink>
          </w:p>
        </w:tc>
        <w:tc>
          <w:tcPr>
            <w:tcW w:w="10040" w:type="dxa"/>
            <w:vAlign w:val="bottom"/>
          </w:tcPr>
          <w:p>
            <w:pPr>
              <w:spacing w:after="0"/>
              <w:rPr>
                <w:sz w:val="16"/>
                <w:szCs w:val="16"/>
                <w:color w:val="auto"/>
              </w:rPr>
            </w:pPr>
          </w:p>
        </w:tc>
      </w:tr>
      <w:tr>
        <w:trPr>
          <w:trHeight w:val="466"/>
        </w:trPr>
        <w:tc>
          <w:tcPr>
            <w:tcW w:w="3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Exhibit</w:t>
            </w:r>
          </w:p>
        </w:tc>
        <w:tc>
          <w:tcPr>
            <w:tcW w:w="10040" w:type="dxa"/>
            <w:vAlign w:val="bottom"/>
          </w:tcPr>
          <w:p>
            <w:pPr>
              <w:spacing w:after="0"/>
              <w:rPr>
                <w:sz w:val="24"/>
                <w:szCs w:val="24"/>
                <w:color w:val="auto"/>
              </w:rPr>
            </w:pPr>
          </w:p>
        </w:tc>
      </w:tr>
      <w:tr>
        <w:trPr>
          <w:trHeight w:val="224"/>
        </w:trPr>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Number</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350"/>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6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6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and 18 U.S.C. Section 1350 as adopted pursuant to Section 906 of The Sarbanes-Oxley Act of 2002.</w:t>
            </w:r>
          </w:p>
        </w:tc>
      </w:tr>
      <w:tr>
        <w:trPr>
          <w:trHeight w:val="40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and 18 U.S.C. Section 1350 as adopted pursuant to Section 906 of The 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color w:val="auto"/>
              </w:rPr>
              <w:t>INS^^</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Instance Document</w:t>
            </w:r>
          </w:p>
        </w:tc>
      </w:tr>
      <w:tr>
        <w:trPr>
          <w:trHeight w:val="500"/>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 SCH^^</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CAL^^</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DEF^^</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LAB^^</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PRE^^</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60" w:hanging="492"/>
        <w:spacing w:after="0" w:line="253" w:lineRule="auto"/>
        <w:tabs>
          <w:tab w:leader="none" w:pos="50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right="40" w:hanging="492"/>
        <w:spacing w:after="0" w:line="302" w:lineRule="auto"/>
        <w:tabs>
          <w:tab w:leader="none" w:pos="500" w:val="left"/>
        </w:tabs>
        <w:numPr>
          <w:ilvl w:val="0"/>
          <w:numId w:val="14"/>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7, 2013</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7, 2013</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2013,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7, 2013</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2013,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2013</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decimal"/>
      <w:start w:val="2"/>
    </w:lvl>
  </w:abstractNum>
  <w:abstractNum w:abstractNumId="17">
    <w:nsid w:val="431BD7B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2019-12-07T00:23:04Z</dcterms:created>
  <dcterms:modified xsi:type="dcterms:W3CDTF">2019-12-07T00:23:04Z</dcterms:modified>
</cp:coreProperties>
</file>