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05" w:lineRule="exact"/>
        <w:rPr>
          <w:sz w:val="24"/>
          <w:szCs w:val="24"/>
          <w:color w:val="auto"/>
        </w:rPr>
      </w:pPr>
    </w:p>
    <w:p>
      <w:pPr>
        <w:ind w:left="3840" w:right="3600" w:hanging="3832"/>
        <w:spacing w:after="0" w:line="537" w:lineRule="auto"/>
        <w:tabs>
          <w:tab w:leader="none" w:pos="34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4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39"/>
        <w:spacing w:after="0"/>
        <w:tabs>
          <w:tab w:leader="none" w:pos="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001-35662</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QUALYS, INC.</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000"/>
          </w:cols>
          <w:pgMar w:left="320" w:top="719" w:right="579" w:bottom="1440" w:gutter="0" w:footer="0" w:header="0"/>
        </w:sectPr>
      </w:pPr>
    </w:p>
    <w:p>
      <w:pPr>
        <w:spacing w:after="0" w:line="20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77-0534145</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60"/>
          </w:cols>
          <w:pgMar w:left="320" w:top="719" w:right="579" w:bottom="1440" w:gutter="0" w:footer="0" w:header="0"/>
          <w:type w:val="continuous"/>
        </w:sectPr>
      </w:pPr>
    </w:p>
    <w:p>
      <w:pPr>
        <w:spacing w:after="0" w:line="30"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919 E. Hillsdale Boulevard, 4th Floor, Foster City, California 94404</w:t>
      </w:r>
    </w:p>
    <w:p>
      <w:pPr>
        <w:spacing w:after="0" w:line="50" w:lineRule="exact"/>
        <w:rPr>
          <w:sz w:val="24"/>
          <w:szCs w:val="24"/>
          <w:color w:val="auto"/>
        </w:rPr>
      </w:pPr>
    </w:p>
    <w:p>
      <w:pPr>
        <w:ind w:left="3400"/>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(650) 801-6100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00"/>
          </w:cols>
          <w:pgMar w:left="320" w:top="719" w:right="579" w:bottom="1440" w:gutter="0" w:footer="0" w:header="0"/>
          <w:type w:val="continuous"/>
        </w:sectPr>
      </w:pPr>
    </w:p>
    <w:p>
      <w:pPr>
        <w:spacing w:after="0" w:line="20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QLYS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180" w:space="720"/>
            <w:col w:w="2040" w:space="720"/>
            <w:col w:w="3340"/>
          </w:cols>
          <w:pgMar w:left="320" w:top="719" w:right="579" w:bottom="1440" w:gutter="0" w:footer="0" w:header="0"/>
          <w:type w:val="continuous"/>
        </w:sectPr>
      </w:pPr>
    </w:p>
    <w:p>
      <w:pPr>
        <w:spacing w:after="0" w:line="11" w:lineRule="exact"/>
        <w:rPr>
          <w:sz w:val="24"/>
          <w:szCs w:val="24"/>
          <w:color w:val="auto"/>
        </w:rPr>
      </w:pPr>
    </w:p>
    <w:p>
      <w:pPr>
        <w:ind w:right="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120"/>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4"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2"/>
        </w:trPr>
        <w:tc>
          <w:tcPr>
            <w:tcW w:w="31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0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right="1480"/>
        <w:spacing w:after="0" w:line="24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July 27, 2023 was 36,712,075.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19" w:right="5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3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89"/>
              </w:rPr>
              <w:t>Qualys, Inc.</w:t>
            </w: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8"/>
              </w:rPr>
              <w:t>TABLE OF CONTENTS</w:t>
            </w: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18"/>
            <w:vMerge w:val="restart"/>
          </w:tcPr>
          <w:p>
            <w:pPr>
              <w:spacing w:after="0"/>
              <w:rPr>
                <w:sz w:val="20"/>
                <w:szCs w:val="20"/>
                <w:color w:val="auto"/>
              </w:rPr>
            </w:pPr>
            <w:r>
              <w:rPr>
                <w:rFonts w:ascii="Arial" w:cs="Arial" w:eastAsia="Arial" w:hAnsi="Arial"/>
                <w:sz w:val="18"/>
                <w:szCs w:val="18"/>
                <w:color w:val="0000EE"/>
              </w:rPr>
              <w:t>Risk Factor Summary</w:t>
            </w:r>
          </w:p>
        </w:tc>
        <w:tc>
          <w:tcPr>
            <w:tcW w:w="4000" w:type="dxa"/>
            <w:vAlign w:val="bottom"/>
            <w:gridSpan w:val="5"/>
          </w:tcPr>
          <w:p>
            <w:pPr>
              <w:ind w:left="34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5"/>
        </w:trPr>
        <w:tc>
          <w:tcPr>
            <w:tcW w:w="7240" w:type="dxa"/>
            <w:vAlign w:val="bottom"/>
            <w:gridSpan w:val="18"/>
            <w:vMerge w:val="continue"/>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20" w:type="dxa"/>
            <w:vAlign w:val="bottom"/>
            <w:gridSpan w:val="7"/>
          </w:tcPr>
          <w:p>
            <w:pPr>
              <w:jc w:val="center"/>
              <w:ind w:left="210"/>
              <w:spacing w:after="0"/>
              <w:rPr>
                <w:sz w:val="20"/>
                <w:szCs w:val="20"/>
                <w:color w:val="auto"/>
              </w:rPr>
            </w:pPr>
            <w:r>
              <w:rPr>
                <w:rFonts w:ascii="Arial" w:cs="Arial" w:eastAsia="Arial" w:hAnsi="Arial"/>
                <w:sz w:val="18"/>
                <w:szCs w:val="18"/>
                <w:b w:val="1"/>
                <w:bCs w:val="1"/>
                <w:color w:val="auto"/>
              </w:rPr>
              <w:t>PART I – FINANCIAL INFORMATION</w:t>
            </w:r>
          </w:p>
        </w:tc>
        <w:tc>
          <w:tcPr>
            <w:tcW w:w="3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7"/>
          </w:tcPr>
          <w:p>
            <w:pPr>
              <w:spacing w:after="0" w:line="190" w:lineRule="exact"/>
              <w:rPr>
                <w:sz w:val="20"/>
                <w:szCs w:val="20"/>
                <w:color w:val="auto"/>
              </w:rPr>
            </w:pPr>
            <w:r>
              <w:rPr>
                <w:rFonts w:ascii="Arial" w:cs="Arial" w:eastAsia="Arial" w:hAnsi="Arial"/>
                <w:sz w:val="18"/>
                <w:szCs w:val="18"/>
                <w:color w:val="0000EE"/>
                <w:w w:val="88"/>
              </w:rPr>
              <w:t>Financial Statements</w:t>
            </w:r>
          </w:p>
        </w:tc>
        <w:tc>
          <w:tcPr>
            <w:tcW w:w="4940" w:type="dxa"/>
            <w:vAlign w:val="bottom"/>
            <w:gridSpan w:val="10"/>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44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3660" w:type="dxa"/>
            <w:vAlign w:val="bottom"/>
            <w:gridSpan w:val="3"/>
          </w:tcPr>
          <w:p>
            <w:pPr>
              <w:jc w:val="center"/>
              <w:ind w:left="3470"/>
              <w:spacing w:after="0" w:line="196" w:lineRule="exact"/>
              <w:rPr>
                <w:sz w:val="20"/>
                <w:szCs w:val="20"/>
                <w:color w:val="auto"/>
              </w:rPr>
            </w:pPr>
            <w:r>
              <w:rPr>
                <w:rFonts w:ascii="Arial" w:cs="Arial" w:eastAsia="Arial" w:hAnsi="Arial"/>
                <w:sz w:val="18"/>
                <w:szCs w:val="18"/>
                <w:color w:val="0000EE"/>
                <w:w w:val="99"/>
              </w:rPr>
              <w:t>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w:t>
            </w:r>
          </w:p>
        </w:tc>
        <w:tc>
          <w:tcPr>
            <w:tcW w:w="2780" w:type="dxa"/>
            <w:vAlign w:val="bottom"/>
            <w:gridSpan w:val="6"/>
          </w:tcPr>
          <w:p>
            <w:pPr>
              <w:spacing w:after="0"/>
              <w:rPr>
                <w:sz w:val="17"/>
                <w:szCs w:val="17"/>
                <w:color w:val="auto"/>
              </w:rPr>
            </w:pPr>
          </w:p>
        </w:tc>
        <w:tc>
          <w:tcPr>
            <w:tcW w:w="356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5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Condensed Consolidated Statements of Comprehensive Income</w:t>
            </w:r>
          </w:p>
        </w:tc>
        <w:tc>
          <w:tcPr>
            <w:tcW w:w="1860" w:type="dxa"/>
            <w:vAlign w:val="bottom"/>
          </w:tcPr>
          <w:p>
            <w:pPr>
              <w:spacing w:after="0"/>
              <w:rPr>
                <w:sz w:val="17"/>
                <w:szCs w:val="17"/>
                <w:color w:val="auto"/>
              </w:rPr>
            </w:pPr>
          </w:p>
        </w:tc>
        <w:tc>
          <w:tcPr>
            <w:tcW w:w="356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6</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44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3660" w:type="dxa"/>
            <w:vAlign w:val="bottom"/>
            <w:gridSpan w:val="3"/>
          </w:tcPr>
          <w:p>
            <w:pPr>
              <w:jc w:val="center"/>
              <w:ind w:left="3470"/>
              <w:spacing w:after="0" w:line="196" w:lineRule="exact"/>
              <w:rPr>
                <w:sz w:val="20"/>
                <w:szCs w:val="20"/>
                <w:color w:val="auto"/>
              </w:rPr>
            </w:pPr>
            <w:r>
              <w:rPr>
                <w:rFonts w:ascii="Arial" w:cs="Arial" w:eastAsia="Arial" w:hAnsi="Arial"/>
                <w:sz w:val="18"/>
                <w:szCs w:val="18"/>
                <w:color w:val="0000EE"/>
                <w:w w:val="99"/>
              </w:rPr>
              <w:t>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3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Condensed Consolidated Statements of Stockholders' Equity</w:t>
            </w:r>
          </w:p>
        </w:tc>
        <w:tc>
          <w:tcPr>
            <w:tcW w:w="2060" w:type="dxa"/>
            <w:vAlign w:val="bottom"/>
            <w:gridSpan w:val="2"/>
          </w:tcPr>
          <w:p>
            <w:pPr>
              <w:spacing w:after="0"/>
              <w:rPr>
                <w:sz w:val="17"/>
                <w:szCs w:val="17"/>
                <w:color w:val="auto"/>
              </w:rPr>
            </w:pPr>
          </w:p>
        </w:tc>
        <w:tc>
          <w:tcPr>
            <w:tcW w:w="356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440" w:type="dxa"/>
            <w:vAlign w:val="bottom"/>
            <w:gridSpan w:val="17"/>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3660" w:type="dxa"/>
            <w:vAlign w:val="bottom"/>
            <w:gridSpan w:val="3"/>
          </w:tcPr>
          <w:p>
            <w:pPr>
              <w:jc w:val="center"/>
              <w:ind w:left="3470"/>
              <w:spacing w:after="0" w:line="196" w:lineRule="exact"/>
              <w:rPr>
                <w:sz w:val="20"/>
                <w:szCs w:val="20"/>
                <w:color w:val="auto"/>
              </w:rPr>
            </w:pPr>
            <w:r>
              <w:rPr>
                <w:rFonts w:ascii="Arial" w:cs="Arial" w:eastAsia="Arial" w:hAnsi="Arial"/>
                <w:sz w:val="18"/>
                <w:szCs w:val="18"/>
                <w:color w:val="0000EE"/>
                <w:w w:val="99"/>
              </w:rPr>
              <w:t>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40" w:type="dxa"/>
            <w:vAlign w:val="bottom"/>
            <w:gridSpan w:val="17"/>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w w:val="91"/>
              </w:rPr>
              <w:t>Quantitative and Qualitative Disclosures About Market Risk</w:t>
            </w:r>
          </w:p>
        </w:tc>
        <w:tc>
          <w:tcPr>
            <w:tcW w:w="2100" w:type="dxa"/>
            <w:vAlign w:val="bottom"/>
            <w:gridSpan w:val="3"/>
          </w:tcPr>
          <w:p>
            <w:pPr>
              <w:spacing w:after="0"/>
              <w:rPr>
                <w:sz w:val="17"/>
                <w:szCs w:val="17"/>
                <w:color w:val="auto"/>
              </w:rPr>
            </w:pP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34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2100" w:type="dxa"/>
            <w:vAlign w:val="bottom"/>
            <w:gridSpan w:val="3"/>
          </w:tcPr>
          <w:p>
            <w:pPr>
              <w:spacing w:after="0"/>
              <w:rPr>
                <w:sz w:val="17"/>
                <w:szCs w:val="17"/>
                <w:color w:val="auto"/>
              </w:rPr>
            </w:pP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34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20" w:type="dxa"/>
            <w:vAlign w:val="bottom"/>
            <w:gridSpan w:val="7"/>
          </w:tcPr>
          <w:p>
            <w:pPr>
              <w:ind w:left="560"/>
              <w:spacing w:after="0"/>
              <w:rPr>
                <w:sz w:val="20"/>
                <w:szCs w:val="20"/>
                <w:color w:val="auto"/>
              </w:rPr>
            </w:pPr>
            <w:r>
              <w:rPr>
                <w:rFonts w:ascii="Arial" w:cs="Arial" w:eastAsia="Arial" w:hAnsi="Arial"/>
                <w:sz w:val="18"/>
                <w:szCs w:val="18"/>
                <w:b w:val="1"/>
                <w:bCs w:val="1"/>
                <w:color w:val="auto"/>
              </w:rPr>
              <w:t>PART II – OTHER INFORMATION</w:t>
            </w:r>
          </w:p>
        </w:tc>
        <w:tc>
          <w:tcPr>
            <w:tcW w:w="35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6440" w:type="dxa"/>
            <w:vAlign w:val="bottom"/>
            <w:gridSpan w:val="17"/>
          </w:tcPr>
          <w:p>
            <w:pPr>
              <w:spacing w:after="0" w:line="190" w:lineRule="exact"/>
              <w:rPr>
                <w:sz w:val="20"/>
                <w:szCs w:val="20"/>
                <w:color w:val="auto"/>
              </w:rPr>
            </w:pPr>
            <w:r>
              <w:rPr>
                <w:rFonts w:ascii="Arial" w:cs="Arial" w:eastAsia="Arial" w:hAnsi="Arial"/>
                <w:sz w:val="18"/>
                <w:szCs w:val="18"/>
                <w:color w:val="0000EE"/>
              </w:rPr>
              <w:t>Legal Proceedings</w:t>
            </w:r>
          </w:p>
        </w:tc>
        <w:tc>
          <w:tcPr>
            <w:tcW w:w="3700" w:type="dxa"/>
            <w:vAlign w:val="bottom"/>
            <w:gridSpan w:val="4"/>
          </w:tcPr>
          <w:p>
            <w:pPr>
              <w:jc w:val="center"/>
              <w:ind w:left="3430"/>
              <w:spacing w:after="0" w:line="190" w:lineRule="exact"/>
              <w:rPr>
                <w:sz w:val="20"/>
                <w:szCs w:val="20"/>
                <w:color w:val="auto"/>
              </w:rPr>
            </w:pPr>
            <w:r>
              <w:rPr>
                <w:rFonts w:ascii="Arial" w:cs="Arial" w:eastAsia="Arial" w:hAnsi="Arial"/>
                <w:sz w:val="18"/>
                <w:szCs w:val="18"/>
                <w:color w:val="0000EE"/>
                <w:w w:val="89"/>
              </w:rPr>
              <w:t>35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gridSpan w:val="5"/>
          </w:tcPr>
          <w:p>
            <w:pPr>
              <w:spacing w:after="0" w:line="196" w:lineRule="exact"/>
              <w:rPr>
                <w:sz w:val="20"/>
                <w:szCs w:val="20"/>
                <w:color w:val="auto"/>
              </w:rPr>
            </w:pPr>
            <w:r>
              <w:rPr>
                <w:rFonts w:ascii="Arial" w:cs="Arial" w:eastAsia="Arial" w:hAnsi="Arial"/>
                <w:sz w:val="18"/>
                <w:szCs w:val="18"/>
                <w:color w:val="0000EE"/>
                <w:w w:val="87"/>
              </w:rPr>
              <w:t>Risk Factors</w:t>
            </w:r>
          </w:p>
        </w:tc>
        <w:tc>
          <w:tcPr>
            <w:tcW w:w="400" w:type="dxa"/>
            <w:vAlign w:val="bottom"/>
          </w:tcPr>
          <w:p>
            <w:pPr>
              <w:spacing w:after="0"/>
              <w:rPr>
                <w:sz w:val="17"/>
                <w:szCs w:val="17"/>
                <w:color w:val="auto"/>
              </w:rPr>
            </w:pPr>
          </w:p>
        </w:tc>
        <w:tc>
          <w:tcPr>
            <w:tcW w:w="5140" w:type="dxa"/>
            <w:vAlign w:val="bottom"/>
            <w:gridSpan w:val="11"/>
          </w:tcPr>
          <w:p>
            <w:pPr>
              <w:spacing w:after="0"/>
              <w:rPr>
                <w:sz w:val="17"/>
                <w:szCs w:val="17"/>
                <w:color w:val="auto"/>
              </w:rPr>
            </w:pP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35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40" w:type="dxa"/>
            <w:vAlign w:val="bottom"/>
            <w:gridSpan w:val="17"/>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54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gridSpan w:val="9"/>
          </w:tcPr>
          <w:p>
            <w:pPr>
              <w:spacing w:after="0" w:line="196" w:lineRule="exact"/>
              <w:rPr>
                <w:sz w:val="20"/>
                <w:szCs w:val="20"/>
                <w:color w:val="auto"/>
              </w:rPr>
            </w:pPr>
            <w:r>
              <w:rPr>
                <w:rFonts w:ascii="Arial" w:cs="Arial" w:eastAsia="Arial" w:hAnsi="Arial"/>
                <w:sz w:val="18"/>
                <w:szCs w:val="18"/>
                <w:color w:val="0000EE"/>
                <w:w w:val="89"/>
              </w:rPr>
              <w:t>Defaults upon Senior Securities</w:t>
            </w:r>
          </w:p>
        </w:tc>
        <w:tc>
          <w:tcPr>
            <w:tcW w:w="2060" w:type="dxa"/>
            <w:vAlign w:val="bottom"/>
            <w:gridSpan w:val="5"/>
          </w:tcPr>
          <w:p>
            <w:pPr>
              <w:spacing w:after="0"/>
              <w:rPr>
                <w:sz w:val="17"/>
                <w:szCs w:val="17"/>
                <w:color w:val="auto"/>
              </w:rPr>
            </w:pPr>
          </w:p>
        </w:tc>
        <w:tc>
          <w:tcPr>
            <w:tcW w:w="2100" w:type="dxa"/>
            <w:vAlign w:val="bottom"/>
            <w:gridSpan w:val="3"/>
          </w:tcPr>
          <w:p>
            <w:pPr>
              <w:spacing w:after="0"/>
              <w:rPr>
                <w:sz w:val="17"/>
                <w:szCs w:val="17"/>
                <w:color w:val="auto"/>
              </w:rPr>
            </w:pP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54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280" w:type="dxa"/>
            <w:vAlign w:val="bottom"/>
            <w:gridSpan w:val="9"/>
          </w:tcPr>
          <w:p>
            <w:pPr>
              <w:spacing w:after="0" w:line="196" w:lineRule="exact"/>
              <w:rPr>
                <w:sz w:val="20"/>
                <w:szCs w:val="20"/>
                <w:color w:val="auto"/>
              </w:rPr>
            </w:pPr>
            <w:r>
              <w:rPr>
                <w:rFonts w:ascii="Arial" w:cs="Arial" w:eastAsia="Arial" w:hAnsi="Arial"/>
                <w:sz w:val="18"/>
                <w:szCs w:val="18"/>
                <w:color w:val="0000EE"/>
              </w:rPr>
              <w:t>Mine Safety Disclosures</w:t>
            </w:r>
          </w:p>
        </w:tc>
        <w:tc>
          <w:tcPr>
            <w:tcW w:w="4160" w:type="dxa"/>
            <w:vAlign w:val="bottom"/>
            <w:gridSpan w:val="8"/>
          </w:tcPr>
          <w:p>
            <w:pPr>
              <w:spacing w:after="0"/>
              <w:rPr>
                <w:sz w:val="17"/>
                <w:szCs w:val="17"/>
                <w:color w:val="auto"/>
              </w:rPr>
            </w:pP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54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gridSpan w:val="8"/>
          </w:tcPr>
          <w:p>
            <w:pPr>
              <w:spacing w:after="0" w:line="196" w:lineRule="exact"/>
              <w:rPr>
                <w:sz w:val="20"/>
                <w:szCs w:val="20"/>
                <w:color w:val="auto"/>
              </w:rPr>
            </w:pPr>
            <w:r>
              <w:rPr>
                <w:rFonts w:ascii="Arial" w:cs="Arial" w:eastAsia="Arial" w:hAnsi="Arial"/>
                <w:sz w:val="18"/>
                <w:szCs w:val="18"/>
                <w:color w:val="0000EE"/>
              </w:rPr>
              <w:t>Other Information</w:t>
            </w:r>
          </w:p>
        </w:tc>
        <w:tc>
          <w:tcPr>
            <w:tcW w:w="4680" w:type="dxa"/>
            <w:vAlign w:val="bottom"/>
            <w:gridSpan w:val="9"/>
          </w:tcPr>
          <w:p>
            <w:pPr>
              <w:spacing w:after="0"/>
              <w:rPr>
                <w:sz w:val="17"/>
                <w:szCs w:val="17"/>
                <w:color w:val="auto"/>
              </w:rPr>
            </w:pP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54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0000EE"/>
                <w:w w:val="91"/>
              </w:rPr>
              <w:t>Exhibits</w:t>
            </w:r>
          </w:p>
        </w:tc>
        <w:tc>
          <w:tcPr>
            <w:tcW w:w="700" w:type="dxa"/>
            <w:vAlign w:val="bottom"/>
            <w:gridSpan w:val="4"/>
          </w:tcPr>
          <w:p>
            <w:pPr>
              <w:spacing w:after="0"/>
              <w:rPr>
                <w:sz w:val="17"/>
                <w:szCs w:val="17"/>
                <w:color w:val="auto"/>
              </w:rPr>
            </w:pPr>
          </w:p>
        </w:tc>
        <w:tc>
          <w:tcPr>
            <w:tcW w:w="5140" w:type="dxa"/>
            <w:vAlign w:val="bottom"/>
            <w:gridSpan w:val="11"/>
          </w:tcPr>
          <w:p>
            <w:pPr>
              <w:spacing w:after="0"/>
              <w:rPr>
                <w:sz w:val="17"/>
                <w:szCs w:val="17"/>
                <w:color w:val="auto"/>
              </w:rPr>
            </w:pP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54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w w:val="85"/>
              </w:rPr>
              <w:t>Signatures</w:t>
            </w:r>
          </w:p>
        </w:tc>
        <w:tc>
          <w:tcPr>
            <w:tcW w:w="5680" w:type="dxa"/>
            <w:vAlign w:val="bottom"/>
            <w:gridSpan w:val="14"/>
          </w:tcPr>
          <w:p>
            <w:pPr>
              <w:spacing w:after="0"/>
              <w:rPr>
                <w:sz w:val="17"/>
                <w:szCs w:val="17"/>
                <w:color w:val="auto"/>
              </w:rPr>
            </w:pPr>
          </w:p>
        </w:tc>
        <w:tc>
          <w:tcPr>
            <w:tcW w:w="3700" w:type="dxa"/>
            <w:vAlign w:val="bottom"/>
            <w:gridSpan w:val="4"/>
          </w:tcPr>
          <w:p>
            <w:pPr>
              <w:jc w:val="center"/>
              <w:ind w:left="3430"/>
              <w:spacing w:after="0" w:line="196" w:lineRule="exact"/>
              <w:rPr>
                <w:sz w:val="20"/>
                <w:szCs w:val="20"/>
                <w:color w:val="auto"/>
              </w:rPr>
            </w:pPr>
            <w:r>
              <w:rPr>
                <w:rFonts w:ascii="Arial" w:cs="Arial" w:eastAsia="Arial" w:hAnsi="Arial"/>
                <w:sz w:val="18"/>
                <w:szCs w:val="18"/>
                <w:color w:val="0000EE"/>
                <w:w w:val="89"/>
              </w:rPr>
              <w:t>55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5680" w:type="dxa"/>
            <w:vAlign w:val="bottom"/>
            <w:gridSpan w:val="14"/>
          </w:tcPr>
          <w:p>
            <w:pPr>
              <w:jc w:val="center"/>
              <w:ind w:left="2350"/>
              <w:spacing w:after="0"/>
              <w:rPr>
                <w:sz w:val="20"/>
                <w:szCs w:val="20"/>
                <w:color w:val="auto"/>
              </w:rPr>
            </w:pPr>
            <w:r>
              <w:rPr>
                <w:rFonts w:ascii="Arial" w:cs="Arial" w:eastAsia="Arial" w:hAnsi="Arial"/>
                <w:sz w:val="18"/>
                <w:szCs w:val="18"/>
                <w:color w:val="auto"/>
                <w:w w:val="79"/>
              </w:rPr>
              <w:t>2</w:t>
            </w:r>
          </w:p>
        </w:tc>
        <w:tc>
          <w:tcPr>
            <w:tcW w:w="35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11" w:lineRule="exact"/>
        <w:rPr>
          <w:sz w:val="20"/>
          <w:szCs w:val="20"/>
          <w:color w:val="auto"/>
        </w:rPr>
      </w:pPr>
    </w:p>
    <w:p>
      <w:pPr>
        <w:jc w:val="both"/>
        <w:ind w:right="260" w:firstLine="518"/>
        <w:spacing w:after="0" w:line="273" w:lineRule="auto"/>
        <w:rPr>
          <w:sz w:val="20"/>
          <w:szCs w:val="20"/>
          <w:color w:val="auto"/>
        </w:rPr>
      </w:pPr>
      <w:r>
        <w:rPr>
          <w:rFonts w:ascii="Arial" w:cs="Arial" w:eastAsia="Arial" w:hAnsi="Arial"/>
          <w:sz w:val="17"/>
          <w:szCs w:val="17"/>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occurs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78" w:lineRule="exact"/>
        <w:rPr>
          <w:sz w:val="20"/>
          <w:szCs w:val="20"/>
          <w:color w:val="auto"/>
        </w:rPr>
      </w:pPr>
    </w:p>
    <w:p>
      <w:pPr>
        <w:ind w:left="720" w:hanging="223"/>
        <w:spacing w:after="0" w:line="25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and annual operating results may vary from period to period, which could result in our failure to meet expectations with respect to operating results and cause the trading price of our stock to decline.</w:t>
      </w:r>
    </w:p>
    <w:p>
      <w:pPr>
        <w:spacing w:after="0" w:line="1" w:lineRule="exact"/>
        <w:rPr>
          <w:rFonts w:ascii="Arial" w:cs="Arial" w:eastAsia="Arial" w:hAnsi="Arial"/>
          <w:sz w:val="18"/>
          <w:szCs w:val="18"/>
          <w:color w:val="auto"/>
        </w:rPr>
      </w:pPr>
    </w:p>
    <w:p>
      <w:pPr>
        <w:jc w:val="both"/>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Arial" w:cs="Arial" w:eastAsia="Arial" w:hAnsi="Arial"/>
          <w:sz w:val="18"/>
          <w:szCs w:val="18"/>
          <w:color w:val="auto"/>
        </w:rPr>
      </w:pP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continue to effectively scale and adapt our platform to meet the performance and other requirements of our customers, our operating results and our business would be harmed.</w:t>
      </w: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renew existing subscriptions for our IT, security and compliance solutions, sell additional subscriptions for our solutions and attract new customers, our operating results would be harmed.</w:t>
      </w: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research and development efforts may not produce successful products or enhancements to our platform that result in significant revenue, cost savings or other benefits in the near future.</w:t>
      </w: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platform, website and internal systems may be subject to intentional disruption or other security incidents that could result in liability and adversely impact our reputation and future sales.</w:t>
      </w: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720" w:hanging="223"/>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reduced IT spending may adversely impact our business.</w:t>
      </w:r>
    </w:p>
    <w:p>
      <w:pPr>
        <w:spacing w:after="0" w:line="9" w:lineRule="exact"/>
        <w:rPr>
          <w:rFonts w:ascii="Arial" w:cs="Arial" w:eastAsia="Arial" w:hAnsi="Arial"/>
          <w:sz w:val="18"/>
          <w:szCs w:val="18"/>
          <w:color w:val="auto"/>
        </w:rPr>
      </w:pPr>
    </w:p>
    <w:p>
      <w:pPr>
        <w:ind w:left="720" w:hanging="223"/>
        <w:spacing w:after="0" w:line="265"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IT, security and compliance solutions are delivered from 12 shared cloud platforms, and any disruption of service at these facilities would interrupt or delay our ability to deliver our solutions to our customers which could reduce our revenues and harm our operating results.</w:t>
      </w:r>
    </w:p>
    <w:p>
      <w:pPr>
        <w:ind w:left="720" w:hanging="223"/>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competition in our markets, and we may lack sufficient financial or other resources to maintain or improve our competitive position.</w:t>
      </w:r>
    </w:p>
    <w:p>
      <w:pPr>
        <w:spacing w:after="0" w:line="20" w:lineRule="exact"/>
        <w:rPr>
          <w:rFonts w:ascii="Arial" w:cs="Arial" w:eastAsia="Arial" w:hAnsi="Arial"/>
          <w:sz w:val="17"/>
          <w:szCs w:val="17"/>
          <w:color w:val="auto"/>
        </w:rPr>
      </w:pP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solutions fail to detect vulnerabilities or incorrectly detect vulnerabilities, our brand and reputation could be harmed, which could have an adverse effect on our business and results of operations.</w:t>
      </w:r>
    </w:p>
    <w:p>
      <w:pPr>
        <w:ind w:left="720" w:hanging="223"/>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the expansion of our sales force, sales of our solutions and the growth of our business would be harmed.</w:t>
      </w:r>
    </w:p>
    <w:p>
      <w:pPr>
        <w:spacing w:after="0" w:line="20" w:lineRule="exact"/>
        <w:rPr>
          <w:rFonts w:ascii="Arial" w:cs="Arial" w:eastAsia="Arial" w:hAnsi="Arial"/>
          <w:sz w:val="17"/>
          <w:szCs w:val="17"/>
          <w:color w:val="auto"/>
        </w:rPr>
      </w:pP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channel partners to generate a substantial amount of our revenues, and if we fail to expand and manage our distribution channels, our revenues could decline and our growth prospects could suffer.</w:t>
      </w:r>
    </w:p>
    <w:p>
      <w:pPr>
        <w:jc w:val="both"/>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Arial" w:cs="Arial" w:eastAsia="Arial" w:hAnsi="Arial"/>
          <w:sz w:val="18"/>
          <w:szCs w:val="18"/>
          <w:color w:val="auto"/>
        </w:rPr>
      </w:pPr>
    </w:p>
    <w:p>
      <w:pPr>
        <w:ind w:left="720" w:right="20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for cloud solutions for IT, security and compliance does not evolve as we anticipate, our revenues may not grow and our operating results would be harmed.</w:t>
      </w: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operations have continued to grow since inception, and if we do not appropriately manage any future growth, or are unable to improve our systems and processes, our operating results may be negatively affected.</w:t>
      </w:r>
    </w:p>
    <w:p>
      <w:pPr>
        <w:ind w:left="720" w:hanging="223"/>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9" w:lineRule="exact"/>
        <w:rPr>
          <w:rFonts w:ascii="Arial" w:cs="Arial" w:eastAsia="Arial" w:hAnsi="Arial"/>
          <w:sz w:val="18"/>
          <w:szCs w:val="18"/>
          <w:color w:val="auto"/>
        </w:rPr>
      </w:pPr>
    </w:p>
    <w:p>
      <w:pPr>
        <w:ind w:left="720" w:hanging="223"/>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Undetected software errors or flaws in our solutions could harm our reputation, decrease market acceptance of our solutions or result in liability.</w:t>
      </w:r>
    </w:p>
    <w:p>
      <w:pPr>
        <w:spacing w:after="0" w:line="32" w:lineRule="exact"/>
        <w:rPr>
          <w:rFonts w:ascii="Arial" w:cs="Arial" w:eastAsia="Arial" w:hAnsi="Arial"/>
          <w:sz w:val="16"/>
          <w:szCs w:val="16"/>
          <w:color w:val="auto"/>
        </w:rPr>
      </w:pP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contain third-party open source software components, and our failure to comply with the terms of the underlying open source software licenses could restrict our ability to sell our solutions.</w:t>
      </w:r>
    </w:p>
    <w:p>
      <w:pPr>
        <w:ind w:left="720" w:hanging="22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use third-party software and data that may be difficult to replace or cause errors or failures of our solutions that could lead to lost customers or harm to our reputation and our operating results.</w:t>
      </w:r>
    </w:p>
    <w:p>
      <w:pPr>
        <w:ind w:left="720" w:hanging="223"/>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protect our proprietary technology and intellectual property rights could substantially harm our business and operating results.</w:t>
      </w:r>
    </w:p>
    <w:p>
      <w:pPr>
        <w:spacing w:after="0" w:line="20" w:lineRule="exact"/>
        <w:rPr>
          <w:rFonts w:ascii="Arial" w:cs="Arial" w:eastAsia="Arial" w:hAnsi="Arial"/>
          <w:sz w:val="17"/>
          <w:szCs w:val="17"/>
          <w:color w:val="auto"/>
        </w:rPr>
      </w:pPr>
    </w:p>
    <w:p>
      <w:pPr>
        <w:ind w:left="720" w:hanging="223"/>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Assertions by third parties of infringement or other violations by us of their intellectual property rights could result in significant costs and harm our business and operating results.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7380" w:type="dxa"/>
            <w:vAlign w:val="bottom"/>
          </w:tcPr>
          <w:p>
            <w:pPr>
              <w:jc w:val="center"/>
              <w:ind w:left="259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0" w:type="dxa"/>
            <w:vAlign w:val="bottom"/>
          </w:tcPr>
          <w:p>
            <w:pPr>
              <w:spacing w:after="0"/>
              <w:rPr>
                <w:sz w:val="24"/>
                <w:szCs w:val="24"/>
                <w:color w:val="auto"/>
              </w:rPr>
            </w:pPr>
          </w:p>
        </w:tc>
        <w:tc>
          <w:tcPr>
            <w:tcW w:w="7380" w:type="dxa"/>
            <w:vAlign w:val="bottom"/>
          </w:tcPr>
          <w:p>
            <w:pPr>
              <w:ind w:left="4540"/>
              <w:spacing w:after="0"/>
              <w:rPr>
                <w:sz w:val="20"/>
                <w:szCs w:val="20"/>
                <w:color w:val="auto"/>
              </w:rPr>
            </w:pPr>
            <w:r>
              <w:rPr>
                <w:rFonts w:ascii="Arial" w:cs="Arial" w:eastAsia="Arial" w:hAnsi="Arial"/>
                <w:sz w:val="18"/>
                <w:szCs w:val="18"/>
                <w:b w:val="1"/>
                <w:bCs w:val="1"/>
                <w:color w:val="auto"/>
              </w:rPr>
              <w:t>Qualys, Inc.</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7380" w:type="dxa"/>
            <w:vAlign w:val="bottom"/>
          </w:tcPr>
          <w:p>
            <w:pPr>
              <w:jc w:val="center"/>
              <w:ind w:left="25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7380" w:type="dxa"/>
            <w:vAlign w:val="bottom"/>
          </w:tcPr>
          <w:p>
            <w:pPr>
              <w:jc w:val="center"/>
              <w:ind w:left="259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7380" w:type="dxa"/>
            <w:vAlign w:val="bottom"/>
          </w:tcPr>
          <w:p>
            <w:pPr>
              <w:jc w:val="center"/>
              <w:ind w:left="25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Assets</w:t>
            </w:r>
          </w:p>
        </w:tc>
        <w:tc>
          <w:tcPr>
            <w:tcW w:w="7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147,608</w:t>
            </w:r>
          </w:p>
        </w:tc>
        <w:tc>
          <w:tcPr>
            <w:tcW w:w="100" w:type="dxa"/>
            <w:vAlign w:val="bottom"/>
          </w:tcPr>
          <w:p>
            <w:pPr>
              <w:spacing w:after="0"/>
              <w:rPr>
                <w:sz w:val="18"/>
                <w:szCs w:val="18"/>
                <w:color w:val="auto"/>
              </w:rPr>
            </w:pPr>
          </w:p>
        </w:tc>
      </w:tr>
      <w:tr>
        <w:trPr>
          <w:trHeight w:val="202"/>
        </w:trPr>
        <w:tc>
          <w:tcPr>
            <w:tcW w:w="79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Accounts receivable, net of allowance of $668 and $736 as of June 30, 2023 and December 31, 2022,</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121,795</w:t>
            </w:r>
          </w:p>
        </w:tc>
        <w:tc>
          <w:tcPr>
            <w:tcW w:w="100" w:type="dxa"/>
            <w:vAlign w:val="bottom"/>
            <w:shd w:val="clear" w:color="auto" w:fill="CCEEFF"/>
          </w:tcPr>
          <w:p>
            <w:pPr>
              <w:spacing w:after="0"/>
              <w:rPr>
                <w:sz w:val="20"/>
                <w:szCs w:val="20"/>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30,216</w:t>
            </w:r>
          </w:p>
        </w:tc>
        <w:tc>
          <w:tcPr>
            <w:tcW w:w="100" w:type="dxa"/>
            <w:vAlign w:val="bottom"/>
          </w:tcPr>
          <w:p>
            <w:pPr>
              <w:spacing w:after="0"/>
              <w:rPr>
                <w:sz w:val="18"/>
                <w:szCs w:val="18"/>
                <w:color w:val="auto"/>
              </w:rPr>
            </w:pPr>
          </w:p>
        </w:tc>
      </w:tr>
      <w:tr>
        <w:trPr>
          <w:trHeight w:val="209"/>
        </w:trPr>
        <w:tc>
          <w:tcPr>
            <w:tcW w:w="600" w:type="dxa"/>
            <w:vAlign w:val="bottom"/>
            <w:shd w:val="clear" w:color="auto" w:fill="CCEEFF"/>
          </w:tcPr>
          <w:p>
            <w:pPr>
              <w:spacing w:after="0"/>
              <w:rPr>
                <w:sz w:val="18"/>
                <w:szCs w:val="18"/>
                <w:color w:val="auto"/>
              </w:rPr>
            </w:pPr>
          </w:p>
        </w:tc>
        <w:tc>
          <w:tcPr>
            <w:tcW w:w="7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59,206</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33,752</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12,801</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00" w:type="dxa"/>
            <w:vAlign w:val="bottom"/>
          </w:tcPr>
          <w:p>
            <w:pPr>
              <w:spacing w:after="0"/>
              <w:rPr>
                <w:sz w:val="18"/>
                <w:szCs w:val="18"/>
                <w:color w:val="auto"/>
              </w:rPr>
            </w:pPr>
          </w:p>
        </w:tc>
        <w:tc>
          <w:tcPr>
            <w:tcW w:w="738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709,584</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700,941</w:t>
            </w:r>
          </w:p>
        </w:tc>
        <w:tc>
          <w:tcPr>
            <w:tcW w:w="100" w:type="dxa"/>
            <w:vAlign w:val="bottom"/>
          </w:tcPr>
          <w:p>
            <w:pPr>
              <w:spacing w:after="0"/>
              <w:rPr>
                <w:sz w:val="18"/>
                <w:szCs w:val="18"/>
                <w:color w:val="auto"/>
              </w:rPr>
            </w:pPr>
          </w:p>
        </w:tc>
      </w:tr>
      <w:tr>
        <w:trPr>
          <w:trHeight w:val="20"/>
        </w:trPr>
        <w:tc>
          <w:tcPr>
            <w:tcW w:w="79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42,592</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 current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293,728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8"/>
                <w:szCs w:val="18"/>
                <w:color w:val="auto"/>
              </w:rPr>
            </w:pPr>
          </w:p>
        </w:tc>
      </w:tr>
      <w:tr>
        <w:trPr>
          <w:trHeight w:val="210"/>
        </w:trPr>
        <w:tc>
          <w:tcPr>
            <w:tcW w:w="600" w:type="dxa"/>
            <w:vAlign w:val="bottom"/>
            <w:shd w:val="clear" w:color="auto" w:fill="CCEEFF"/>
          </w:tcPr>
          <w:p>
            <w:pPr>
              <w:spacing w:after="0"/>
              <w:rPr>
                <w:sz w:val="18"/>
                <w:szCs w:val="18"/>
                <w:color w:val="auto"/>
              </w:rPr>
            </w:pPr>
          </w:p>
        </w:tc>
        <w:tc>
          <w:tcPr>
            <w:tcW w:w="7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352,188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8"/>
                <w:szCs w:val="18"/>
                <w:color w:val="auto"/>
              </w:rPr>
            </w:pPr>
          </w:p>
        </w:tc>
      </w:tr>
      <w:tr>
        <w:trPr>
          <w:trHeight w:val="209"/>
        </w:trPr>
        <w:tc>
          <w:tcPr>
            <w:tcW w:w="600" w:type="dxa"/>
            <w:vAlign w:val="bottom"/>
            <w:shd w:val="clear" w:color="auto" w:fill="CCEEFF"/>
          </w:tcPr>
          <w:p>
            <w:pPr>
              <w:spacing w:after="0"/>
              <w:rPr>
                <w:sz w:val="18"/>
                <w:szCs w:val="18"/>
                <w:color w:val="auto"/>
              </w:rPr>
            </w:pPr>
          </w:p>
        </w:tc>
        <w:tc>
          <w:tcPr>
            <w:tcW w:w="7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411,812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9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0"/>
              </w:rPr>
              <w:t>Preferred stock: $0.001 par value; 20,000 shares authorized, no shares issued and outstanding as of June</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30, 2023 and December 31, 2022</w:t>
            </w:r>
          </w:p>
        </w:tc>
        <w:tc>
          <w:tcPr>
            <w:tcW w:w="2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79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$0.001 par value; 1,000,000 shares authorized, 36,747 and 37,362 shares issued and</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 as of June 30, 2023 and December 31, 2022, respectively</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512,486</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(1,947)</w:t>
            </w: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(255,313)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(221,447)</w:t>
            </w:r>
          </w:p>
        </w:tc>
      </w:tr>
      <w:tr>
        <w:trPr>
          <w:trHeight w:val="210"/>
        </w:trPr>
        <w:tc>
          <w:tcPr>
            <w:tcW w:w="600" w:type="dxa"/>
            <w:vAlign w:val="bottom"/>
            <w:tcBorders>
              <w:bottom w:val="single" w:sz="8" w:color="CCEEFF"/>
            </w:tcBorders>
            <w:shd w:val="clear" w:color="auto" w:fill="CCEEFF"/>
          </w:tcPr>
          <w:p>
            <w:pPr>
              <w:spacing w:after="0"/>
              <w:rPr>
                <w:sz w:val="18"/>
                <w:szCs w:val="18"/>
                <w:color w:val="auto"/>
              </w:rPr>
            </w:pPr>
          </w:p>
        </w:tc>
        <w:tc>
          <w:tcPr>
            <w:tcW w:w="7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277,018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7380" w:type="dxa"/>
            <w:vAlign w:val="bottom"/>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709,584</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700,941</w:t>
            </w:r>
          </w:p>
        </w:tc>
        <w:tc>
          <w:tcPr>
            <w:tcW w:w="10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93"/>
        </w:trPr>
        <w:tc>
          <w:tcPr>
            <w:tcW w:w="12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258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0"/>
              </w:rPr>
              <w:t>Qualys, Inc.</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00" w:type="dxa"/>
            <w:vAlign w:val="bottom"/>
            <w:gridSpan w:val="9"/>
          </w:tcPr>
          <w:p>
            <w:pPr>
              <w:jc w:val="center"/>
              <w:ind w:left="13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8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1"/>
              </w:rPr>
              <w:t>(unaudited)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5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233,313</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25,046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49,048</w:t>
            </w:r>
          </w:p>
        </w:tc>
        <w:tc>
          <w:tcPr>
            <w:tcW w:w="100" w:type="dxa"/>
            <w:vAlign w:val="bottom"/>
          </w:tcPr>
          <w:p>
            <w:pPr>
              <w:spacing w:after="0"/>
              <w:rPr>
                <w:sz w:val="18"/>
                <w:szCs w:val="18"/>
                <w:color w:val="auto"/>
              </w:rPr>
            </w:pPr>
          </w:p>
        </w:tc>
      </w:tr>
      <w:tr>
        <w:trPr>
          <w:trHeight w:val="209"/>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184,265</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47,898</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23,730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43,872</w:t>
            </w:r>
          </w:p>
        </w:tc>
        <w:tc>
          <w:tcPr>
            <w:tcW w:w="100" w:type="dxa"/>
            <w:vAlign w:val="bottom"/>
          </w:tcPr>
          <w:p>
            <w:pPr>
              <w:spacing w:after="0"/>
              <w:rPr>
                <w:sz w:val="18"/>
                <w:szCs w:val="18"/>
                <w:color w:val="auto"/>
              </w:rPr>
            </w:pPr>
          </w:p>
        </w:tc>
      </w:tr>
      <w:tr>
        <w:trPr>
          <w:trHeight w:val="216"/>
        </w:trPr>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640" w:type="dxa"/>
            <w:vAlign w:val="bottom"/>
            <w:gridSpan w:val="2"/>
          </w:tcPr>
          <w:p>
            <w:pPr>
              <w:ind w:left="660"/>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61,854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117,737</w:t>
            </w:r>
          </w:p>
        </w:tc>
        <w:tc>
          <w:tcPr>
            <w:tcW w:w="100" w:type="dxa"/>
            <w:vAlign w:val="bottom"/>
          </w:tcPr>
          <w:p>
            <w:pPr>
              <w:spacing w:after="0"/>
              <w:rPr>
                <w:sz w:val="18"/>
                <w:szCs w:val="18"/>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66,528</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(2,420)</w:t>
            </w:r>
          </w:p>
        </w:tc>
      </w:tr>
      <w:tr>
        <w:trPr>
          <w:trHeight w:val="210"/>
        </w:trPr>
        <w:tc>
          <w:tcPr>
            <w:tcW w:w="36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other income (expense), net</w:t>
            </w:r>
          </w:p>
        </w:tc>
        <w:tc>
          <w:tcPr>
            <w:tcW w:w="2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65,465</w:t>
            </w:r>
          </w:p>
        </w:tc>
        <w:tc>
          <w:tcPr>
            <w:tcW w:w="100" w:type="dxa"/>
            <w:vAlign w:val="bottom"/>
          </w:tcPr>
          <w:p>
            <w:pPr>
              <w:spacing w:after="0"/>
              <w:rPr>
                <w:sz w:val="18"/>
                <w:szCs w:val="18"/>
                <w:color w:val="auto"/>
              </w:rPr>
            </w:pPr>
          </w:p>
        </w:tc>
      </w:tr>
      <w:tr>
        <w:trPr>
          <w:trHeight w:val="216"/>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35,382</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26,596</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64,487</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52,006</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2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0.96</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64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6220" w:type="dxa"/>
            <w:vAlign w:val="bottom"/>
            <w:gridSpan w:val="4"/>
          </w:tcPr>
          <w:p>
            <w:pPr>
              <w:spacing w:after="0" w:line="196" w:lineRule="exact"/>
              <w:rPr>
                <w:sz w:val="20"/>
                <w:szCs w:val="20"/>
                <w:color w:val="auto"/>
              </w:rPr>
            </w:pPr>
            <w:r>
              <w:rPr>
                <w:rFonts w:ascii="Arial" w:cs="Arial" w:eastAsia="Arial" w:hAnsi="Arial"/>
                <w:sz w:val="18"/>
                <w:szCs w:val="18"/>
                <w:color w:val="auto"/>
              </w:rPr>
              <w:t>Weighted average shares used in computing net income per share: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36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37,435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39,689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37,551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39,844</w:t>
            </w: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18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0"/>
              </w:rPr>
              <w:t>Qualys, Inc.</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00" w:type="dxa"/>
            <w:vAlign w:val="bottom"/>
            <w:gridSpan w:val="11"/>
          </w:tcPr>
          <w:p>
            <w:pPr>
              <w:jc w:val="center"/>
              <w:ind w:left="9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Three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52,006</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260" w:type="dxa"/>
            <w:vAlign w:val="bottom"/>
            <w:gridSpan w:val="4"/>
            <w:shd w:val="clear" w:color="auto" w:fill="CCEEFF"/>
          </w:tcPr>
          <w:p>
            <w:pPr>
              <w:ind w:left="500"/>
              <w:spacing w:after="0" w:line="201" w:lineRule="exact"/>
              <w:rPr>
                <w:sz w:val="20"/>
                <w:szCs w:val="20"/>
                <w:color w:val="auto"/>
              </w:rPr>
            </w:pPr>
            <w:r>
              <w:rPr>
                <w:rFonts w:ascii="Arial" w:cs="Arial" w:eastAsia="Arial" w:hAnsi="Arial"/>
                <w:sz w:val="18"/>
                <w:szCs w:val="18"/>
                <w:color w:val="auto"/>
              </w:rPr>
              <w:t>Net change in unrealized gains (losses) on available-for-sale debt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securities, net of tax</w:t>
            </w: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(3,061)</w:t>
            </w:r>
          </w:p>
        </w:tc>
      </w:tr>
      <w:tr>
        <w:trPr>
          <w:trHeight w:val="216"/>
        </w:trPr>
        <w:tc>
          <w:tcPr>
            <w:tcW w:w="6260" w:type="dxa"/>
            <w:vAlign w:val="bottom"/>
            <w:gridSpan w:val="4"/>
          </w:tcPr>
          <w:p>
            <w:pPr>
              <w:ind w:left="500"/>
              <w:spacing w:after="0"/>
              <w:rPr>
                <w:sz w:val="20"/>
                <w:szCs w:val="20"/>
                <w:color w:val="auto"/>
              </w:rPr>
            </w:pPr>
            <w:r>
              <w:rPr>
                <w:rFonts w:ascii="Arial" w:cs="Arial" w:eastAsia="Arial" w:hAnsi="Arial"/>
                <w:sz w:val="18"/>
                <w:szCs w:val="18"/>
                <w:color w:val="auto"/>
              </w:rPr>
              <w:t>Net change in unrealized gains (losses) on cash flow hedges, net of tax</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r>
      <w:tr>
        <w:trPr>
          <w:trHeight w:val="210"/>
        </w:trPr>
        <w:tc>
          <w:tcPr>
            <w:tcW w:w="4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comprehensive income (loss), net of tax</w:t>
            </w:r>
          </w:p>
        </w:tc>
        <w:tc>
          <w:tcPr>
            <w:tcW w:w="15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4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35,237</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26,641</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64,718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50,374</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1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820" w:type="dxa"/>
            <w:vAlign w:val="bottom"/>
          </w:tcPr>
          <w:p>
            <w:pPr>
              <w:jc w:val="center"/>
              <w:ind w:left="2770"/>
              <w:spacing w:after="0"/>
              <w:rPr>
                <w:sz w:val="20"/>
                <w:szCs w:val="20"/>
                <w:color w:val="auto"/>
              </w:rPr>
            </w:pPr>
            <w:r>
              <w:rPr>
                <w:rFonts w:ascii="Arial" w:cs="Arial" w:eastAsia="Arial" w:hAnsi="Arial"/>
                <w:sz w:val="18"/>
                <w:szCs w:val="18"/>
                <w:b w:val="1"/>
                <w:bCs w:val="1"/>
                <w:color w:val="auto"/>
                <w:w w:val="90"/>
              </w:rPr>
              <w:t>Qualys, Inc.</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3"/>
          </w:tcPr>
          <w:p>
            <w:pPr>
              <w:jc w:val="center"/>
              <w:ind w:left="14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820" w:type="dxa"/>
            <w:vAlign w:val="bottom"/>
          </w:tcPr>
          <w:p>
            <w:pPr>
              <w:jc w:val="center"/>
              <w:ind w:left="279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820" w:type="dxa"/>
            <w:vAlign w:val="bottom"/>
          </w:tcPr>
          <w:p>
            <w:pPr>
              <w:jc w:val="center"/>
              <w:ind w:left="279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64,487</w:t>
            </w:r>
          </w:p>
        </w:tc>
        <w:tc>
          <w:tcPr>
            <w:tcW w:w="1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52,006</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50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14,446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17,552</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Provision for credit losses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Loss on non-marketable securities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gridSpan w:val="2"/>
          </w:tcPr>
          <w:p>
            <w:pPr>
              <w:ind w:left="500"/>
              <w:spacing w:after="0"/>
              <w:rPr>
                <w:sz w:val="20"/>
                <w:szCs w:val="20"/>
                <w:color w:val="auto"/>
              </w:rPr>
            </w:pPr>
            <w:r>
              <w:rPr>
                <w:rFonts w:ascii="Arial" w:cs="Arial" w:eastAsia="Arial" w:hAnsi="Arial"/>
                <w:sz w:val="18"/>
                <w:szCs w:val="18"/>
                <w:color w:val="auto"/>
              </w:rPr>
              <w:t>Stock-based compensation, net of amounts capitalized</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32,038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24,565</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Amortization (accretion) of premiums (discount) on marketable securities, net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(1,412)</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50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(9,122)</w:t>
            </w: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(10,861)</w:t>
            </w:r>
          </w:p>
        </w:tc>
      </w:tr>
      <w:tr>
        <w:trPr>
          <w:trHeight w:val="216"/>
        </w:trPr>
        <w:tc>
          <w:tcPr>
            <w:tcW w:w="7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66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(3,277)</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11,009</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(7,450)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(1,085)</w:t>
            </w:r>
          </w:p>
        </w:tc>
      </w:tr>
      <w:tr>
        <w:trPr>
          <w:trHeight w:val="216"/>
        </w:trPr>
        <w:tc>
          <w:tcPr>
            <w:tcW w:w="7100" w:type="dxa"/>
            <w:vAlign w:val="bottom"/>
            <w:gridSpan w:val="2"/>
          </w:tcPr>
          <w:p>
            <w:pPr>
              <w:ind w:left="66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(813)</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Accrued liabilities and other noncurrent liabilities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660"/>
              <w:spacing w:after="0"/>
              <w:rPr>
                <w:sz w:val="20"/>
                <w:szCs w:val="20"/>
                <w:color w:val="auto"/>
              </w:rPr>
            </w:pPr>
            <w:r>
              <w:rPr>
                <w:rFonts w:ascii="Arial" w:cs="Arial" w:eastAsia="Arial" w:hAnsi="Arial"/>
                <w:sz w:val="18"/>
                <w:szCs w:val="18"/>
                <w:color w:val="auto"/>
              </w:rPr>
              <w:t>Deferred revenues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20,002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tcPr>
          <w:p>
            <w:pPr>
              <w:spacing w:after="0"/>
              <w:rPr>
                <w:sz w:val="18"/>
                <w:szCs w:val="18"/>
                <w:color w:val="auto"/>
              </w:rPr>
            </w:pPr>
          </w:p>
        </w:tc>
      </w:tr>
      <w:tr>
        <w:trPr>
          <w:trHeight w:val="210"/>
        </w:trPr>
        <w:tc>
          <w:tcPr>
            <w:tcW w:w="7100" w:type="dxa"/>
            <w:vAlign w:val="bottom"/>
            <w:tcBorders>
              <w:top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(159,392)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(177,171)</w:t>
            </w:r>
          </w:p>
        </w:tc>
      </w:tr>
      <w:tr>
        <w:trPr>
          <w:trHeight w:val="216"/>
        </w:trPr>
        <w:tc>
          <w:tcPr>
            <w:tcW w:w="7100" w:type="dxa"/>
            <w:vAlign w:val="bottom"/>
            <w:gridSpan w:val="2"/>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167,120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173,922</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(5,455)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(11,150)</w:t>
            </w:r>
          </w:p>
        </w:tc>
      </w:tr>
      <w:tr>
        <w:trPr>
          <w:trHeight w:val="210"/>
        </w:trPr>
        <w:tc>
          <w:tcPr>
            <w:tcW w:w="7100" w:type="dxa"/>
            <w:vAlign w:val="bottom"/>
            <w:gridSpan w:val="2"/>
          </w:tcPr>
          <w:p>
            <w:pPr>
              <w:ind w:left="98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(108,817)</w:t>
            </w: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(117,813)</w:t>
            </w:r>
          </w:p>
        </w:tc>
      </w:tr>
      <w:tr>
        <w:trPr>
          <w:trHeight w:val="216"/>
        </w:trPr>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34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(9,494)</w:t>
            </w: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(8,161)</w:t>
            </w:r>
          </w:p>
        </w:tc>
      </w:tr>
      <w:tr>
        <w:trPr>
          <w:trHeight w:val="216"/>
        </w:trPr>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through employee stock purchase plan</w:t>
            </w:r>
          </w:p>
        </w:tc>
        <w:tc>
          <w:tcPr>
            <w:tcW w:w="9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8"/>
                <w:szCs w:val="18"/>
                <w:color w:val="auto"/>
              </w:rPr>
            </w:pPr>
          </w:p>
        </w:tc>
      </w:tr>
      <w:tr>
        <w:trPr>
          <w:trHeight w:val="210"/>
        </w:trPr>
        <w:tc>
          <w:tcPr>
            <w:tcW w:w="7100" w:type="dxa"/>
            <w:vAlign w:val="bottom"/>
            <w:gridSpan w:val="2"/>
          </w:tcPr>
          <w:p>
            <w:pPr>
              <w:ind w:left="98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(114,815)</w:t>
            </w:r>
          </w:p>
        </w:tc>
        <w:tc>
          <w:tcPr>
            <w:tcW w:w="100" w:type="dxa"/>
            <w:vAlign w:val="bottom"/>
          </w:tcPr>
          <w:p>
            <w:pPr>
              <w:spacing w:after="0"/>
              <w:rPr>
                <w:sz w:val="18"/>
                <w:szCs w:val="18"/>
                <w:color w:val="auto"/>
              </w:rPr>
            </w:pPr>
          </w:p>
        </w:tc>
      </w:tr>
      <w:tr>
        <w:trPr>
          <w:trHeight w:val="209"/>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(16,363)</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176,419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138,528</w:t>
            </w:r>
          </w:p>
        </w:tc>
        <w:tc>
          <w:tcPr>
            <w:tcW w:w="100" w:type="dxa"/>
            <w:vAlign w:val="bottom"/>
          </w:tcPr>
          <w:p>
            <w:pPr>
              <w:spacing w:after="0"/>
              <w:rPr>
                <w:sz w:val="18"/>
                <w:szCs w:val="18"/>
                <w:color w:val="auto"/>
              </w:rPr>
            </w:pPr>
          </w:p>
        </w:tc>
      </w:tr>
      <w:tr>
        <w:trPr>
          <w:trHeight w:val="250"/>
        </w:trPr>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188,845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82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tcPr>
          <w:p>
            <w:pPr>
              <w:spacing w:after="0"/>
              <w:rPr>
                <w:sz w:val="18"/>
                <w:szCs w:val="18"/>
                <w:color w:val="auto"/>
              </w:rPr>
            </w:pPr>
          </w:p>
        </w:tc>
        <w:tc>
          <w:tcPr>
            <w:tcW w:w="182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60"/>
              <w:spacing w:after="0" w:line="182" w:lineRule="exact"/>
              <w:rPr>
                <w:sz w:val="20"/>
                <w:szCs w:val="20"/>
                <w:color w:val="auto"/>
              </w:rPr>
            </w:pPr>
            <w:r>
              <w:rPr>
                <w:rFonts w:ascii="Arial" w:cs="Arial" w:eastAsia="Arial" w:hAnsi="Arial"/>
                <w:sz w:val="16"/>
                <w:szCs w:val="16"/>
                <w:b w:val="1"/>
                <w:bCs w:val="1"/>
                <w:color w:val="auto"/>
                <w:w w:val="97"/>
              </w:rPr>
              <w:t>Paid-In</w:t>
            </w:r>
          </w:p>
        </w:tc>
        <w:tc>
          <w:tcPr>
            <w:tcW w:w="122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9"/>
              </w:rPr>
              <w:t>Comprehensive</w:t>
            </w:r>
          </w:p>
        </w:tc>
        <w:tc>
          <w:tcPr>
            <w:tcW w:w="122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Capital</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9"/>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December 31, 2022</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37,362</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8"/>
              </w:rPr>
              <w:t>37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512,486</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(221,447</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2,328</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(584)</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(7,014)</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(60,018)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(67,032)</w:t>
            </w:r>
          </w:p>
        </w:tc>
        <w:tc>
          <w:tcPr>
            <w:tcW w:w="0" w:type="dxa"/>
            <w:vAlign w:val="bottom"/>
          </w:tcPr>
          <w:p>
            <w:pPr>
              <w:spacing w:after="0"/>
              <w:rPr>
                <w:sz w:val="1"/>
                <w:szCs w:val="1"/>
                <w:color w:val="auto"/>
              </w:rPr>
            </w:pPr>
          </w:p>
        </w:tc>
      </w:tr>
      <w:tr>
        <w:trPr>
          <w:trHeight w:val="193"/>
        </w:trPr>
        <w:tc>
          <w:tcPr>
            <w:tcW w:w="444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340"/>
              <w:spacing w:after="0"/>
              <w:rPr>
                <w:sz w:val="20"/>
                <w:szCs w:val="20"/>
                <w:color w:val="auto"/>
              </w:rPr>
            </w:pPr>
            <w:r>
              <w:rPr>
                <w:rFonts w:ascii="Arial" w:cs="Arial" w:eastAsia="Arial" w:hAnsi="Arial"/>
                <w:sz w:val="16"/>
                <w:szCs w:val="16"/>
                <w:color w:val="auto"/>
              </w:rPr>
              <w:t>units</w:t>
            </w: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(5,105)</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193"/>
        </w:trPr>
        <w:tc>
          <w:tcPr>
            <w:tcW w:w="4440" w:type="dxa"/>
            <w:vAlign w:val="bottom"/>
          </w:tcPr>
          <w:p>
            <w:pPr>
              <w:ind w:left="340"/>
              <w:spacing w:after="0"/>
              <w:rPr>
                <w:sz w:val="20"/>
                <w:szCs w:val="20"/>
                <w:color w:val="auto"/>
              </w:rPr>
            </w:pPr>
            <w:r>
              <w:rPr>
                <w:rFonts w:ascii="Arial" w:cs="Arial" w:eastAsia="Arial" w:hAnsi="Arial"/>
                <w:sz w:val="16"/>
                <w:szCs w:val="16"/>
                <w:color w:val="auto"/>
                <w:w w:val="94"/>
              </w:rPr>
              <w:t>Issuance of common stock through employee stock purchase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340"/>
              <w:spacing w:after="0"/>
              <w:rPr>
                <w:sz w:val="20"/>
                <w:szCs w:val="20"/>
                <w:color w:val="auto"/>
              </w:rPr>
            </w:pPr>
            <w:r>
              <w:rPr>
                <w:rFonts w:ascii="Arial" w:cs="Arial" w:eastAsia="Arial" w:hAnsi="Arial"/>
                <w:sz w:val="16"/>
                <w:szCs w:val="16"/>
                <w:color w:val="auto"/>
              </w:rPr>
              <w:t>plan</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2,988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16,033</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6"/>
                <w:szCs w:val="16"/>
                <w:color w:val="auto"/>
              </w:rPr>
              <w:t>Balances at March 31, 2023</w:t>
            </w:r>
          </w:p>
        </w:tc>
        <w:tc>
          <w:tcPr>
            <w:tcW w:w="900" w:type="dxa"/>
            <w:vAlign w:val="bottom"/>
          </w:tcPr>
          <w:p>
            <w:pPr>
              <w:jc w:val="right"/>
              <w:spacing w:after="0"/>
              <w:rPr>
                <w:sz w:val="20"/>
                <w:szCs w:val="20"/>
                <w:color w:val="auto"/>
              </w:rPr>
            </w:pPr>
            <w:r>
              <w:rPr>
                <w:rFonts w:ascii="Arial" w:cs="Arial" w:eastAsia="Arial" w:hAnsi="Arial"/>
                <w:sz w:val="16"/>
                <w:szCs w:val="16"/>
                <w:color w:val="auto"/>
              </w:rPr>
              <w:t>36,933</w:t>
            </w:r>
          </w:p>
        </w:tc>
        <w:tc>
          <w:tcPr>
            <w:tcW w:w="180" w:type="dxa"/>
            <w:vAlign w:val="bottom"/>
          </w:tcPr>
          <w:p>
            <w:pPr>
              <w:spacing w:after="0"/>
              <w:rPr>
                <w:sz w:val="17"/>
                <w:szCs w:val="17"/>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78"/>
              </w:rPr>
              <w:t>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521,716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(1,571)</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(252,360)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267,822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35,382</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4,820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(346)</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(4,157)</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(38,335)</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(42,492)</w:t>
            </w: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9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440" w:type="dxa"/>
            <w:vAlign w:val="bottom"/>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(38)</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(4,389)</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(4,389)</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16,020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6"/>
                <w:szCs w:val="16"/>
                <w:color w:val="auto"/>
              </w:rPr>
              <w:t>Balances at June 30, 2023</w:t>
            </w:r>
          </w:p>
        </w:tc>
        <w:tc>
          <w:tcPr>
            <w:tcW w:w="900" w:type="dxa"/>
            <w:vAlign w:val="bottom"/>
          </w:tcPr>
          <w:p>
            <w:pPr>
              <w:jc w:val="right"/>
              <w:spacing w:after="0"/>
              <w:rPr>
                <w:sz w:val="20"/>
                <w:szCs w:val="20"/>
                <w:color w:val="auto"/>
              </w:rPr>
            </w:pPr>
            <w:r>
              <w:rPr>
                <w:rFonts w:ascii="Arial" w:cs="Arial" w:eastAsia="Arial" w:hAnsi="Arial"/>
                <w:sz w:val="16"/>
                <w:szCs w:val="16"/>
                <w:color w:val="auto"/>
              </w:rPr>
              <w:t>36,746</w:t>
            </w:r>
          </w:p>
        </w:tc>
        <w:tc>
          <w:tcPr>
            <w:tcW w:w="180" w:type="dxa"/>
            <w:vAlign w:val="bottom"/>
          </w:tcPr>
          <w:p>
            <w:pPr>
              <w:spacing w:after="0"/>
              <w:rPr>
                <w:sz w:val="17"/>
                <w:szCs w:val="17"/>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78"/>
              </w:rPr>
              <w:t>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534,010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(1,716)</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(255,313)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277,018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440" w:type="dxa"/>
            <w:vAlign w:val="bottom"/>
          </w:tcPr>
          <w:p>
            <w:pPr>
              <w:spacing w:after="0"/>
              <w:rPr>
                <w:sz w:val="24"/>
                <w:szCs w:val="24"/>
                <w:color w:val="auto"/>
              </w:rPr>
            </w:pPr>
          </w:p>
        </w:tc>
        <w:tc>
          <w:tcPr>
            <w:tcW w:w="182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82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60"/>
              <w:spacing w:after="0" w:line="182" w:lineRule="exact"/>
              <w:rPr>
                <w:sz w:val="20"/>
                <w:szCs w:val="20"/>
                <w:color w:val="auto"/>
              </w:rPr>
            </w:pPr>
            <w:r>
              <w:rPr>
                <w:rFonts w:ascii="Arial" w:cs="Arial" w:eastAsia="Arial" w:hAnsi="Arial"/>
                <w:sz w:val="16"/>
                <w:szCs w:val="16"/>
                <w:b w:val="1"/>
                <w:bCs w:val="1"/>
                <w:color w:val="auto"/>
                <w:w w:val="97"/>
              </w:rPr>
              <w:t>Paid-In</w:t>
            </w:r>
          </w:p>
        </w:tc>
        <w:tc>
          <w:tcPr>
            <w:tcW w:w="122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9"/>
              </w:rPr>
              <w:t>Comprehensive</w:t>
            </w:r>
          </w:p>
        </w:tc>
        <w:tc>
          <w:tcPr>
            <w:tcW w:w="122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Capital</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9"/>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December 31, 2021</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39,112</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8"/>
              </w:rPr>
              <w:t>39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477,323</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436,714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2,569</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(368)</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(4,416)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(42,165)</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(46,581)</w:t>
            </w:r>
          </w:p>
        </w:tc>
        <w:tc>
          <w:tcPr>
            <w:tcW w:w="0" w:type="dxa"/>
            <w:vAlign w:val="bottom"/>
          </w:tcPr>
          <w:p>
            <w:pPr>
              <w:spacing w:after="0"/>
              <w:rPr>
                <w:sz w:val="1"/>
                <w:szCs w:val="1"/>
                <w:color w:val="auto"/>
              </w:rPr>
            </w:pPr>
          </w:p>
        </w:tc>
      </w:tr>
      <w:tr>
        <w:trPr>
          <w:trHeight w:val="193"/>
        </w:trPr>
        <w:tc>
          <w:tcPr>
            <w:tcW w:w="444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340"/>
              <w:spacing w:after="0"/>
              <w:rPr>
                <w:sz w:val="20"/>
                <w:szCs w:val="20"/>
                <w:color w:val="auto"/>
              </w:rPr>
            </w:pPr>
            <w:r>
              <w:rPr>
                <w:rFonts w:ascii="Arial" w:cs="Arial" w:eastAsia="Arial" w:hAnsi="Arial"/>
                <w:sz w:val="16"/>
                <w:szCs w:val="16"/>
                <w:color w:val="auto"/>
              </w:rPr>
              <w:t>units</w:t>
            </w: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(3,631)</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193"/>
        </w:trPr>
        <w:tc>
          <w:tcPr>
            <w:tcW w:w="4440" w:type="dxa"/>
            <w:vAlign w:val="bottom"/>
          </w:tcPr>
          <w:p>
            <w:pPr>
              <w:ind w:left="340"/>
              <w:spacing w:after="0"/>
              <w:rPr>
                <w:sz w:val="20"/>
                <w:szCs w:val="20"/>
                <w:color w:val="auto"/>
              </w:rPr>
            </w:pPr>
            <w:r>
              <w:rPr>
                <w:rFonts w:ascii="Arial" w:cs="Arial" w:eastAsia="Arial" w:hAnsi="Arial"/>
                <w:sz w:val="16"/>
                <w:szCs w:val="16"/>
                <w:color w:val="auto"/>
                <w:w w:val="94"/>
              </w:rPr>
              <w:t>Issuance of common stock through employee stock purchase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340"/>
              <w:spacing w:after="0"/>
              <w:rPr>
                <w:sz w:val="20"/>
                <w:szCs w:val="20"/>
                <w:color w:val="auto"/>
              </w:rPr>
            </w:pPr>
            <w:r>
              <w:rPr>
                <w:rFonts w:ascii="Arial" w:cs="Arial" w:eastAsia="Arial" w:hAnsi="Arial"/>
                <w:sz w:val="16"/>
                <w:szCs w:val="16"/>
                <w:color w:val="auto"/>
              </w:rPr>
              <w:t>plan</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2,086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11,745</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6"/>
                <w:szCs w:val="16"/>
                <w:color w:val="auto"/>
              </w:rPr>
              <w:t>Balances at March 31, 2022</w:t>
            </w:r>
          </w:p>
        </w:tc>
        <w:tc>
          <w:tcPr>
            <w:tcW w:w="900" w:type="dxa"/>
            <w:vAlign w:val="bottom"/>
          </w:tcPr>
          <w:p>
            <w:pPr>
              <w:jc w:val="right"/>
              <w:spacing w:after="0"/>
              <w:rPr>
                <w:sz w:val="20"/>
                <w:szCs w:val="20"/>
                <w:color w:val="auto"/>
              </w:rPr>
            </w:pPr>
            <w:r>
              <w:rPr>
                <w:rFonts w:ascii="Arial" w:cs="Arial" w:eastAsia="Arial" w:hAnsi="Arial"/>
                <w:sz w:val="16"/>
                <w:szCs w:val="16"/>
                <w:color w:val="auto"/>
              </w:rPr>
              <w:t>38,875</w:t>
            </w:r>
          </w:p>
        </w:tc>
        <w:tc>
          <w:tcPr>
            <w:tcW w:w="180" w:type="dxa"/>
            <w:vAlign w:val="bottom"/>
          </w:tcPr>
          <w:p>
            <w:pPr>
              <w:spacing w:after="0"/>
              <w:rPr>
                <w:sz w:val="17"/>
                <w:szCs w:val="17"/>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78"/>
              </w:rPr>
              <w:t>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485,676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(670)</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(58,410)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426,635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26,596</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6,504</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(561)</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(6,745)</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(64,487)</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(71,232)</w:t>
            </w: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9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(4,530)</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(4,530)</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12,820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6"/>
                <w:szCs w:val="16"/>
                <w:color w:val="auto"/>
              </w:rPr>
              <w:t>Balances at June 30, 2022</w:t>
            </w:r>
          </w:p>
        </w:tc>
        <w:tc>
          <w:tcPr>
            <w:tcW w:w="900" w:type="dxa"/>
            <w:vAlign w:val="bottom"/>
          </w:tcPr>
          <w:p>
            <w:pPr>
              <w:jc w:val="right"/>
              <w:spacing w:after="0"/>
              <w:rPr>
                <w:sz w:val="20"/>
                <w:szCs w:val="20"/>
                <w:color w:val="auto"/>
              </w:rPr>
            </w:pPr>
            <w:r>
              <w:rPr>
                <w:rFonts w:ascii="Arial" w:cs="Arial" w:eastAsia="Arial" w:hAnsi="Arial"/>
                <w:sz w:val="16"/>
                <w:szCs w:val="16"/>
                <w:color w:val="auto"/>
              </w:rPr>
              <w:t>38,517</w:t>
            </w:r>
          </w:p>
        </w:tc>
        <w:tc>
          <w:tcPr>
            <w:tcW w:w="180" w:type="dxa"/>
            <w:vAlign w:val="bottom"/>
          </w:tcPr>
          <w:p>
            <w:pPr>
              <w:spacing w:after="0"/>
              <w:rPr>
                <w:sz w:val="17"/>
                <w:szCs w:val="17"/>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78"/>
              </w:rPr>
              <w:t>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493,725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(625)</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(96,301)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396,838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 and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Qualys, Inc. (the “Company”, "we", "us", "our") was incorporated in the state of Delaware on December 30, 1999. The Company is headquartered in Foster City, California and has wholly-owned subsidiaries throughout the world. The Company is a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2022,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three and six months ended June 30, 2023 are not necessarily indicative of the results of operations expected for the entire year ending December 31, 2023 or for any other future annual or interim periods. These condensed consolidated financial statements should be read in conjunction with the consolidated financial statements and related notes included in the Company’s Annual Report on Form 10-K for the year ended December 31, 2022 filed with the SEC on February 23, 2023. Certain prior year amounts have been reclassified to conform to current year presentation.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uncertainty surrounding macroeconomic factors in the U.S. and globally characterized by the supply chain environment, inflationary pressure, rising interest rates, financial institution failures and associated uncertainty, labor shortages, significant volatility of global markets, reduced spending and extended sales cycles, and geopolitical conflicts could have a material adverse effect on the Company's long-term business and could lead to further economic disruption and expose the Company to greater risk as its current and potential customers may reduce or eliminate their overall spending on IT security.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does not believe any new accounting pronouncements issued by the FASB that have not become effective will have a material impact on its condensed consolidated financial statements.</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set forth in "Note 1" of Notes to Consolidated Financial Statements included in the Company’s Annual Report on Form 10-K for the year ended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and liabilities, including quoted prices for identical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financial assets and liabilities measured at fair value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 2023</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Level 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50,159</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72,750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72,750</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41,377</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r>
      <w:tr>
        <w:trPr>
          <w:trHeight w:val="249"/>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300" w:type="dxa"/>
            <w:vAlign w:val="bottom"/>
          </w:tcPr>
          <w:p>
            <w:pPr>
              <w:spacing w:after="0" w:line="196" w:lineRule="exact"/>
              <w:rPr>
                <w:sz w:val="20"/>
                <w:szCs w:val="20"/>
                <w:color w:val="auto"/>
              </w:rPr>
            </w:pPr>
            <w:r>
              <w:rPr>
                <w:rFonts w:ascii="Arial" w:cs="Arial" w:eastAsia="Arial" w:hAnsi="Arial"/>
                <w:sz w:val="18"/>
                <w:szCs w:val="18"/>
                <w:color w:val="auto"/>
              </w:rPr>
              <w:t>Foreign currency forward contracts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2,529</w:t>
            </w:r>
          </w:p>
        </w:tc>
        <w:tc>
          <w:tcPr>
            <w:tcW w:w="4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2,529</w:t>
            </w:r>
          </w:p>
        </w:tc>
        <w:tc>
          <w:tcPr>
            <w:tcW w:w="100" w:type="dxa"/>
            <w:vAlign w:val="bottom"/>
          </w:tcPr>
          <w:p>
            <w:pPr>
              <w:spacing w:after="0"/>
              <w:rPr>
                <w:sz w:val="17"/>
                <w:szCs w:val="17"/>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2022</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82,701</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U.S. Treasury and government agencies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156,662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156,662</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63,910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63,910</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8"/>
                <w:szCs w:val="18"/>
                <w:color w:val="auto"/>
              </w:rPr>
            </w:pPr>
          </w:p>
        </w:tc>
      </w:tr>
      <w:tr>
        <w:trPr>
          <w:trHeight w:val="249"/>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300" w:type="dxa"/>
            <w:vAlign w:val="bottom"/>
          </w:tcPr>
          <w:p>
            <w:pPr>
              <w:spacing w:after="0" w:line="196" w:lineRule="exact"/>
              <w:rPr>
                <w:sz w:val="20"/>
                <w:szCs w:val="20"/>
                <w:color w:val="auto"/>
              </w:rPr>
            </w:pPr>
            <w:r>
              <w:rPr>
                <w:rFonts w:ascii="Arial" w:cs="Arial" w:eastAsia="Arial" w:hAnsi="Arial"/>
                <w:sz w:val="18"/>
                <w:szCs w:val="18"/>
                <w:color w:val="auto"/>
              </w:rPr>
              <w:t>Foreign currency forward contracts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4,679</w:t>
            </w:r>
          </w:p>
        </w:tc>
        <w:tc>
          <w:tcPr>
            <w:tcW w:w="4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4,679</w:t>
            </w:r>
          </w:p>
        </w:tc>
        <w:tc>
          <w:tcPr>
            <w:tcW w:w="100" w:type="dxa"/>
            <w:vAlign w:val="bottom"/>
          </w:tcPr>
          <w:p>
            <w:pPr>
              <w:spacing w:after="0"/>
              <w:rPr>
                <w:sz w:val="17"/>
                <w:szCs w:val="17"/>
                <w:color w:val="auto"/>
              </w:rPr>
            </w:pPr>
          </w:p>
        </w:tc>
      </w:tr>
      <w:tr>
        <w:trPr>
          <w:trHeight w:val="249"/>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There were no transfers between Level 1, Level 2 and Level 3 categories during the three months and six months ended June 30, 2023 and 2022.</w:t>
      </w:r>
    </w:p>
    <w:p>
      <w:pPr>
        <w:sectPr>
          <w:pgSz w:w="11900" w:h="16838" w:orient="portrait"/>
          <w:cols w:equalWidth="0" w:num="1">
            <w:col w:w="11240"/>
          </w:cols>
          <w:pgMar w:left="320" w:top="125"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equivalent and 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81"/>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41"/>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81"/>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1"/>
              </w:rPr>
              <w:t>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50,159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267,189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(1,264)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(1) Excludes cash of $122.2 million.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581"/>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41"/>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81"/>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1"/>
              </w:rPr>
              <w:t>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82,701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110,225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322,012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(2,713)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Excludes cash of $61.2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gross unrealized losses and fair value of the Company's marketable securities that were in an unrealized loss position aggregated by length of time: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b w:val="1"/>
                <w:bCs w:val="1"/>
                <w:color w:val="auto"/>
                <w:w w:val="90"/>
              </w:rPr>
              <w:t>June 30, 2023</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48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8"/>
              </w:rPr>
              <w:t>12 months or longer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unrealized</w:t>
            </w:r>
          </w:p>
        </w:tc>
      </w:tr>
      <w:tr>
        <w:trPr>
          <w:trHeight w:val="216"/>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6"/>
              </w:rPr>
              <w:t>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2"/>
              </w:rPr>
              <w:t>losses</w:t>
            </w: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2"/>
              </w:rPr>
              <w:t>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6"/>
              </w:rPr>
              <w:t>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losses</w:t>
            </w:r>
          </w:p>
        </w:tc>
      </w:tr>
      <w:tr>
        <w:trPr>
          <w:trHeight w:val="230"/>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6"/>
          </w:tcPr>
          <w:p>
            <w:pPr>
              <w:jc w:val="center"/>
              <w:ind w:right="30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w w:val="94"/>
              </w:rPr>
              <w:t>U.S. Treasury and government agencies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r>
      <w:tr>
        <w:trPr>
          <w:trHeight w:val="250"/>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148,431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195,850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December 31, 2022</w:t>
      </w:r>
    </w:p>
    <w:p>
      <w:pPr>
        <w:spacing w:after="0" w:line="27" w:lineRule="exact"/>
        <w:rPr>
          <w:sz w:val="20"/>
          <w:szCs w:val="20"/>
          <w:color w:val="auto"/>
        </w:rPr>
      </w:pPr>
    </w:p>
    <w:tbl>
      <w:tblPr>
        <w:tblLayout w:type="fixed"/>
        <w:tblInd w:w="3260" w:type="dxa"/>
        <w:tblCellMar>
          <w:top w:w="0" w:type="dxa"/>
          <w:left w:w="0" w:type="dxa"/>
          <w:bottom w:w="0" w:type="dxa"/>
          <w:right w:w="0" w:type="dxa"/>
        </w:tblCellMar>
      </w:tblPr>
      <w:tr>
        <w:trPr>
          <w:trHeight w:val="209"/>
        </w:trPr>
        <w:tc>
          <w:tcPr>
            <w:tcW w:w="248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Borders>
              <w:top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12 months or longer</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r>
      <w:tr>
        <w:trPr>
          <w:trHeight w:val="195"/>
        </w:trPr>
        <w:tc>
          <w:tcPr>
            <w:tcW w:w="1240" w:type="dxa"/>
            <w:vAlign w:val="bottom"/>
          </w:tcPr>
          <w:p>
            <w:pPr>
              <w:ind w:left="200"/>
              <w:spacing w:after="0" w:line="195" w:lineRule="exact"/>
              <w:rPr>
                <w:sz w:val="20"/>
                <w:szCs w:val="20"/>
                <w:color w:val="auto"/>
              </w:rPr>
            </w:pPr>
            <w:r>
              <w:rPr>
                <w:rFonts w:ascii="Arial" w:cs="Arial" w:eastAsia="Arial" w:hAnsi="Arial"/>
                <w:sz w:val="18"/>
                <w:szCs w:val="18"/>
                <w:color w:val="auto"/>
              </w:rPr>
              <w:t>Fair value</w:t>
            </w:r>
          </w:p>
        </w:tc>
        <w:tc>
          <w:tcPr>
            <w:tcW w:w="1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6"/>
                <w:szCs w:val="16"/>
                <w:color w:val="auto"/>
              </w:rPr>
            </w:pPr>
          </w:p>
        </w:tc>
        <w:tc>
          <w:tcPr>
            <w:tcW w:w="1220" w:type="dxa"/>
            <w:vAlign w:val="bottom"/>
          </w:tcPr>
          <w:p>
            <w:pPr>
              <w:ind w:left="200"/>
              <w:spacing w:after="0" w:line="195" w:lineRule="exact"/>
              <w:rPr>
                <w:sz w:val="20"/>
                <w:szCs w:val="20"/>
                <w:color w:val="auto"/>
              </w:rPr>
            </w:pPr>
            <w:r>
              <w:rPr>
                <w:rFonts w:ascii="Arial" w:cs="Arial" w:eastAsia="Arial" w:hAnsi="Arial"/>
                <w:sz w:val="18"/>
                <w:szCs w:val="18"/>
                <w:color w:val="auto"/>
              </w:rPr>
              <w:t>Fair value</w:t>
            </w:r>
          </w:p>
        </w:tc>
        <w:tc>
          <w:tcPr>
            <w:tcW w:w="126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6"/>
                <w:szCs w:val="16"/>
                <w:color w:val="auto"/>
              </w:rPr>
            </w:pPr>
          </w:p>
        </w:tc>
        <w:tc>
          <w:tcPr>
            <w:tcW w:w="980" w:type="dxa"/>
            <w:vAlign w:val="bottom"/>
          </w:tcPr>
          <w:p>
            <w:pPr>
              <w:ind w:left="200"/>
              <w:spacing w:after="0" w:line="195" w:lineRule="exact"/>
              <w:rPr>
                <w:sz w:val="20"/>
                <w:szCs w:val="20"/>
                <w:color w:val="auto"/>
              </w:rPr>
            </w:pPr>
            <w:r>
              <w:rPr>
                <w:rFonts w:ascii="Arial" w:cs="Arial" w:eastAsia="Arial" w:hAnsi="Arial"/>
                <w:sz w:val="18"/>
                <w:szCs w:val="18"/>
                <w:color w:val="auto"/>
                <w:w w:val="96"/>
              </w:rPr>
              <w:t>Fair value</w:t>
            </w:r>
          </w:p>
        </w:tc>
        <w:tc>
          <w:tcPr>
            <w:tcW w:w="150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87"/>
              </w:rPr>
              <w:t>Gross</w:t>
            </w:r>
          </w:p>
        </w:tc>
      </w:tr>
      <w:tr>
        <w:trPr>
          <w:trHeight w:val="230"/>
        </w:trPr>
        <w:tc>
          <w:tcPr>
            <w:tcW w:w="124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unrealized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9"/>
              </w:rPr>
              <w:t>unrealized</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jc w:val="center"/>
              <w:ind w:left="270"/>
              <w:spacing w:after="0"/>
              <w:rPr>
                <w:sz w:val="20"/>
                <w:szCs w:val="20"/>
                <w:color w:val="auto"/>
              </w:rPr>
            </w:pPr>
            <w:r>
              <w:rPr>
                <w:rFonts w:ascii="Arial" w:cs="Arial" w:eastAsia="Arial" w:hAnsi="Arial"/>
                <w:sz w:val="18"/>
                <w:szCs w:val="18"/>
                <w:color w:val="auto"/>
                <w:w w:val="89"/>
              </w:rPr>
              <w:t>unrealized</w:t>
            </w:r>
          </w:p>
        </w:tc>
      </w:tr>
    </w:tbl>
    <w:p>
      <w:pPr>
        <w:sectPr>
          <w:pgSz w:w="11900" w:h="16838" w:orient="portrait"/>
          <w:cols w:equalWidth="0" w:num="1">
            <w:col w:w="11240"/>
          </w:cols>
          <w:pgMar w:left="320" w:top="125"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losses</w:t>
            </w:r>
          </w:p>
        </w:tc>
      </w:tr>
      <w:tr>
        <w:trPr>
          <w:trHeight w:val="230"/>
        </w:trPr>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6"/>
          </w:tcPr>
          <w:p>
            <w:pPr>
              <w:jc w:val="right"/>
              <w:ind w:right="88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agencies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U.S. Treasury and government agencies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36,833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126,635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(1,430)</w:t>
            </w:r>
          </w:p>
        </w:tc>
      </w:tr>
      <w:tr>
        <w:trPr>
          <w:trHeight w:val="25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160" w:right="160" w:firstLine="267"/>
        <w:spacing w:after="0" w:line="311" w:lineRule="auto"/>
        <w:rPr>
          <w:sz w:val="20"/>
          <w:szCs w:val="20"/>
          <w:color w:val="auto"/>
        </w:rPr>
      </w:pPr>
      <w:r>
        <w:rPr>
          <w:rFonts w:ascii="Arial" w:cs="Arial" w:eastAsia="Arial" w:hAnsi="Arial"/>
          <w:sz w:val="16"/>
          <w:szCs w:val="16"/>
          <w:color w:val="auto"/>
        </w:rPr>
        <w:t>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fair value of cash equivalents and marketable securities by contractual maturity:</w:t>
      </w:r>
    </w:p>
    <w:p>
      <w:pPr>
        <w:spacing w:after="0" w:line="221" w:lineRule="exact"/>
        <w:rPr>
          <w:sz w:val="20"/>
          <w:szCs w:val="20"/>
          <w:color w:val="auto"/>
        </w:rPr>
      </w:pPr>
    </w:p>
    <w:p>
      <w:pPr>
        <w:jc w:val="right"/>
        <w:ind w:right="1160"/>
        <w:spacing w:after="0"/>
        <w:rPr>
          <w:sz w:val="20"/>
          <w:szCs w:val="20"/>
          <w:color w:val="auto"/>
        </w:rPr>
      </w:pPr>
      <w:r>
        <w:rPr>
          <w:rFonts w:ascii="Arial" w:cs="Arial" w:eastAsia="Arial" w:hAnsi="Arial"/>
          <w:sz w:val="18"/>
          <w:szCs w:val="18"/>
          <w:b w:val="1"/>
          <w:bCs w:val="1"/>
          <w:color w:val="auto"/>
        </w:rPr>
        <w:t>June 30, 2023</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Due within One Year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Due after One Year through Two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Mature over Two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Amortized Cost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700" w:type="dxa"/>
            <w:vAlign w:val="bottom"/>
            <w:gridSpan w:val="3"/>
          </w:tcPr>
          <w:p>
            <w:pPr>
              <w:jc w:val="right"/>
              <w:ind w:right="950"/>
              <w:spacing w:after="0"/>
              <w:rPr>
                <w:sz w:val="20"/>
                <w:szCs w:val="20"/>
                <w:color w:val="auto"/>
              </w:rPr>
            </w:pPr>
            <w:r>
              <w:rPr>
                <w:rFonts w:ascii="Arial" w:cs="Arial" w:eastAsia="Arial" w:hAnsi="Arial"/>
                <w:sz w:val="16"/>
                <w:szCs w:val="16"/>
                <w:b w:val="1"/>
                <w:bCs w:val="1"/>
                <w:color w:val="auto"/>
                <w:w w:val="74"/>
              </w:rPr>
              <w:t>thousands)</w:t>
            </w:r>
          </w:p>
        </w:tc>
      </w:tr>
      <w:tr>
        <w:trPr>
          <w:trHeight w:val="216"/>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226,342</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225,429</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21,332</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3,897</w:t>
            </w: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15,269</w:t>
            </w: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267,189</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265,927</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-719455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7260" w:space="720"/>
            <w:col w:w="3260"/>
          </w:cols>
          <w:pgMar w:left="320" w:top="125" w:right="339" w:bottom="0" w:gutter="0" w:footer="0" w:header="0"/>
          <w:type w:val="continuous"/>
        </w:sectPr>
      </w:pPr>
    </w:p>
    <w:p>
      <w:pPr>
        <w:spacing w:after="0" w:line="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fiscal year ended December 31, 2018, the Company invested $2.5 million in preferred stock of a privately-held company. The fair value of the investment is not readily available, and there are no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fair value of the investment is less than carrying value. During the three months ended June 30, 2023, the Company identified an observable price change in the investment and recognized an immaterial unrealized loss in other income (expense), net of the condensed consolidated statement of operations. The investment is included in other noncurrent assets on the condensed consolidated balance sheets. The Company has not received any dividends from the investment.</w:t>
      </w:r>
    </w:p>
    <w:p>
      <w:pPr>
        <w:spacing w:after="0" w:line="3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Designated cash flow hedges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enters into foreign currency forward contracts to reduce the risk of variability in future cash flow due to foreign currency exchange rate fluctuation from certain forecasted subscription revenue orders billed in British Pound ("GBP") and Euro ("EUR") and operating expenses incurred in Indian Rupee ("INR"), which are designated as cash flow hedges. Hedge effectiveness is assessed at inception and at each reporting period utilizing regression analysis.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spacing w:after="0" w:line="192" w:lineRule="exact"/>
        <w:rPr>
          <w:sz w:val="20"/>
          <w:szCs w:val="20"/>
          <w:color w:val="auto"/>
        </w:rPr>
      </w:pPr>
    </w:p>
    <w:p>
      <w:pPr>
        <w:ind w:right="740" w:firstLine="440"/>
        <w:spacing w:after="0" w:line="263" w:lineRule="auto"/>
        <w:rPr>
          <w:sz w:val="20"/>
          <w:szCs w:val="20"/>
          <w:color w:val="auto"/>
        </w:rPr>
      </w:pPr>
      <w:r>
        <w:rPr>
          <w:rFonts w:ascii="Arial" w:cs="Arial" w:eastAsia="Arial" w:hAnsi="Arial"/>
          <w:sz w:val="18"/>
          <w:szCs w:val="18"/>
          <w:color w:val="auto"/>
        </w:rPr>
        <w:t>As of June 30, 2023, the Company had designated cash flow hedge forward contracts with notional amounts of €38.7 million, £12.3 million and Rs.3,742.0 million. As of December 31, 2022, the Company had designated cash flow hedge forward contracts with notional amounts of €37.4 million, £10.4 million and Rs.3,411.0 million.</w:t>
      </w:r>
    </w:p>
    <w:p>
      <w:pPr>
        <w:spacing w:after="0" w:line="18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of June 30, 2023, a de minimis net amount of unrealized gains before tax on the foreign currency forward contracts for GBP and Euro reported in AOCI is expected to be reclassified into revenue within the next 12 months. As of June 30, 2023, a de minimis net amount of unrealized gains before tax on the foreign currency forward contracts for INR reported in AOCI is expected to be reclassified into operating expenses within the next 12 months.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Non-designated forward contracts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also uses foreign currency forward contracts to hedge certain foreign currency denominated assets or liabilities, which are not designated as cash flow hedges. Unrealized foreign exchange gain or losses related to the non-designated forward contracts are recorded in other income (expenses), net and offset the foreign exchange gain or loss on the underlying net monetary assets or liabilities.</w:t>
      </w:r>
    </w:p>
    <w:p>
      <w:pPr>
        <w:spacing w:after="0" w:line="184"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As of June 30, 2023, the Company had non-designated forward contracts with notional amounts of €9.1 million, £2.5 million, Rs.945.0 million, and Canadian Dollar ("C$" or "CAD") 2.4 million. As of December 31, 2022, the Company had non-designated forward contracts with notional amounts of €40.2 million, £16.2 million, Rs.484 million, and C$3.8 million.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fair value of derivative financial instruments as of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r>
      <w:tr>
        <w:trPr>
          <w:trHeight w:val="234"/>
        </w:trPr>
        <w:tc>
          <w:tcPr>
            <w:tcW w:w="79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980" w:type="dxa"/>
            <w:vAlign w:val="bottom"/>
          </w:tcPr>
          <w:p>
            <w:pPr>
              <w:spacing w:after="0"/>
              <w:rPr>
                <w:sz w:val="18"/>
                <w:szCs w:val="18"/>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3"/>
          </w:tcPr>
          <w:p>
            <w:pPr>
              <w:jc w:val="right"/>
              <w:ind w:right="95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Foreign currency forward contracts designated as cash flow hedge</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Foreign currency forward contracts designated as cash flow hedge</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2,529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presents its derivative assets and derivative liabilities at gross fair values in the condensed consolidated balance sheets. However, under the master netting agreements with the respective counterparties of the foreign exchange contracts, subject to applicable requirements, the Company is allowed to net settle transactions of the same currency with a single net amount payable by one party to the other. The potential offset to both assets and liabilities under the right of set-off associated with the Company's foreign currency exchange contracts are immaterial as of June 30, 2023 and December 31, 2022. The derivatives held by the Company are not subject to any credit contingent features negotiated with its counterparties. The Company is not required to pledge nor is entitled to receive cash collateral related to the above contracts. The counterparties to these derivatives are large, global financial institutions that the Company believes are creditworthy, and therefore, it does not consider the risk of counterparty nonperformance to be material.</w:t>
      </w:r>
    </w:p>
    <w:p>
      <w:pPr>
        <w:sectPr>
          <w:pgSz w:w="11900" w:h="16838" w:orient="portrait"/>
          <w:cols w:equalWidth="0" w:num="1">
            <w:col w:w="11240"/>
          </w:cols>
          <w:pgMar w:left="320" w:top="125" w:right="339" w:bottom="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(expense), net in the condensed consolidated statements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100"/>
        <w:spacing w:after="0" w:line="298" w:lineRule="auto"/>
        <w:rPr>
          <w:sz w:val="20"/>
          <w:szCs w:val="20"/>
          <w:color w:val="auto"/>
        </w:rPr>
      </w:pPr>
      <w:r>
        <w:rPr>
          <w:rFonts w:ascii="Arial" w:cs="Arial" w:eastAsia="Arial" w:hAnsi="Arial"/>
          <w:sz w:val="17"/>
          <w:szCs w:val="17"/>
          <w:color w:val="auto"/>
        </w:rPr>
        <w:t>Net gains (losses) from non-designated forward contracts Other foreign currency transactions losses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foreign exchange losses, net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380" w:type="dxa"/>
            <w:vAlign w:val="bottom"/>
            <w:gridSpan w:val="6"/>
          </w:tcPr>
          <w:p>
            <w:pPr>
              <w:jc w:val="right"/>
              <w:ind w:right="48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r>
      <w:tr>
        <w:trPr>
          <w:trHeight w:val="195"/>
        </w:trPr>
        <w:tc>
          <w:tcPr>
            <w:tcW w:w="240" w:type="dxa"/>
            <w:vAlign w:val="bottom"/>
          </w:tcPr>
          <w:p>
            <w:pPr>
              <w:spacing w:after="0"/>
              <w:rPr>
                <w:sz w:val="16"/>
                <w:szCs w:val="16"/>
                <w:color w:val="auto"/>
              </w:rPr>
            </w:pPr>
          </w:p>
        </w:tc>
        <w:tc>
          <w:tcPr>
            <w:tcW w:w="8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spacing w:after="0" w:line="195" w:lineRule="exact"/>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6"/>
                <w:szCs w:val="16"/>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3,810</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4,965</w:t>
            </w:r>
          </w:p>
        </w:tc>
        <w:tc>
          <w:tcPr>
            <w:tcW w:w="4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(5,520)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(7,338)</w:t>
            </w:r>
          </w:p>
        </w:tc>
      </w:tr>
      <w:tr>
        <w:trPr>
          <w:trHeight w:val="21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-445135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25" w:right="339" w:bottom="1440" w:gutter="0" w:footer="0" w:header="0"/>
          <w:type w:val="continuous"/>
        </w:sect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components and changes in accumulated other comprehensive income (loss) for the three and six months ended June 30, 2023 and 2022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3"/>
              </w:rPr>
              <w:t>Available-for-sale</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debt securities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Cash flow hedges</w:t>
            </w:r>
          </w:p>
        </w:tc>
        <w:tc>
          <w:tcPr>
            <w:tcW w:w="32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1"/>
              </w:rPr>
              <w:t>(in thousands)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(1,947)</w:t>
            </w:r>
          </w:p>
        </w:tc>
      </w:tr>
      <w:tr>
        <w:trPr>
          <w:trHeight w:val="20"/>
        </w:trPr>
        <w:tc>
          <w:tcPr>
            <w:tcW w:w="5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280" w:type="dxa"/>
            <w:vAlign w:val="bottom"/>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reclassified into income during the period</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r>
      <w:tr>
        <w:trPr>
          <w:trHeight w:val="209"/>
        </w:trPr>
        <w:tc>
          <w:tcPr>
            <w:tcW w:w="5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Balances at March 31, 2023</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(1,571)</w:t>
            </w:r>
          </w:p>
        </w:tc>
      </w:tr>
      <w:tr>
        <w:trPr>
          <w:trHeight w:val="210"/>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Amount reclassified into income during the period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(665)</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effect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r>
      <w:tr>
        <w:trPr>
          <w:trHeight w:val="20"/>
        </w:trPr>
        <w:tc>
          <w:tcPr>
            <w:tcW w:w="5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28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5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2023</w:t>
            </w: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528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w:t>
            </w:r>
          </w:p>
        </w:tc>
      </w:tr>
      <w:tr>
        <w:trPr>
          <w:trHeight w:val="20"/>
        </w:trPr>
        <w:tc>
          <w:tcPr>
            <w:tcW w:w="5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280" w:type="dxa"/>
            <w:vAlign w:val="bottom"/>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(2,070)</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(1,422)</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reclassified into income during the period</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09"/>
        </w:trPr>
        <w:tc>
          <w:tcPr>
            <w:tcW w:w="5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Balances at March 31, 2022</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(2,313)</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1,643</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r>
      <w:tr>
        <w:trPr>
          <w:trHeight w:val="210"/>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Amount reclassified into income during the period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effect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r>
      <w:tr>
        <w:trPr>
          <w:trHeight w:val="20"/>
        </w:trPr>
        <w:tc>
          <w:tcPr>
            <w:tcW w:w="5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28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(933)</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25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2022</w:t>
            </w: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effects on income before income taxes of amounts reclassified from AOCI to the condensed consolidated statements of operations were as follows: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980"/>
        <w:spacing w:after="0" w:line="258" w:lineRule="auto"/>
        <w:rPr>
          <w:sz w:val="20"/>
          <w:szCs w:val="20"/>
          <w:color w:val="auto"/>
        </w:rPr>
      </w:pPr>
      <w:r>
        <w:rPr>
          <w:rFonts w:ascii="Arial" w:cs="Arial" w:eastAsia="Arial" w:hAnsi="Arial"/>
          <w:sz w:val="18"/>
          <w:szCs w:val="18"/>
          <w:color w:val="auto"/>
        </w:rPr>
        <w:t>Reclassification of AOCI - Cash flow hedges Revenues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020" w:type="dxa"/>
            <w:vAlign w:val="bottom"/>
            <w:gridSpan w:val="3"/>
          </w:tcPr>
          <w:p>
            <w:pPr>
              <w:jc w:val="right"/>
              <w:ind w:right="278"/>
              <w:spacing w:after="0"/>
              <w:rPr>
                <w:sz w:val="20"/>
                <w:szCs w:val="20"/>
                <w:color w:val="auto"/>
              </w:rPr>
            </w:pPr>
            <w:r>
              <w:rPr>
                <w:rFonts w:ascii="Arial" w:cs="Arial" w:eastAsia="Arial" w:hAnsi="Arial"/>
                <w:sz w:val="16"/>
                <w:szCs w:val="16"/>
                <w:b w:val="1"/>
                <w:bCs w:val="1"/>
                <w:color w:val="auto"/>
                <w:w w:val="74"/>
              </w:rPr>
              <w:t>thousands)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r>
      <w:tr>
        <w:trPr>
          <w:trHeight w:val="399"/>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24"/>
                <w:szCs w:val="24"/>
                <w:color w:val="auto"/>
              </w:rPr>
            </w:pPr>
          </w:p>
        </w:tc>
        <w:tc>
          <w:tcPr>
            <w:tcW w:w="880" w:type="dxa"/>
            <w:vAlign w:val="bottom"/>
            <w:gridSpan w:val="2"/>
          </w:tcPr>
          <w:p>
            <w:pPr>
              <w:jc w:val="right"/>
              <w:ind w:right="61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-993775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-719455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-445135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25" w:right="339" w:bottom="1440" w:gutter="0" w:footer="0" w:header="0"/>
          <w:type w:val="continuous"/>
        </w:sectPr>
      </w:pPr>
    </w:p>
    <w:p>
      <w:pPr>
        <w:spacing w:after="0" w:line="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was no reclassification of AOCI to other income (expense), net related to Available-for-sale debt securities during the three months and six months ended June 30, 2023 and 2022.</w:t>
      </w:r>
    </w:p>
    <w:p>
      <w:pPr>
        <w:sectPr>
          <w:pgSz w:w="11900" w:h="16838" w:orient="portrait"/>
          <w:cols w:equalWidth="0" w:num="1">
            <w:col w:w="11240"/>
          </w:cols>
          <w:pgMar w:left="320" w:top="125" w:right="339"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net, consists of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4"/>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25,808</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Scanner appliances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242,869</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(207,828</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(195,441</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09"/>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40,350</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47,428</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June 30, 2023 and December 31, 2022, physical scanner appliances and other computer equipment that are or will be subject to leases by customers had a net carrying value of $10.1 million and $6.7 million, respectively, including assets that had not been placed in service of $7.0 million and $4.0 million, respectively. Depreciation and amortization expenses relating to property and equipment were $6.1 million and $6.9 million for the three months ended June 30, 2023 and 2022, respectively, and $12.6 million and $14.0 million for the six months ended June 30, 2023 and 2022, respectively, which were primarily recorded in cost of revenues in the condensed consolidated statements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Revenue from Contracts with Customers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records deferred revenue when cash payments are received or due in advance of its performance obligations offset by revenue recognized in the period. Revenues of $86.4 million and $75.9 million were recognized during the three months ended June 30, 2023 and 2022, respectively, and $200.2 million and $175.9 million were recognized during the six months ended June 30, 2023 and 2022, respectively, which amounts were included in the deferred revenue balances of $317.2 million and $290.6 million as of December 31, 2022 and 2021, respectively.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w w:val="95"/>
              </w:rPr>
              <w:t>The following table sets forth the expected revenue from all remaining performance obligations as of June 30, 2023: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2023</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six months)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99,287</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2024</w:t>
            </w:r>
          </w:p>
        </w:tc>
        <w:tc>
          <w:tcPr>
            <w:tcW w:w="8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135,152</w:t>
            </w:r>
          </w:p>
        </w:tc>
        <w:tc>
          <w:tcPr>
            <w:tcW w:w="1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2025</w:t>
            </w:r>
          </w:p>
        </w:tc>
        <w:tc>
          <w:tcPr>
            <w:tcW w:w="8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70,396</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2026</w:t>
            </w:r>
          </w:p>
        </w:tc>
        <w:tc>
          <w:tcPr>
            <w:tcW w:w="8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14,208</w:t>
            </w:r>
          </w:p>
        </w:tc>
        <w:tc>
          <w:tcPr>
            <w:tcW w:w="1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2027</w:t>
            </w:r>
          </w:p>
        </w:tc>
        <w:tc>
          <w:tcPr>
            <w:tcW w:w="8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2028 and thereafter</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r>
      <w:tr>
        <w:trPr>
          <w:trHeight w:val="249"/>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8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sectPr>
          <w:pgSz w:w="11900" w:h="16838" w:orient="portrait"/>
          <w:cols w:equalWidth="0" w:num="1">
            <w:col w:w="11240"/>
          </w:cols>
          <w:pgMar w:left="320" w:top="125" w:right="339" w:bottom="196" w:gutter="0" w:footer="0" w:header="0"/>
        </w:sectPr>
      </w:pPr>
    </w:p>
    <w:p>
      <w:pPr>
        <w:spacing w:after="0" w:line="146"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Revenues by sales channel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23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7"/>
              </w:rPr>
              <w:t>June 30,</w:t>
            </w:r>
          </w:p>
        </w:tc>
        <w:tc>
          <w:tcPr>
            <w:tcW w:w="840" w:type="dxa"/>
            <w:vAlign w:val="bottom"/>
            <w:tcBorders>
              <w:top w:val="single" w:sz="8" w:color="auto"/>
              <w:bottom w:val="single" w:sz="8" w:color="auto"/>
            </w:tcBorders>
          </w:tcPr>
          <w:p>
            <w:pPr>
              <w:spacing w:after="0"/>
              <w:rPr>
                <w:sz w:val="18"/>
                <w:szCs w:val="18"/>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195"/>
        </w:trPr>
        <w:tc>
          <w:tcPr>
            <w:tcW w:w="240" w:type="dxa"/>
            <w:vAlign w:val="bottom"/>
          </w:tcPr>
          <w:p>
            <w:pPr>
              <w:spacing w:after="0"/>
              <w:rPr>
                <w:sz w:val="16"/>
                <w:szCs w:val="16"/>
                <w:color w:val="auto"/>
              </w:rPr>
            </w:pPr>
          </w:p>
        </w:tc>
        <w:tc>
          <w:tcPr>
            <w:tcW w:w="8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440"/>
              <w:spacing w:after="0" w:line="195"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78,818</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70,064</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153,911</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136,535</w:t>
            </w:r>
          </w:p>
        </w:tc>
      </w:tr>
      <w:tr>
        <w:trPr>
          <w:trHeight w:val="230"/>
        </w:trPr>
        <w:tc>
          <w:tcPr>
            <w:tcW w:w="24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58,391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49,829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113,981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96,778</w:t>
            </w:r>
          </w:p>
        </w:tc>
      </w:tr>
      <w:tr>
        <w:trPr>
          <w:trHeight w:val="21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267,892</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233,313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-445135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25" w:right="339" w:bottom="196" w:gutter="0" w:footer="0" w:header="0"/>
          <w:type w:val="continuous"/>
        </w:sectPr>
      </w:pPr>
    </w:p>
    <w:p>
      <w:pPr>
        <w:spacing w:after="0" w:line="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costs to obtain contracts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3"/>
          </w:tcPr>
          <w:p>
            <w:pPr>
              <w:jc w:val="right"/>
              <w:ind w:right="95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0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Noncurrent</w:t>
            </w:r>
          </w:p>
        </w:tc>
        <w:tc>
          <w:tcPr>
            <w:tcW w:w="3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10,338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For the three months ended June 30, 2023 and 2022, the Company recognized $1.5 million and $1.2 million, respectively, of amortization expense relating to deferred costs to obtain contracts in sales and marketing expense in the condensed consolidated statements of operations. For the six months ended June 30, 2023 and 2022, the Company recognized $2.9 million and $2.4 million, respectively, of amortization expenses related to deferred costs to obtain contracts in sales and marketing expense in the condensed consolidated statements of operations. During the same periods, there was no impairment loss related to the deferred costs to obtain contracts.</w:t>
      </w:r>
    </w:p>
    <w:p>
      <w:pPr>
        <w:spacing w:after="0" w:line="1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2021, the net carrying value of the Company’s accounts receivable, deferred revenues, current and deferred revenues, noncurrent were $109.0 million, $257.9 million and $32.7 million, respectively.</w:t>
      </w:r>
    </w:p>
    <w:p>
      <w:pPr>
        <w:sectPr>
          <w:pgSz w:w="11900" w:h="16838" w:orient="portrait"/>
          <w:cols w:equalWidth="0" w:num="1">
            <w:col w:w="11240"/>
          </w:cols>
          <w:pgMar w:left="320" w:top="125" w:right="339" w:bottom="196"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96"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Intangible Assets, Net</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420"/>
              <w:spacing w:after="0"/>
              <w:rPr>
                <w:sz w:val="20"/>
                <w:szCs w:val="20"/>
                <w:color w:val="auto"/>
              </w:rPr>
            </w:pPr>
            <w:r>
              <w:rPr>
                <w:rFonts w:ascii="Arial" w:cs="Arial" w:eastAsia="Arial" w:hAnsi="Arial"/>
                <w:sz w:val="18"/>
                <w:szCs w:val="18"/>
                <w:color w:val="auto"/>
                <w:w w:val="92"/>
              </w:rPr>
              <w:t>The carrying values of intangible assets are as follows: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June 30, 2023</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Life</w:t>
            </w: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Net Book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70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40,141</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Patent licenses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Assembled workforce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Life</w:t>
            </w: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Net Book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70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40,141</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Patent licenses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Assembled workforce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Intangible asset amortization expense was $0.8 million and $1.5 million for the three months ended June 30, 2023 and 2022, respectively, and $1.5 million and $3.2 million for the six months ended June 30, 2023 and 2022. Intangible asset amortization expenses were primarily recorded in cost of revenues in the condensed consolidated statements of operations.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2023, the Company expects amortization expense in future periods to be as follows: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2023 (remaining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2027</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expected future amortization expense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192"/>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ind w:left="1052" w:hanging="1052"/>
        <w:spacing w:after="0"/>
        <w:tabs>
          <w:tab w:leader="none" w:pos="1052" w:val="left"/>
        </w:tabs>
        <w:numPr>
          <w:ilvl w:val="0"/>
          <w:numId w:val="4"/>
        </w:numPr>
        <w:rPr>
          <w:rFonts w:ascii="Arial" w:cs="Arial" w:eastAsia="Arial" w:hAnsi="Arial"/>
          <w:sz w:val="15"/>
          <w:szCs w:val="15"/>
          <w:color w:val="auto"/>
        </w:rPr>
      </w:pPr>
      <w:r>
        <w:rPr>
          <w:rFonts w:ascii="Arial" w:cs="Arial" w:eastAsia="Arial" w:hAnsi="Arial"/>
          <w:sz w:val="15"/>
          <w:szCs w:val="15"/>
          <w:color w:val="auto"/>
        </w:rPr>
        <w:t>1,542</w:t>
      </w:r>
    </w:p>
    <w:p>
      <w:pPr>
        <w:spacing w:after="0" w:line="43" w:lineRule="exact"/>
        <w:rPr>
          <w:rFonts w:ascii="Arial" w:cs="Arial" w:eastAsia="Arial" w:hAnsi="Arial"/>
          <w:sz w:val="15"/>
          <w:szCs w:val="15"/>
          <w:color w:val="auto"/>
        </w:rPr>
      </w:pPr>
    </w:p>
    <w:p>
      <w:pPr>
        <w:ind w:left="1052"/>
        <w:spacing w:after="0"/>
        <w:rPr>
          <w:rFonts w:ascii="Arial" w:cs="Arial" w:eastAsia="Arial" w:hAnsi="Arial"/>
          <w:sz w:val="15"/>
          <w:szCs w:val="15"/>
          <w:color w:val="auto"/>
        </w:rPr>
      </w:pPr>
      <w:r>
        <w:rPr>
          <w:rFonts w:ascii="Arial" w:cs="Arial" w:eastAsia="Arial" w:hAnsi="Arial"/>
          <w:sz w:val="15"/>
          <w:szCs w:val="15"/>
          <w:color w:val="auto"/>
        </w:rPr>
        <w:t>2,904</w:t>
      </w:r>
    </w:p>
    <w:p>
      <w:pPr>
        <w:spacing w:after="0" w:line="43" w:lineRule="exact"/>
        <w:rPr>
          <w:rFonts w:ascii="Arial" w:cs="Arial" w:eastAsia="Arial" w:hAnsi="Arial"/>
          <w:sz w:val="15"/>
          <w:szCs w:val="15"/>
          <w:color w:val="auto"/>
        </w:rPr>
      </w:pPr>
    </w:p>
    <w:p>
      <w:pPr>
        <w:ind w:left="1052"/>
        <w:spacing w:after="0"/>
        <w:rPr>
          <w:rFonts w:ascii="Arial" w:cs="Arial" w:eastAsia="Arial" w:hAnsi="Arial"/>
          <w:sz w:val="15"/>
          <w:szCs w:val="15"/>
          <w:color w:val="auto"/>
        </w:rPr>
      </w:pPr>
      <w:r>
        <w:rPr>
          <w:rFonts w:ascii="Arial" w:cs="Arial" w:eastAsia="Arial" w:hAnsi="Arial"/>
          <w:sz w:val="15"/>
          <w:szCs w:val="15"/>
          <w:color w:val="auto"/>
        </w:rPr>
        <w:t>2,557</w:t>
      </w:r>
    </w:p>
    <w:p>
      <w:pPr>
        <w:spacing w:after="0" w:line="43" w:lineRule="exact"/>
        <w:rPr>
          <w:rFonts w:ascii="Arial" w:cs="Arial" w:eastAsia="Arial" w:hAnsi="Arial"/>
          <w:sz w:val="15"/>
          <w:szCs w:val="15"/>
          <w:color w:val="auto"/>
        </w:rPr>
      </w:pPr>
    </w:p>
    <w:p>
      <w:pPr>
        <w:ind w:left="1052"/>
        <w:spacing w:after="0"/>
        <w:rPr>
          <w:rFonts w:ascii="Arial" w:cs="Arial" w:eastAsia="Arial" w:hAnsi="Arial"/>
          <w:sz w:val="15"/>
          <w:szCs w:val="15"/>
          <w:color w:val="auto"/>
        </w:rPr>
      </w:pPr>
      <w:r>
        <w:rPr>
          <w:rFonts w:ascii="Arial" w:cs="Arial" w:eastAsia="Arial" w:hAnsi="Arial"/>
          <w:sz w:val="15"/>
          <w:szCs w:val="15"/>
          <w:color w:val="auto"/>
        </w:rPr>
        <w:t>2,477</w:t>
      </w:r>
    </w:p>
    <w:p>
      <w:pPr>
        <w:spacing w:after="0" w:line="43" w:lineRule="exact"/>
        <w:rPr>
          <w:rFonts w:ascii="Arial" w:cs="Arial" w:eastAsia="Arial" w:hAnsi="Arial"/>
          <w:sz w:val="15"/>
          <w:szCs w:val="15"/>
          <w:color w:val="auto"/>
        </w:rPr>
      </w:pPr>
    </w:p>
    <w:p>
      <w:pPr>
        <w:ind w:left="1052"/>
        <w:spacing w:after="0"/>
        <w:rPr>
          <w:rFonts w:ascii="Arial" w:cs="Arial" w:eastAsia="Arial" w:hAnsi="Arial"/>
          <w:sz w:val="15"/>
          <w:szCs w:val="15"/>
          <w:color w:val="auto"/>
        </w:rPr>
      </w:pPr>
      <w:r>
        <w:rPr>
          <w:rFonts w:ascii="Arial" w:cs="Arial" w:eastAsia="Arial" w:hAnsi="Arial"/>
          <w:sz w:val="15"/>
          <w:szCs w:val="15"/>
          <w:color w:val="auto"/>
        </w:rPr>
        <w:t>1,738</w:t>
      </w:r>
    </w:p>
    <w:p>
      <w:pPr>
        <w:spacing w:after="0" w:line="44" w:lineRule="exact"/>
        <w:rPr>
          <w:sz w:val="20"/>
          <w:szCs w:val="20"/>
          <w:color w:val="auto"/>
        </w:rPr>
      </w:pPr>
    </w:p>
    <w:p>
      <w:pPr>
        <w:ind w:left="972" w:hanging="972"/>
        <w:spacing w:after="0"/>
        <w:tabs>
          <w:tab w:leader="none" w:pos="972" w:val="left"/>
        </w:tabs>
        <w:numPr>
          <w:ilvl w:val="0"/>
          <w:numId w:val="5"/>
        </w:numPr>
        <w:rPr>
          <w:rFonts w:ascii="Arial" w:cs="Arial" w:eastAsia="Arial" w:hAnsi="Arial"/>
          <w:sz w:val="15"/>
          <w:szCs w:val="15"/>
          <w:color w:val="auto"/>
        </w:rPr>
      </w:pPr>
      <w:r>
        <w:rPr>
          <w:rFonts w:ascii="Arial" w:cs="Arial" w:eastAsia="Arial" w:hAnsi="Arial"/>
          <w:sz w:val="15"/>
          <w:szCs w:val="15"/>
          <w:color w:val="auto"/>
        </w:rPr>
        <w:t>11,218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9258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9258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ectPr>
          <w:pgSz w:w="11900" w:h="16838" w:orient="portrait"/>
          <w:cols w:equalWidth="0" w:num="2">
            <w:col w:w="8948" w:space="720"/>
            <w:col w:w="1572"/>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offices, computer equipment and its shared cloud platform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$4.2 million and $3.8 million for the three months ended June 30, 2023 and 2022, respectively, and $8.2 million and $7.3 million for the six months ended June 30, 2023 and 2022,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220" w:type="dxa"/>
            <w:vAlign w:val="bottom"/>
            <w:gridSpan w:val="2"/>
          </w:tcPr>
          <w:p>
            <w:pPr>
              <w:jc w:val="right"/>
              <w:ind w:right="470"/>
              <w:spacing w:after="0"/>
              <w:rPr>
                <w:sz w:val="20"/>
                <w:szCs w:val="20"/>
                <w:color w:val="auto"/>
              </w:rPr>
            </w:pPr>
            <w:r>
              <w:rPr>
                <w:rFonts w:ascii="Arial" w:cs="Arial" w:eastAsia="Arial" w:hAnsi="Arial"/>
                <w:sz w:val="16"/>
                <w:szCs w:val="16"/>
                <w:b w:val="1"/>
                <w:bCs w:val="1"/>
                <w:color w:val="auto"/>
                <w:w w:val="74"/>
              </w:rPr>
              <w:t>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 liabilities</w:t>
            </w:r>
          </w:p>
        </w:tc>
        <w:tc>
          <w:tcPr>
            <w:tcW w:w="19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12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8,190</w:t>
            </w:r>
          </w:p>
        </w:tc>
        <w:tc>
          <w:tcPr>
            <w:tcW w:w="100" w:type="dxa"/>
            <w:vAlign w:val="bottom"/>
            <w:shd w:val="clear" w:color="auto" w:fill="CCEEFF"/>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9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12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2,486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remaining lease term and the weighted average discount rate of the Company's operating leases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14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90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3.4</w:t>
            </w:r>
          </w:p>
        </w:tc>
        <w:tc>
          <w:tcPr>
            <w:tcW w:w="2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87"/>
              </w:rPr>
              <w:t>3.7</w:t>
            </w:r>
          </w:p>
        </w:tc>
        <w:tc>
          <w:tcPr>
            <w:tcW w:w="140" w:type="dxa"/>
            <w:vAlign w:val="bottom"/>
            <w:shd w:val="clear" w:color="auto" w:fill="CCEEFF"/>
          </w:tcPr>
          <w:p>
            <w:pPr>
              <w:spacing w:after="0"/>
              <w:rPr>
                <w:sz w:val="18"/>
                <w:szCs w:val="18"/>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5.3%</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w w:val="87"/>
              </w:rPr>
              <w:t>5.2%</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Stockholders' Equity and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Restated 2012 Equity Incentive Plan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June 8, 2022 ("Effective Date"), the Company's stockholders approved the Amended and Restated 2012 Equity Incentive Plan (the "Restated 2012 Plan"). Under the Restated 2012 Plan, the Company is authorized to grant to eligible participants incentive stock options, nonstatutory stock options, restricted stock, restricted stock units ("RSUs"), stock appreciation rights, performance units and performance shares. Pursuant to the relevant plan provisions, 3,072 thousand shares were available for grant under the Restated 2012 Plan on the Effective Date. In addition, any outstanding awards or options granted under the previous version of the 2012 Equity Incentive Plan (“Previous 2012 Plan”) will be added back to the shares available for grant under the Restated 2012 Plan if they expire unexercised or are otherwise forfeited after the Effective Date. Any remaining shares available for grant under the Previous 2012 Plan as of the Effective Date were no longer available for future grants under the Restated 2012 Plan.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2023, 2,253 thousand shares were available for grant under the Restated 2012 Plan.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Employee Stock Purchase Plan</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June 9, 2021, the Company’s stockholders approved the 2021 Employee Stock Purchase Plan (the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2023, 29.5 thousand shares were issued in connection with the purchase of common stock by participating employees. As of June 30, 2023, 525 thousand shares were available for future purchases.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a summary of the stock-based compensation expense included in the condensed consolidated statements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stock-based compensation, net of amounts capitalized (1)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3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195"/>
        </w:trPr>
        <w:tc>
          <w:tcPr>
            <w:tcW w:w="240" w:type="dxa"/>
            <w:vAlign w:val="bottom"/>
          </w:tcPr>
          <w:p>
            <w:pPr>
              <w:spacing w:after="0"/>
              <w:rPr>
                <w:sz w:val="16"/>
                <w:szCs w:val="16"/>
                <w:color w:val="auto"/>
              </w:rPr>
            </w:pPr>
          </w:p>
        </w:tc>
        <w:tc>
          <w:tcPr>
            <w:tcW w:w="8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18"/>
                <w:szCs w:val="18"/>
                <w:color w:val="auto"/>
              </w:rPr>
            </w:pP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3,309</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6,828</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4,334</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11,048</w:t>
            </w:r>
          </w:p>
        </w:tc>
      </w:tr>
      <w:tr>
        <w:trPr>
          <w:trHeight w:val="21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32,038</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-719455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-445135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25" w:right="339" w:bottom="1440" w:gutter="0" w:footer="0" w:header="0"/>
          <w:type w:val="continuous"/>
        </w:sectPr>
      </w:pP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Total stock-based compensation expense capitalized was de minimis during the three and six months ended June 30, 2023.</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June 30, 2023, the Company had unrecognized stock-based compensation expenses of $24.2 million, $73.2 million, $3.4 million, and $0.3 million related to options, RSUs, performance-based RSUs, and ESPP purchase rights, respectively, which are expected to be recognized over weighted-average periods of 2.7 years, 2.5 years, 0.9 years, and 0.1 years,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Performance-based Restricted Stock Units ("PSUs")</w:t>
      </w:r>
    </w:p>
    <w:p>
      <w:pPr>
        <w:spacing w:after="0" w:line="225" w:lineRule="exact"/>
        <w:rPr>
          <w:sz w:val="20"/>
          <w:szCs w:val="20"/>
          <w:color w:val="auto"/>
        </w:rPr>
      </w:pPr>
    </w:p>
    <w:p>
      <w:pPr>
        <w:ind w:right="80" w:firstLine="414"/>
        <w:spacing w:after="0" w:line="285" w:lineRule="auto"/>
        <w:rPr>
          <w:sz w:val="20"/>
          <w:szCs w:val="20"/>
          <w:color w:val="auto"/>
        </w:rPr>
      </w:pPr>
      <w:r>
        <w:rPr>
          <w:rFonts w:ascii="Arial" w:cs="Arial" w:eastAsia="Arial" w:hAnsi="Arial"/>
          <w:sz w:val="16"/>
          <w:szCs w:val="16"/>
          <w:color w:val="auto"/>
        </w:rPr>
        <w:t>On April 27, 2021, the Compensation Committee granted to the Company’s current president and chief executive officer an equity award consisting of certain RSUs and a target number of 10 thousand PSUs. The PSUs are scheduled to vest at the end of the three-year performance period from January 2021 through December 2023. The actual number of the PSUs eligible to vest ranges from 0% to 200% of the target number, depending on the level of achievement of goals related to revenue growth and free cash flow per share growth during the performance period. If the Company's current president and chief executive officer is terminated (a) by reason of death or disability or (b) by the Company for reasons other than cause or good reason</w:t>
      </w:r>
    </w:p>
    <w:p>
      <w:pPr>
        <w:spacing w:after="0" w:line="2" w:lineRule="exact"/>
        <w:rPr>
          <w:sz w:val="20"/>
          <w:szCs w:val="20"/>
          <w:color w:val="auto"/>
        </w:rPr>
      </w:pPr>
    </w:p>
    <w:p>
      <w:pPr>
        <w:ind w:right="880"/>
        <w:spacing w:after="0" w:line="290" w:lineRule="auto"/>
        <w:rPr>
          <w:sz w:val="20"/>
          <w:szCs w:val="20"/>
          <w:color w:val="auto"/>
        </w:rPr>
      </w:pPr>
      <w:r>
        <w:rPr>
          <w:rFonts w:ascii="Arial" w:cs="Arial" w:eastAsia="Arial" w:hAnsi="Arial"/>
          <w:sz w:val="17"/>
          <w:szCs w:val="17"/>
          <w:color w:val="auto"/>
        </w:rPr>
        <w:t>within 12 months following a change in control, then 100% of any unvested portions of the award will vest, with any vesting in connection with terminations due to change in control conditioned upon the effectiveness of a release of claims in favor of the Company.</w:t>
      </w:r>
    </w:p>
    <w:p>
      <w:pPr>
        <w:spacing w:after="0" w:line="161" w:lineRule="exact"/>
        <w:rPr>
          <w:sz w:val="20"/>
          <w:szCs w:val="20"/>
          <w:color w:val="auto"/>
        </w:rPr>
      </w:pPr>
    </w:p>
    <w:p>
      <w:pPr>
        <w:ind w:right="40" w:firstLine="414"/>
        <w:spacing w:after="0" w:line="286" w:lineRule="auto"/>
        <w:rPr>
          <w:sz w:val="20"/>
          <w:szCs w:val="20"/>
          <w:color w:val="auto"/>
        </w:rPr>
      </w:pPr>
      <w:r>
        <w:rPr>
          <w:rFonts w:ascii="Arial" w:cs="Arial" w:eastAsia="Arial" w:hAnsi="Arial"/>
          <w:sz w:val="16"/>
          <w:szCs w:val="16"/>
          <w:color w:val="auto"/>
        </w:rPr>
        <w:t>On October 28, 2021, the Compensation Committee approved to certain executive officers of the Company equity awards consisting of certain RSUs and an aggregate target number of 73 thousand PSUs. The target PSUs are scheduled to vest in three equal annual installments over a three-year period from January 2022 through December 2024. Each annual installments at 200% of the annual target will be considered granted when the performance targets for the corresponding performance year are determined and approved. The actual number of the PSUs eligible to vest each year ranges from 0%</w:t>
      </w:r>
    </w:p>
    <w:p>
      <w:pPr>
        <w:spacing w:after="0" w:line="1" w:lineRule="exact"/>
        <w:rPr>
          <w:sz w:val="20"/>
          <w:szCs w:val="20"/>
          <w:color w:val="auto"/>
        </w:rPr>
      </w:pPr>
    </w:p>
    <w:p>
      <w:pPr>
        <w:ind w:right="1020"/>
        <w:spacing w:after="0" w:line="281" w:lineRule="auto"/>
        <w:rPr>
          <w:sz w:val="20"/>
          <w:szCs w:val="20"/>
          <w:color w:val="auto"/>
        </w:rPr>
      </w:pPr>
      <w:r>
        <w:rPr>
          <w:rFonts w:ascii="Arial" w:cs="Arial" w:eastAsia="Arial" w:hAnsi="Arial"/>
          <w:sz w:val="16"/>
          <w:szCs w:val="16"/>
          <w:color w:val="auto"/>
        </w:rPr>
        <w:t>to 200% of the annual target number, depending on the level of achievement of goals related to revenue growth and adjusted EBITDA margin corresponding to that year. The vesting and release of the first and second installment is capped at 100% of the target number at the end of</w:t>
      </w:r>
    </w:p>
    <w:p>
      <w:pPr>
        <w:spacing w:after="0" w:line="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the first and second year, respectively, with cumulative achievement over 100%, if any, to be vested and released at the end of the third year, together with the vesting of the third installment. If any of the executive officers is terminated by reason of death or disability, 100% of the target number of the unvested PSU will vest immediately, or (a) by the Company for reasons other than cause or (b) by the executive officers for good reason within 12 months following a change in control, any unvested PSUs eligible to vest pursuant to cumulative achievements over 100% for past installments along with any target number of unvested PSUs for any remaining installments will vest immediately.</w:t>
      </w:r>
    </w:p>
    <w:p>
      <w:pPr>
        <w:spacing w:after="0" w:line="178" w:lineRule="exact"/>
        <w:rPr>
          <w:sz w:val="20"/>
          <w:szCs w:val="20"/>
          <w:color w:val="auto"/>
        </w:rPr>
      </w:pPr>
    </w:p>
    <w:p>
      <w:pPr>
        <w:ind w:right="40" w:firstLine="414"/>
        <w:spacing w:after="0" w:line="286" w:lineRule="auto"/>
        <w:rPr>
          <w:sz w:val="20"/>
          <w:szCs w:val="20"/>
          <w:color w:val="auto"/>
        </w:rPr>
      </w:pPr>
      <w:r>
        <w:rPr>
          <w:rFonts w:ascii="Arial" w:cs="Arial" w:eastAsia="Arial" w:hAnsi="Arial"/>
          <w:sz w:val="16"/>
          <w:szCs w:val="16"/>
          <w:color w:val="auto"/>
        </w:rPr>
        <w:t>On October 27, 2022, the Compensation Committee approved to certain executive officers of the Company equity awards consisting of certain RSUs and an aggregate target number of 86 thousand PSUs. The target PSUs are scheduled to vest in three equal annual installments over a three-year period from January 2023 through December 2025. Each annual installments at 200% of the annual target will be considered granted when the performance targets for the corresponding performance year are determined and approved. The actual number of the PSUs eligible to vest each year ranges from 0%</w:t>
      </w:r>
    </w:p>
    <w:p>
      <w:pPr>
        <w:spacing w:after="0" w:line="1" w:lineRule="exact"/>
        <w:rPr>
          <w:sz w:val="20"/>
          <w:szCs w:val="20"/>
          <w:color w:val="auto"/>
        </w:rPr>
      </w:pPr>
    </w:p>
    <w:p>
      <w:pPr>
        <w:ind w:right="1020"/>
        <w:spacing w:after="0" w:line="281" w:lineRule="auto"/>
        <w:rPr>
          <w:sz w:val="20"/>
          <w:szCs w:val="20"/>
          <w:color w:val="auto"/>
        </w:rPr>
      </w:pPr>
      <w:r>
        <w:rPr>
          <w:rFonts w:ascii="Arial" w:cs="Arial" w:eastAsia="Arial" w:hAnsi="Arial"/>
          <w:sz w:val="16"/>
          <w:szCs w:val="16"/>
          <w:color w:val="auto"/>
        </w:rPr>
        <w:t>to 200% of the annual target number, depending on the level of achievement of goals related to revenue growth and adjusted EBITDA margin corresponding to that year. The vesting and release of the first and second installment is capped at 100% of the target number at the end of</w:t>
      </w:r>
    </w:p>
    <w:p>
      <w:pPr>
        <w:spacing w:after="0" w:line="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the first and second year, respectively, with cumulative achievement over 100%, if any, to be vested and released at the end of the third year, together with the vesting of the third installment. If any of the executive officers is terminated by reason of death or disability, 100% of the target number of the unvested PSU will vest immediately, or (a) by the Company for reasons other than cause or (b) by the executive officers for good reason within 12 months following a change in control, any unvested PSUs eligible to vest pursuant to cumulative achievements over 100% for past installments along with any target number of unvested PSUs for any remaining installments will vest immediately.</w:t>
      </w:r>
    </w:p>
    <w:p>
      <w:pPr>
        <w:spacing w:after="0" w:line="178" w:lineRule="exact"/>
        <w:rPr>
          <w:sz w:val="20"/>
          <w:szCs w:val="20"/>
          <w:color w:val="auto"/>
        </w:rPr>
      </w:pPr>
    </w:p>
    <w:p>
      <w:pPr>
        <w:ind w:right="20" w:firstLine="414"/>
        <w:spacing w:after="0" w:line="269" w:lineRule="auto"/>
        <w:rPr>
          <w:sz w:val="20"/>
          <w:szCs w:val="20"/>
          <w:color w:val="auto"/>
        </w:rPr>
      </w:pPr>
      <w:r>
        <w:rPr>
          <w:rFonts w:ascii="Arial" w:cs="Arial" w:eastAsia="Arial" w:hAnsi="Arial"/>
          <w:sz w:val="17"/>
          <w:szCs w:val="17"/>
          <w:color w:val="auto"/>
        </w:rPr>
        <w:t>On February 6, 2023, the Compensation Committee approved to an executive officer of the Company equity awards consisting of certain RSUs and an aggregate target number of 6 thousand PSUs. The target PSUs are scheduled to vest in three equal annual installments over a three-year period from January 2023 through December 2025. Each annual installments at 200% of the annual target will be considered granted when the performance targets for the corresponding performance year are determined and approved. The actual number of the PSUs eligible to vest each year ranges from 0% to 200% of the annual target number, depending on the level of achievement of goals related to revenue growth and adjusted EBITDA margin corresponding to that year. The vesting and release of the first and second installment is capped at 100% of the target number at the end of the first and second year, respectively, with cumulative achievement over 100%, if any, to be vested and released at the end of the third year, together with the vesting of the third installment. If any of the executive officers is terminated by reason of death or disability, 100% of the target number of the unvested PSU will vest immediately, or (a) by the Company for reasons other than cause or (b) by the executive officers for good reason within 12 months following a change in control, any unvested PSUs eligible to vest pursuant to cumulative achievements over 100% for past installments along with any target number of unvested PSUs for any remaining installments will vest immediately.</w:t>
      </w:r>
    </w:p>
    <w:p>
      <w:pPr>
        <w:spacing w:after="0" w:line="18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Company recognized stock-based compensation expenses related to all PSUs of $1.2 million and $1.1 million during the three months ended June 30, 2023 and 2022, respectively, and $2.5 million and $1.9 million during the six months ended June 30, 2023 and 2022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 Option Activity</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960" w:type="dxa"/>
            <w:vAlign w:val="bottom"/>
          </w:tcPr>
          <w:p>
            <w:pPr>
              <w:ind w:left="420"/>
              <w:spacing w:after="0"/>
              <w:rPr>
                <w:sz w:val="20"/>
                <w:szCs w:val="20"/>
                <w:color w:val="auto"/>
              </w:rPr>
            </w:pPr>
            <w:r>
              <w:rPr>
                <w:rFonts w:ascii="Arial" w:cs="Arial" w:eastAsia="Arial" w:hAnsi="Arial"/>
                <w:sz w:val="18"/>
                <w:szCs w:val="18"/>
                <w:color w:val="auto"/>
              </w:rPr>
              <w:t>A summary of the Company’s stock option activity is as follows: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5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Weighted</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9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58,024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118.14</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Canceled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123.40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66,278</w:t>
            </w: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Vested and expected to vest as of June 30, 2023</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1,569</w:t>
            </w:r>
          </w:p>
        </w:tc>
        <w:tc>
          <w:tcPr>
            <w:tcW w:w="140" w:type="dxa"/>
            <w:vAlign w:val="bottom"/>
          </w:tcPr>
          <w:p>
            <w:pPr>
              <w:spacing w:after="0"/>
              <w:rPr>
                <w:sz w:val="17"/>
                <w:szCs w:val="17"/>
                <w:color w:val="auto"/>
              </w:rPr>
            </w:pPr>
          </w:p>
        </w:tc>
        <w:tc>
          <w:tcPr>
            <w:tcW w:w="22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89.42</w:t>
            </w:r>
          </w:p>
        </w:tc>
        <w:tc>
          <w:tcPr>
            <w:tcW w:w="156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6.3</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64,788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June 30,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59,905</w:t>
            </w:r>
          </w:p>
        </w:tc>
      </w:tr>
    </w:tbl>
    <w:p>
      <w:pPr>
        <w:spacing w:after="0" w:line="200" w:lineRule="exact"/>
        <w:rPr>
          <w:sz w:val="20"/>
          <w:szCs w:val="20"/>
          <w:color w:val="auto"/>
        </w:rPr>
      </w:pPr>
    </w:p>
    <w:p>
      <w:pPr>
        <w:sectPr>
          <w:pgSz w:w="11900" w:h="16838" w:orient="portrait"/>
          <w:cols w:equalWidth="0" w:num="1">
            <w:col w:w="11240"/>
          </w:cols>
          <w:pgMar w:left="320" w:top="125" w:right="339" w:bottom="966"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66"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7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Restricted Stock Unit Activity</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80" w:type="dxa"/>
            <w:vAlign w:val="bottom"/>
            <w:gridSpan w:val="2"/>
          </w:tcPr>
          <w:p>
            <w:pPr>
              <w:ind w:left="420"/>
              <w:spacing w:after="0"/>
              <w:rPr>
                <w:sz w:val="20"/>
                <w:szCs w:val="20"/>
                <w:color w:val="auto"/>
              </w:rPr>
            </w:pPr>
            <w:r>
              <w:rPr>
                <w:rFonts w:ascii="Arial" w:cs="Arial" w:eastAsia="Arial" w:hAnsi="Arial"/>
                <w:sz w:val="18"/>
                <w:szCs w:val="18"/>
                <w:color w:val="auto"/>
              </w:rPr>
              <w:t>A summary of the Company’s RSU activity is as follows: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Grant Date Fair</w:t>
            </w: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Outstanding RSUs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Value Per Share</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9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(204)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4"/>
          </w:tcPr>
          <w:p>
            <w:pPr>
              <w:jc w:val="right"/>
              <w:ind w:right="30"/>
              <w:spacing w:after="0"/>
              <w:rPr>
                <w:sz w:val="20"/>
                <w:szCs w:val="20"/>
                <w:color w:val="auto"/>
              </w:rPr>
            </w:pPr>
            <w:r>
              <w:rPr>
                <w:rFonts w:ascii="Arial" w:cs="Arial" w:eastAsia="Arial" w:hAnsi="Arial"/>
                <w:sz w:val="18"/>
                <w:szCs w:val="18"/>
                <w:color w:val="auto"/>
              </w:rPr>
              <w:t>(123) (4)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Pr>
          <w:p>
            <w:pPr>
              <w:spacing w:after="0"/>
              <w:rPr>
                <w:sz w:val="18"/>
                <w:szCs w:val="18"/>
                <w:color w:val="auto"/>
              </w:rPr>
            </w:pPr>
          </w:p>
        </w:tc>
      </w:tr>
      <w:tr>
        <w:trPr>
          <w:trHeight w:val="249"/>
        </w:trPr>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780" w:type="dxa"/>
            <w:vAlign w:val="bottom"/>
            <w:gridSpan w:val="2"/>
          </w:tcPr>
          <w:p>
            <w:pPr>
              <w:spacing w:after="0" w:line="196" w:lineRule="exact"/>
              <w:rPr>
                <w:sz w:val="20"/>
                <w:szCs w:val="20"/>
                <w:color w:val="auto"/>
              </w:rPr>
            </w:pPr>
            <w:r>
              <w:rPr>
                <w:rFonts w:ascii="Arial" w:cs="Arial" w:eastAsia="Arial" w:hAnsi="Arial"/>
                <w:sz w:val="18"/>
                <w:szCs w:val="18"/>
                <w:color w:val="auto"/>
              </w:rPr>
              <w:t>Outstanding and expected to vest as of June 30, 2023</w:t>
            </w:r>
          </w:p>
        </w:tc>
        <w:tc>
          <w:tcPr>
            <w:tcW w:w="14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744</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123.27</w:t>
            </w: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ind w:left="400" w:hanging="248"/>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175 thousand PSUs granted to certain executive officers in 2022 and 2021.</w:t>
      </w:r>
    </w:p>
    <w:p>
      <w:pPr>
        <w:spacing w:after="0" w:line="23" w:lineRule="exact"/>
        <w:rPr>
          <w:rFonts w:ascii="Arial" w:cs="Arial" w:eastAsia="Arial" w:hAnsi="Arial"/>
          <w:sz w:val="18"/>
          <w:szCs w:val="18"/>
          <w:color w:val="auto"/>
        </w:rPr>
      </w:pPr>
    </w:p>
    <w:p>
      <w:pPr>
        <w:ind w:left="400" w:hanging="257"/>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4 thousand PSUs granted to a certain executive officer in the six months ended June 30, 2023.</w:t>
      </w:r>
    </w:p>
    <w:p>
      <w:pPr>
        <w:spacing w:after="0" w:line="32" w:lineRule="exact"/>
        <w:rPr>
          <w:rFonts w:ascii="Arial" w:cs="Arial" w:eastAsia="Arial" w:hAnsi="Arial"/>
          <w:sz w:val="16"/>
          <w:szCs w:val="16"/>
          <w:color w:val="auto"/>
        </w:rPr>
      </w:pPr>
    </w:p>
    <w:p>
      <w:pPr>
        <w:ind w:left="400" w:hanging="25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24 thousand PSUs granted to certain executive officers in 2021.</w:t>
      </w:r>
    </w:p>
    <w:p>
      <w:pPr>
        <w:spacing w:after="0" w:line="9" w:lineRule="exact"/>
        <w:rPr>
          <w:rFonts w:ascii="Arial" w:cs="Arial" w:eastAsia="Arial" w:hAnsi="Arial"/>
          <w:sz w:val="18"/>
          <w:szCs w:val="18"/>
          <w:color w:val="auto"/>
        </w:rPr>
      </w:pPr>
    </w:p>
    <w:p>
      <w:pPr>
        <w:ind w:left="400" w:hanging="25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22 thousand PSUs granted to certain executive officers in 2022 and 2021.</w:t>
      </w:r>
    </w:p>
    <w:p>
      <w:pPr>
        <w:spacing w:after="0" w:line="9" w:lineRule="exact"/>
        <w:rPr>
          <w:rFonts w:ascii="Arial" w:cs="Arial" w:eastAsia="Arial" w:hAnsi="Arial"/>
          <w:sz w:val="18"/>
          <w:szCs w:val="18"/>
          <w:color w:val="auto"/>
        </w:rPr>
      </w:pPr>
    </w:p>
    <w:p>
      <w:pPr>
        <w:ind w:left="400" w:hanging="25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132 thousand PSUs granted to certain executive officers in 2023, 2022 and 2021.</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share repurchase program was authorized by the board of directors as follows:</w:t>
      </w:r>
    </w:p>
    <w:p>
      <w:pPr>
        <w:spacing w:after="0" w:line="200" w:lineRule="exact"/>
        <w:rPr>
          <w:sz w:val="20"/>
          <w:szCs w:val="20"/>
          <w:color w:val="auto"/>
        </w:rPr>
      </w:pPr>
    </w:p>
    <w:p>
      <w:pPr>
        <w:spacing w:after="0" w:line="260"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Announcement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60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30,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10,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4,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Authorized Dollar</w:t>
      </w:r>
    </w:p>
    <w:p>
      <w:pPr>
        <w:spacing w:after="0" w:line="3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9258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(in millions)</w:t>
      </w:r>
    </w:p>
    <w:p>
      <w:pPr>
        <w:spacing w:after="0" w:line="23" w:lineRule="exact"/>
        <w:rPr>
          <w:sz w:val="20"/>
          <w:szCs w:val="20"/>
          <w:color w:val="auto"/>
        </w:rPr>
      </w:pPr>
    </w:p>
    <w:p>
      <w:pPr>
        <w:ind w:left="1060" w:hanging="1052"/>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100.0</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100.0</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100.0</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100.0</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100.0</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200.0</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200.0</w:t>
      </w:r>
    </w:p>
    <w:p>
      <w:pPr>
        <w:spacing w:after="0" w:line="57"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9258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4"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1,000.0</w:t>
      </w:r>
    </w:p>
    <w:p>
      <w:pPr>
        <w:spacing w:after="0" w:line="262" w:lineRule="exact"/>
        <w:rPr>
          <w:sz w:val="20"/>
          <w:szCs w:val="20"/>
          <w:color w:val="auto"/>
        </w:rPr>
      </w:pPr>
    </w:p>
    <w:p>
      <w:pPr>
        <w:sectPr>
          <w:pgSz w:w="11900" w:h="16838" w:orient="portrait"/>
          <w:cols w:equalWidth="0" w:num="2">
            <w:col w:w="8940" w:space="720"/>
            <w:col w:w="1580"/>
          </w:cols>
          <w:pgMar w:left="320" w:top="108" w:right="339" w:bottom="1440" w:gutter="0" w:footer="0" w:header="0"/>
          <w:type w:val="continuous"/>
        </w:sectPr>
      </w:pPr>
    </w:p>
    <w:p>
      <w:pPr>
        <w:spacing w:after="0" w:line="25"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accumulated deficit.</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2023 and 2022, the Company repurchased 930 thousand shares and 929 thousand shares of its common stock for approximately$108.8 million and $117.8 million, respectively. As of June 30, 2023, approximately $145.7 million remained available for share repurchases pursuant to the Company's share repurchase program.</w:t>
      </w:r>
    </w:p>
    <w:p>
      <w:pPr>
        <w:spacing w:after="0" w:line="184"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On August 16, 2022, the President signed into law the Inflation Reduction Act of 2022 which contained provisions effective January 1, 2023, including a 1% excise tax on stock repurchases net of issue, which was immaterial to our financial results and cash flows for the three months and six months ended June 30, 2023 and our financial position as of June 30,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Income Per Share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computations for basic and diluted net income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191"/>
        </w:trPr>
        <w:tc>
          <w:tcPr>
            <w:tcW w:w="596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(in thousands,</w:t>
            </w:r>
          </w:p>
        </w:tc>
        <w:tc>
          <w:tcPr>
            <w:tcW w:w="134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88"/>
              </w:rPr>
              <w:t>except per 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(in thousands,</w:t>
            </w:r>
          </w:p>
        </w:tc>
        <w:tc>
          <w:tcPr>
            <w:tcW w:w="136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89"/>
              </w:rPr>
              <w:t>except per share</w:t>
            </w:r>
          </w:p>
        </w:tc>
        <w:tc>
          <w:tcPr>
            <w:tcW w:w="100" w:type="dxa"/>
            <w:vAlign w:val="bottom"/>
          </w:tcPr>
          <w:p>
            <w:pPr>
              <w:spacing w:after="0"/>
              <w:rPr>
                <w:sz w:val="16"/>
                <w:szCs w:val="16"/>
                <w:color w:val="auto"/>
              </w:rPr>
            </w:pPr>
          </w:p>
        </w:tc>
      </w:tr>
      <w:tr>
        <w:trPr>
          <w:trHeight w:val="234"/>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data)</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data)</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35,382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26,596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64,487</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52,006</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36,842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38,738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38,864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shares: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3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37,435</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37,551</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39,844</w:t>
            </w:r>
          </w:p>
        </w:tc>
        <w:tc>
          <w:tcPr>
            <w:tcW w:w="100" w:type="dxa"/>
            <w:vAlign w:val="bottom"/>
            <w:shd w:val="clear" w:color="auto" w:fill="CCEEFF"/>
          </w:tcPr>
          <w:p>
            <w:pPr>
              <w:spacing w:after="0"/>
              <w:rPr>
                <w:sz w:val="20"/>
                <w:szCs w:val="20"/>
                <w:color w:val="auto"/>
              </w:rPr>
            </w:pPr>
          </w:p>
        </w:tc>
      </w:tr>
      <w:tr>
        <w:trPr>
          <w:trHeight w:val="210"/>
        </w:trPr>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0"/>
                <w:szCs w:val="20"/>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6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0.95</w:t>
            </w: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0.67</w:t>
            </w:r>
          </w:p>
        </w:tc>
        <w:tc>
          <w:tcPr>
            <w:tcW w:w="3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Potentially dilutive shares not included in the calculation of diluted net income per share because doing so would be anti-dilutive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6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1,022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3460" w:type="dxa"/>
            <w:vAlign w:val="bottom"/>
            <w:gridSpan w:val="3"/>
          </w:tcPr>
          <w:p>
            <w:pPr>
              <w:jc w:val="right"/>
              <w:ind w:right="161"/>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120" w:type="dxa"/>
            <w:vAlign w:val="bottom"/>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2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210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1,214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1120" w:type="dxa"/>
            <w:vAlign w:val="bottom"/>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00" w:type="dxa"/>
            <w:vAlign w:val="bottom"/>
            <w:vMerge w:val="restart"/>
          </w:tcPr>
          <w:p>
            <w:pPr>
              <w:jc w:val="right"/>
              <w:ind w:right="150"/>
              <w:spacing w:after="0"/>
              <w:rPr>
                <w:sz w:val="20"/>
                <w:szCs w:val="20"/>
                <w:color w:val="auto"/>
              </w:rPr>
            </w:pPr>
            <w:r>
              <w:rPr>
                <w:rFonts w:ascii="Arial" w:cs="Arial" w:eastAsia="Arial" w:hAnsi="Arial"/>
                <w:sz w:val="18"/>
                <w:szCs w:val="18"/>
                <w:color w:val="auto"/>
              </w:rPr>
              <w:t>22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tax law developments and possible outcomes of audits. The Company's estimated effective tax rate for the year differs from the U.S. statutory rate of 21% primarily due to non-deductible stock-based compensation expense, state taxes, the benefit of U.S. federal income tax credits, mandatory capitalization of research expenses, and the foreign-derived intangible income deduction.</w:t>
      </w:r>
    </w:p>
    <w:p>
      <w:pPr>
        <w:spacing w:after="0" w:line="18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recorded an income tax provision of $10.3 million and $5.5 million for the three months ended June 30, 2023 and 2022, respectively, resulting in an effective tax rate of 22.5% and 17.2%, respectively. The increase in income tax provision for the three months ended June 30, 2023 compared to the three months ended June 30, 2022 was primarily due to an increase in pre-tax income and lower excess tax benefits arising from stock-based compensation, partially offset by lower net capitalization of research and development expenses compared to the same period in 2022.</w:t>
      </w:r>
    </w:p>
    <w:p>
      <w:pPr>
        <w:spacing w:after="0" w:line="15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recorded an income tax provision of $18.5 million and $13.5 million for the six months ended June 30, 2023 and 2022, respectively, resulting in an effective tax rate of 22.3% and 20.6%, respectively. The increase in income tax provision for the six months ended June 30, 2023 compared to the six months ended June 30, 2022 was primarily due to an increase in pre-tax income and lower excess tax benefits arising from stock-based compensation, partially offset by lower net capitalization of research and development expenses compared to the same period in 2022.</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2023, the Company had unrecognized tax benefits of $11.0 million, of which $5.5 million, if recognized, would favorably impact the Company's effective tax rate. As of December 31, 2022, the Company had unrecognized tax benefits of $10.5 million, of which $5.3 million, if recognized, would favorably impact the Company's effective tax rate. The Company does not anticipate a material change in its unrecognized tax benefits in the next 12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and Information about Geographic Area</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geographic area, based on the customer's billing address,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7"/>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82,955</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71,339</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160,971</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54,254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48,554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106,921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94,452</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267,892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which consist of Property and equipment, net and Operating leases - right of use asset, by geographic area,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3"/>
          </w:tcPr>
          <w:p>
            <w:pPr>
              <w:jc w:val="right"/>
              <w:ind w:right="95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India</w:t>
            </w: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Total Long-lived Assets</w:t>
            </w:r>
          </w:p>
        </w:tc>
        <w:tc>
          <w:tcPr>
            <w:tcW w:w="4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68,343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360" w:type="dxa"/>
            <w:vAlign w:val="bottom"/>
            <w:vMerge w:val="restart"/>
          </w:tcPr>
          <w:p>
            <w:pPr>
              <w:jc w:val="right"/>
              <w:ind w:right="2170"/>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2022.</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 w:lineRule="exact"/>
        <w:rPr>
          <w:sz w:val="20"/>
          <w:szCs w:val="20"/>
          <w:color w:val="auto"/>
        </w:rPr>
      </w:pPr>
    </w:p>
    <w:p>
      <w:pPr>
        <w:ind w:left="460" w:hanging="228"/>
        <w:spacing w:after="0" w:line="250"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to changing market conditions;</w:t>
      </w:r>
    </w:p>
    <w:p>
      <w:pPr>
        <w:spacing w:after="0" w:line="9" w:lineRule="exact"/>
        <w:rPr>
          <w:rFonts w:ascii="Arial" w:cs="Arial" w:eastAsia="Arial" w:hAnsi="Arial"/>
          <w:sz w:val="18"/>
          <w:szCs w:val="18"/>
          <w:i w:val="1"/>
          <w:iCs w:val="1"/>
          <w:color w:val="auto"/>
        </w:rPr>
      </w:pPr>
    </w:p>
    <w:p>
      <w:pPr>
        <w:ind w:left="460" w:hanging="228"/>
        <w:spacing w:after="0" w:line="250"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financial conditions, including volatility in foreign exchange rates, inflation concerns, rising interest rates, recessionary fears, financial institution failures and associated uncertainty, supply chain disruption, and global labor shortage;</w:t>
      </w:r>
    </w:p>
    <w:p>
      <w:pPr>
        <w:ind w:left="460" w:hanging="228"/>
        <w:spacing w:after="0" w:line="250"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increased competition in our market;</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investments in sales and marketing, our infrastructure, new solutions, research and development, and acquisitions;</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assumptions and conclusions related to our income tax provision, our deferred tax assets and our effective tax rate; and</w:t>
      </w:r>
    </w:p>
    <w:p>
      <w:pPr>
        <w:spacing w:after="0" w:line="20" w:lineRule="exact"/>
        <w:rPr>
          <w:rFonts w:ascii="Arial" w:cs="Arial" w:eastAsia="Arial" w:hAnsi="Arial"/>
          <w:sz w:val="17"/>
          <w:szCs w:val="17"/>
          <w:i w:val="1"/>
          <w:iCs w:val="1"/>
          <w:color w:val="auto"/>
        </w:rPr>
      </w:pPr>
    </w:p>
    <w:p>
      <w:pPr>
        <w:ind w:left="460" w:hanging="228"/>
        <w:spacing w:after="0" w:line="260"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discussed in this Quarterly Report on Form 10-Q in the sections titled “Risk Factors” and “Management's Discussion and Analysis of Financial Condition and Results of Operations.”</w:t>
      </w:r>
    </w:p>
    <w:p>
      <w:pPr>
        <w:spacing w:after="0" w:line="1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pioneer and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jc w:val="both"/>
        <w:ind w:left="460" w:hanging="228"/>
        <w:spacing w:after="0" w:line="254"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(VM), Vulnerability Management, Detection and Response (VMDR), Threat Protection (TP),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(CM), Patch Management (PM), Multi-Vector Endpoint Detection and Response (EDR), Certificate Assessment (CRA), SaaS Detection and Response (SaaSDR), Secure Enterprise Mobility (SEM), Custom Assessment and Remediation (CAR), Context Extended Detection and Response (XDR), Network Detection and Response (NDR);</w:t>
      </w:r>
    </w:p>
    <w:p>
      <w:pPr>
        <w:spacing w:after="0" w:line="2" w:lineRule="exact"/>
        <w:rPr>
          <w:rFonts w:ascii="Arial" w:cs="Arial" w:eastAsia="Arial" w:hAnsi="Arial"/>
          <w:sz w:val="18"/>
          <w:szCs w:val="18"/>
          <w:i w:val="1"/>
          <w:iCs w:val="1"/>
          <w:color w:val="auto"/>
        </w:rPr>
      </w:pPr>
    </w:p>
    <w:p>
      <w:pPr>
        <w:ind w:left="460" w:hanging="228"/>
        <w:spacing w:after="0" w:line="250"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Questionnaire (SAQ), Out-of-Band Configuration Assessment (OCA);</w:t>
      </w:r>
    </w:p>
    <w:p>
      <w:pPr>
        <w:ind w:left="460" w:hanging="228"/>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AssetView (GAV), Cybersecurity Asset Management (CSAM), Certificate Inventory (CRI); and</w:t>
      </w:r>
    </w:p>
    <w:p>
      <w:pPr>
        <w:spacing w:after="0" w:line="9" w:lineRule="exact"/>
        <w:rPr>
          <w:rFonts w:ascii="Arial" w:cs="Arial" w:eastAsia="Arial" w:hAnsi="Arial"/>
          <w:sz w:val="18"/>
          <w:szCs w:val="18"/>
          <w:i w:val="1"/>
          <w:iCs w:val="1"/>
          <w:color w:val="auto"/>
        </w:rPr>
      </w:pPr>
    </w:p>
    <w:p>
      <w:pPr>
        <w:ind w:left="460" w:hanging="228"/>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TotalCloud (CNAPP), Cloud Inventory (CI), Cloud Security Assessment (CSA), Container Security (CS).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For each of the six months ended June 30, 2023 and 2022, approximately 60%,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cloud providers, value-added resellers and consulting firms in the United States and internationally.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Impacts of Current Macroeconomic Environment</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uncertainty surrounding macroeconomic factors in the U.S. and globally characterized by the supply chain environment, inflationary pressure, rising interest rates, financial institution failures and associated uncertainty, labor shortages, significant volatility of global markets, reduced spending and extended sales cycles, and geopolitical conflicts could have a material adverse effect on our long-term business and could lead to further economic disruption and expose us to greater risk as our current and potential customers may reduce or eliminate their overall spending on IT security. We will continue to evaluate the nature and extent of the impact to our business, financial position,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Cost of revenues consists primarily of personnel expenses, comprised of salaries, benefits, performance-based compensation and stock-based compensation, for employees who operate our shared cloud platforms and provide support services to our customers. Other expenses include depreciation of shared cloud platform equipment, physical scanner appliances and computer hardware provided to certain customers as part of their subscriptions, expenses related to the use of shared cloud platforms, amortization of software and license fees, amortization of intangibles related to acquisitions, maintenance support, fees paid to contractors who supplement or support our operations center personnel and overhead allocations. We expect to continue to expand our shared cloud platform infrastructures and hire additional employees to support our operations, which will increase the cost of revenues in absolute dollars.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 We expect to continue to devote resources to research and development in an effort to continuously improve our existing solutions as well as develop new solutions and capabilities and expect that research and development expenses will increase in absolute dollars.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invest in additional sales personnel worldwide and also in more marketing programs to support new solutions on our platform, which will increase sales and marketing expenses in absolute dollars.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other income (expense), net consists primarily of interest and investment income from our short-term and long-term marketable securities, non-marketable securities gains and losses, and foreign exchange gains and losses, the majority of which result from fluctuations between the U.S. Dollar and the Euro, GBP and INR.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are generally similar to the U.S. statutory tax rate. We regularly assess the realizability of our net deferred tax assets. As of June 30, 2023, valuation allowances remain in certain jurisdictions where the Company believes it is necessary to see further positive evidence, such as sustained achievement of sufficient profits. Given the current earnings trend, incremental positive evidence was identified this quarter, however, we have not identified sufficient positive evidence to meet a more likely than not stance that the valuation allowance should be reversed. If additional positive evidence becomes available in the foreseeable future, the Company may release all or a portion of the valuation allowance. The exact timing and amount of the valuation allowance release is subject to change based on the level of profitability achieved in future periods. Release of the valuation allowance would result in the recognition of deferred tax assets and a corresponding decrease to income tax expense in the period the release is recorded.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selected condensed consolidated statements of operations data for each of the periods presented as a percentage of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8"/>
          </w:tcPr>
          <w:p>
            <w:pPr>
              <w:jc w:val="center"/>
              <w:ind w:left="210"/>
              <w:spacing w:after="0"/>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5"/>
              </w:rPr>
              <w:t>June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c>
          <w:tcPr>
            <w:tcW w:w="140" w:type="dxa"/>
            <w:vAlign w:val="bottom"/>
          </w:tcPr>
          <w:p>
            <w:pPr>
              <w:spacing w:after="0"/>
              <w:rPr>
                <w:sz w:val="18"/>
                <w:szCs w:val="18"/>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r>
      <w:tr>
        <w:trPr>
          <w:trHeight w:val="209"/>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81</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Research and development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r>
      <w:tr>
        <w:trPr>
          <w:trHeight w:val="216"/>
        </w:trPr>
        <w:tc>
          <w:tcPr>
            <w:tcW w:w="23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r>
      <w:tr>
        <w:trPr>
          <w:trHeight w:val="216"/>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General and administrative</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2340" w:type="dxa"/>
            <w:vAlign w:val="bottom"/>
          </w:tcPr>
          <w:p>
            <w:pPr>
              <w:ind w:left="340"/>
              <w:spacing w:after="0"/>
              <w:rPr>
                <w:sz w:val="20"/>
                <w:szCs w:val="20"/>
                <w:color w:val="auto"/>
              </w:rPr>
            </w:pPr>
            <w:r>
              <w:rPr>
                <w:rFonts w:ascii="Arial" w:cs="Arial" w:eastAsia="Arial" w:hAnsi="Arial"/>
                <w:sz w:val="18"/>
                <w:szCs w:val="18"/>
                <w:color w:val="auto"/>
                <w:w w:val="97"/>
              </w:rPr>
              <w:t>Total operating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r>
      <w:tr>
        <w:trPr>
          <w:trHeight w:val="20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r>
      <w:tr>
        <w:trPr>
          <w:trHeight w:val="216"/>
        </w:trPr>
        <w:tc>
          <w:tcPr>
            <w:tcW w:w="3360" w:type="dxa"/>
            <w:vAlign w:val="bottom"/>
            <w:gridSpan w:val="3"/>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4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26%</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413"/>
        </w:trPr>
        <w:tc>
          <w:tcPr>
            <w:tcW w:w="5860" w:type="dxa"/>
            <w:vAlign w:val="bottom"/>
            <w:tcBorders>
              <w:top w:val="single" w:sz="8" w:color="CCEEFF"/>
            </w:tcBorders>
            <w:gridSpan w:val="12"/>
          </w:tcPr>
          <w:p>
            <w:pPr>
              <w:spacing w:after="0"/>
              <w:rPr>
                <w:sz w:val="20"/>
                <w:szCs w:val="20"/>
                <w:color w:val="auto"/>
              </w:rPr>
            </w:pPr>
            <w:r>
              <w:rPr>
                <w:rFonts w:ascii="Arial" w:cs="Arial" w:eastAsia="Arial" w:hAnsi="Arial"/>
                <w:sz w:val="18"/>
                <w:szCs w:val="18"/>
                <w:b w:val="1"/>
                <w:bCs w:val="1"/>
                <w:color w:val="auto"/>
              </w:rPr>
              <w:t>Comparison of Three and Six Months Ended June 30, 2023 and 2022</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32"/>
        </w:trPr>
        <w:tc>
          <w:tcPr>
            <w:tcW w:w="23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2340" w:type="dxa"/>
            <w:vAlign w:val="bottom"/>
          </w:tcPr>
          <w:p>
            <w:pPr>
              <w:spacing w:after="0"/>
              <w:rPr>
                <w:sz w:val="24"/>
                <w:szCs w:val="24"/>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136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4"/>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6"/>
              </w:rPr>
              <w:t>Change</w:t>
            </w:r>
          </w:p>
        </w:tc>
      </w:tr>
      <w:tr>
        <w:trPr>
          <w:trHeight w:val="210"/>
        </w:trPr>
        <w:tc>
          <w:tcPr>
            <w:tcW w:w="23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2340" w:type="dxa"/>
            <w:vAlign w:val="bottom"/>
          </w:tcPr>
          <w:p>
            <w:pPr>
              <w:spacing w:after="0"/>
              <w:rPr>
                <w:sz w:val="18"/>
                <w:szCs w:val="18"/>
                <w:color w:val="auto"/>
              </w:rPr>
            </w:pPr>
          </w:p>
        </w:tc>
        <w:tc>
          <w:tcPr>
            <w:tcW w:w="3620" w:type="dxa"/>
            <w:vAlign w:val="bottom"/>
            <w:gridSpan w:val="12"/>
          </w:tcPr>
          <w:p>
            <w:pPr>
              <w:ind w:left="820"/>
              <w:spacing w:after="0"/>
              <w:rPr>
                <w:sz w:val="20"/>
                <w:szCs w:val="20"/>
                <w:color w:val="auto"/>
              </w:rPr>
            </w:pPr>
            <w:r>
              <w:rPr>
                <w:rFonts w:ascii="Arial" w:cs="Arial" w:eastAsia="Arial" w:hAnsi="Arial"/>
                <w:sz w:val="18"/>
                <w:szCs w:val="18"/>
                <w:b w:val="1"/>
                <w:bCs w:val="1"/>
                <w:color w:val="auto"/>
                <w:w w:val="92"/>
              </w:rPr>
              <w:t>(in thousands, except percentages)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11"/>
          </w:tcPr>
          <w:p>
            <w:pPr>
              <w:ind w:left="160"/>
              <w:spacing w:after="0"/>
              <w:rPr>
                <w:sz w:val="20"/>
                <w:szCs w:val="20"/>
                <w:color w:val="auto"/>
              </w:rPr>
            </w:pPr>
            <w:r>
              <w:rPr>
                <w:rFonts w:ascii="Arial" w:cs="Arial" w:eastAsia="Arial" w:hAnsi="Arial"/>
                <w:sz w:val="18"/>
                <w:szCs w:val="18"/>
                <w:b w:val="1"/>
                <w:bCs w:val="1"/>
                <w:color w:val="auto"/>
                <w:w w:val="87"/>
              </w:rPr>
              <w:t>(in thousands, except percentages)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   137,209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119,893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17,316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267,892</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233,313</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34,579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Revenues increased by $17.3 million for the three months ended June 30, 2023 compared to the same period in 2022, driven by increased demand for our subscription services by our end customers. Of the total increase of $17.3 million, 97% was from revenues from customers existing prior to April 1, 2023, and the remaining 3% was from new customers added in the three months ended June 30, 2023. Of the total increase of $17.3 million, 67% was from customers in the United States and the remaining 33% was from customers in foreign countries. Of the total increase of $17.3 million, 51% was from direct customers and the remaining 49% was from partners. In the three months ended June 30, 2023, 57% of total revenue was direct and 43% of total revenue was through partners.</w:t>
      </w:r>
    </w:p>
    <w:p>
      <w:pPr>
        <w:spacing w:after="0" w:line="19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Revenues increased by $34.6 million for the six months ended June 30, 2023 compared to the same period in 2022, driven by increased demand for our subscription services by our end customers. Of the total increase of $34.6 million, 92% was from revenues from customers existing prior to January 1, 2023, and the remaining 8% was from new customers added in the six months ended June 30, 2023. Of the total increase of $34.6 million, 64% was from customers in the United States and the remaining 36% was from customers in foreign countries. Of the total increase of $34.6 million, 50% was from direct customers and the remaining 50% was from partners. In the six months ended June 30, 2023, 57% of total revenue was direct and 43% of total revenue was through partners. With our strong market position driving further demand for our solutions, we expect revenue growth from new and existing customers to continue.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Cost of Revenues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2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11"/>
          </w:tcPr>
          <w:p>
            <w:pPr>
              <w:ind w:left="680"/>
              <w:spacing w:after="0"/>
              <w:rPr>
                <w:sz w:val="20"/>
                <w:szCs w:val="20"/>
                <w:color w:val="auto"/>
              </w:rPr>
            </w:pPr>
            <w:r>
              <w:rPr>
                <w:rFonts w:ascii="Arial" w:cs="Arial" w:eastAsia="Arial" w:hAnsi="Arial"/>
                <w:sz w:val="18"/>
                <w:szCs w:val="18"/>
                <w:b w:val="1"/>
                <w:bCs w:val="1"/>
                <w:color w:val="auto"/>
                <w:w w:val="92"/>
              </w:rPr>
              <w:t>(in thousands, except percentages)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gridSpan w:val="9"/>
          </w:tcPr>
          <w:p>
            <w:pPr>
              <w:ind w:left="640"/>
              <w:spacing w:after="0"/>
              <w:rPr>
                <w:sz w:val="20"/>
                <w:szCs w:val="20"/>
                <w:color w:val="auto"/>
              </w:rPr>
            </w:pPr>
            <w:r>
              <w:rPr>
                <w:rFonts w:ascii="Arial" w:cs="Arial" w:eastAsia="Arial" w:hAnsi="Arial"/>
                <w:sz w:val="18"/>
                <w:szCs w:val="18"/>
                <w:b w:val="1"/>
                <w:bCs w:val="1"/>
                <w:color w:val="auto"/>
                <w:w w:val="92"/>
              </w:rPr>
              <w:t>(in thousands, except percentages)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Cost of revenues increased by $1.6 million for the three months ended June 30, 2023 compared to the same period in 2022, due to an increase in shared cloud platform cost of $1.4 million, an increase in personnel costs, including stock-based compensation, of $1.0 million, driven by additional employees hired to support the growth of our business, and an increase in subscribed license and software costs of $0.6 million, partially offset by a decrease in depreciation and amortization expense of $1.4 million resulting from our assets becoming fully depreciated or amortized.</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Cost of revenues increased by $4.6 million for the six months ended June 30, 2023 compared to the same period in 2022, due to an increase in shared cloud platform cost of $3.0 million, an increase in personnel costs, including stock-based compensation, of $3.0 million, driven by additional employees hired to support the growth of our business, and an increase in subscribed license and software costs of $1.3 million, partially offset by a decrease in depreciation and amortization expense of $2.7 million resulting from our assets becoming fully depreciated or amortized.</w:t>
      </w:r>
    </w:p>
    <w:p>
      <w:pPr>
        <w:sectPr>
          <w:pgSz w:w="11900" w:h="16838" w:orient="portrait"/>
          <w:cols w:equalWidth="0" w:num="1">
            <w:col w:w="11240"/>
          </w:cols>
          <w:pgMar w:left="320" w:top="125" w:right="339" w:bottom="844"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3240" w:type="dxa"/>
            <w:vAlign w:val="bottom"/>
            <w:gridSpan w:val="4"/>
          </w:tcPr>
          <w:p>
            <w:pPr>
              <w:ind w:left="260"/>
              <w:spacing w:after="0"/>
              <w:rPr>
                <w:sz w:val="20"/>
                <w:szCs w:val="20"/>
                <w:color w:val="auto"/>
              </w:rPr>
            </w:pPr>
            <w:r>
              <w:rPr>
                <w:rFonts w:ascii="Arial" w:cs="Arial" w:eastAsia="Arial" w:hAnsi="Arial"/>
                <w:sz w:val="18"/>
                <w:szCs w:val="18"/>
                <w:b w:val="1"/>
                <w:bCs w:val="1"/>
                <w:i w:val="1"/>
                <w:iCs w:val="1"/>
                <w:color w:val="auto"/>
                <w:w w:val="91"/>
              </w:rPr>
              <w:t>Research and Development Expenses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10"/>
          </w:tcPr>
          <w:p>
            <w:pPr>
              <w:ind w:left="680"/>
              <w:spacing w:after="0"/>
              <w:rPr>
                <w:sz w:val="20"/>
                <w:szCs w:val="20"/>
                <w:color w:val="auto"/>
              </w:rPr>
            </w:pPr>
            <w:r>
              <w:rPr>
                <w:rFonts w:ascii="Arial" w:cs="Arial" w:eastAsia="Arial" w:hAnsi="Arial"/>
                <w:sz w:val="18"/>
                <w:szCs w:val="18"/>
                <w:b w:val="1"/>
                <w:bCs w:val="1"/>
                <w:color w:val="auto"/>
                <w:w w:val="92"/>
              </w:rPr>
              <w:t>(in thousands, except percentages)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gridSpan w:val="9"/>
          </w:tcPr>
          <w:p>
            <w:pPr>
              <w:ind w:left="640"/>
              <w:spacing w:after="0"/>
              <w:rPr>
                <w:sz w:val="20"/>
                <w:szCs w:val="20"/>
                <w:color w:val="auto"/>
              </w:rPr>
            </w:pPr>
            <w:r>
              <w:rPr>
                <w:rFonts w:ascii="Arial" w:cs="Arial" w:eastAsia="Arial" w:hAnsi="Arial"/>
                <w:sz w:val="18"/>
                <w:szCs w:val="18"/>
                <w:b w:val="1"/>
                <w:bCs w:val="1"/>
                <w:color w:val="auto"/>
                <w:w w:val="92"/>
              </w:rPr>
              <w:t>(in thousands, except percentages)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Research and development expenses increased by $2.6 million for the three months ended June 30, 2023 compared to the same period in 2022, due to an increase in personnel costs, including stock-based compensation, of $3.3 million, driven by increased headcount, partially offset by a decrease in professional service expense of $0.5 million, and a decrease in depreciation and amortization expense in property and equipment of $0.2 million.</w:t>
      </w:r>
    </w:p>
    <w:p>
      <w:pPr>
        <w:spacing w:after="0" w:line="14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Research and development expenses increased by $7.3 million for the six months ended June 30, 2023 compared to the same period in 2022, due to an increase in personnel costs, including stock-based compensation, of $7.8 million, driven by increased headcount, partially offset by a decrease in professional service expense of $0.5 million.</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Borders>
              <w:bottom w:val="single" w:sz="8" w:color="auto"/>
            </w:tcBorders>
          </w:tcPr>
          <w:p>
            <w:pPr>
              <w:spacing w:after="0"/>
              <w:rPr>
                <w:sz w:val="20"/>
                <w:szCs w:val="20"/>
                <w:color w:val="auto"/>
              </w:rPr>
            </w:pPr>
          </w:p>
        </w:tc>
      </w:tr>
      <w:tr>
        <w:trPr>
          <w:trHeight w:val="210"/>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09"/>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9"/>
          </w:tcPr>
          <w:p>
            <w:pPr>
              <w:ind w:left="680"/>
              <w:spacing w:after="0"/>
              <w:rPr>
                <w:sz w:val="20"/>
                <w:szCs w:val="20"/>
                <w:color w:val="auto"/>
              </w:rPr>
            </w:pPr>
            <w:r>
              <w:rPr>
                <w:rFonts w:ascii="Arial" w:cs="Arial" w:eastAsia="Arial" w:hAnsi="Arial"/>
                <w:sz w:val="18"/>
                <w:szCs w:val="18"/>
                <w:b w:val="1"/>
                <w:bCs w:val="1"/>
                <w:color w:val="auto"/>
                <w:w w:val="92"/>
              </w:rPr>
              <w:t>(in thousands, except percentages)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11"/>
          </w:tcPr>
          <w:p>
            <w:pPr>
              <w:ind w:left="600"/>
              <w:spacing w:after="0"/>
              <w:rPr>
                <w:sz w:val="20"/>
                <w:szCs w:val="20"/>
                <w:color w:val="auto"/>
              </w:rPr>
            </w:pPr>
            <w:r>
              <w:rPr>
                <w:rFonts w:ascii="Arial" w:cs="Arial" w:eastAsia="Arial" w:hAnsi="Arial"/>
                <w:sz w:val="18"/>
                <w:szCs w:val="18"/>
                <w:b w:val="1"/>
                <w:bCs w:val="1"/>
                <w:color w:val="auto"/>
                <w:w w:val="92"/>
              </w:rPr>
              <w:t>(in thousands, except percentages)</w:t>
            </w:r>
          </w:p>
        </w:tc>
        <w:tc>
          <w:tcPr>
            <w:tcW w:w="6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Sales and marketing expenses increased by $2.5 million for the three months ended June 30, 2023 compared to the same period in 2022, primarily due to an increase in personnel costs, including stock-based compensation, of $4.1 million, driven by increased headcount, partially offset by a decrease in marketing expenses of $1.6 million, driven by a decreased level of trade shows.</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Sales and marketing expenses increased by $8.0 million for the six months ended June 30, 2023 compared to the same period in 2022, primarily due to an increase in personnel costs, including stock-based compensation, of $8.3 million, driven by increased headcount, an increase in travel and entertainment cost of $0.6 million associated with the easing of COVID-19 related travel restrictions, an increase in subscribed license and software costs of $0.3 million, and an increase in professional service expense of $0.2 million, partially offset by a decrease in marketing expenses of $1.4 million, driven by a decreased level of trade shows.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2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10"/>
          </w:tcPr>
          <w:p>
            <w:pPr>
              <w:ind w:left="680"/>
              <w:spacing w:after="0"/>
              <w:rPr>
                <w:sz w:val="20"/>
                <w:szCs w:val="20"/>
                <w:color w:val="auto"/>
              </w:rPr>
            </w:pPr>
            <w:r>
              <w:rPr>
                <w:rFonts w:ascii="Arial" w:cs="Arial" w:eastAsia="Arial" w:hAnsi="Arial"/>
                <w:sz w:val="18"/>
                <w:szCs w:val="18"/>
                <w:b w:val="1"/>
                <w:bCs w:val="1"/>
                <w:color w:val="auto"/>
                <w:w w:val="92"/>
              </w:rPr>
              <w:t>(in thousands, except percentages)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gridSpan w:val="9"/>
          </w:tcPr>
          <w:p>
            <w:pPr>
              <w:ind w:left="640"/>
              <w:spacing w:after="0"/>
              <w:rPr>
                <w:sz w:val="20"/>
                <w:szCs w:val="20"/>
                <w:color w:val="auto"/>
              </w:rPr>
            </w:pPr>
            <w:r>
              <w:rPr>
                <w:rFonts w:ascii="Arial" w:cs="Arial" w:eastAsia="Arial" w:hAnsi="Arial"/>
                <w:sz w:val="18"/>
                <w:szCs w:val="18"/>
                <w:b w:val="1"/>
                <w:bCs w:val="1"/>
                <w:color w:val="auto"/>
                <w:w w:val="92"/>
              </w:rPr>
              <w:t>(in thousands, except percentages)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General and administrative expenses increased by $0.7 million for the three months ended June 30, 2023 compared to the same period in 2022, primarily due to an increase in personnel costs, including stock-based compensation, of $0.6 million, driven by increased headcount, and an increase in subscribed license and software costs of $0.4 million, partially offset by a decrease in professional service expense of $0.3 million,</w:t>
      </w:r>
    </w:p>
    <w:p>
      <w:pPr>
        <w:spacing w:after="0" w:line="16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General and administrative expenses increased by $3.2 million for the six months ended June 30, 2023 compared to the same period in 2022, primarily due to an increase in personnel costs, including stock-based compensation, of $2.1 million, driven by increased headcount, an increase in subscribed license and software costs of $0.7 million, and an increase in legal expense of $0.4 million.</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1"/>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10"/>
          </w:tcPr>
          <w:p>
            <w:pPr>
              <w:ind w:left="660"/>
              <w:spacing w:after="0"/>
              <w:rPr>
                <w:sz w:val="20"/>
                <w:szCs w:val="20"/>
                <w:color w:val="auto"/>
              </w:rPr>
            </w:pPr>
            <w:r>
              <w:rPr>
                <w:rFonts w:ascii="Arial" w:cs="Arial" w:eastAsia="Arial" w:hAnsi="Arial"/>
                <w:sz w:val="18"/>
                <w:szCs w:val="18"/>
                <w:b w:val="1"/>
                <w:bCs w:val="1"/>
                <w:color w:val="auto"/>
                <w:w w:val="92"/>
              </w:rPr>
              <w:t>(in thousands, except percentages)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9"/>
          </w:tcPr>
          <w:p>
            <w:pPr>
              <w:ind w:left="620"/>
              <w:spacing w:after="0"/>
              <w:rPr>
                <w:sz w:val="20"/>
                <w:szCs w:val="20"/>
                <w:color w:val="auto"/>
              </w:rPr>
            </w:pPr>
            <w:r>
              <w:rPr>
                <w:rFonts w:ascii="Arial" w:cs="Arial" w:eastAsia="Arial" w:hAnsi="Arial"/>
                <w:sz w:val="18"/>
                <w:szCs w:val="18"/>
                <w:b w:val="1"/>
                <w:bCs w:val="1"/>
                <w:color w:val="auto"/>
                <w:w w:val="92"/>
              </w:rPr>
              <w:t>(in thousands, except percentages)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Total other income (expense),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(427)%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r>
    </w:tbl>
    <w:p>
      <w:pPr>
        <w:spacing w:after="0" w:line="202" w:lineRule="exact"/>
        <w:rPr>
          <w:sz w:val="20"/>
          <w:szCs w:val="20"/>
          <w:color w:val="auto"/>
        </w:rPr>
      </w:pPr>
    </w:p>
    <w:p>
      <w:pPr>
        <w:jc w:val="both"/>
        <w:ind w:left="180" w:firstLine="243"/>
        <w:spacing w:after="0" w:line="263" w:lineRule="auto"/>
        <w:rPr>
          <w:sz w:val="20"/>
          <w:szCs w:val="20"/>
          <w:color w:val="auto"/>
        </w:rPr>
      </w:pPr>
      <w:r>
        <w:rPr>
          <w:rFonts w:ascii="Arial" w:cs="Arial" w:eastAsia="Arial" w:hAnsi="Arial"/>
          <w:sz w:val="18"/>
          <w:szCs w:val="18"/>
          <w:color w:val="auto"/>
        </w:rPr>
        <w:t>Total other income (expense), net increased by $3.7 million for the three months ended June 30, 2023, compared to the same periods in 2022, primarily due to an increase in interest income of $3.0 million driven by an increase of market interest rate, in addition to a $1.2 million decrease in foreign currency loss, partially offset by an unrealized loss of $0.5 million on a non-marketable equity security.</w:t>
      </w:r>
    </w:p>
    <w:p>
      <w:pPr>
        <w:spacing w:after="0" w:line="184" w:lineRule="exact"/>
        <w:rPr>
          <w:sz w:val="20"/>
          <w:szCs w:val="20"/>
          <w:color w:val="auto"/>
        </w:rPr>
      </w:pPr>
    </w:p>
    <w:p>
      <w:pPr>
        <w:jc w:val="both"/>
        <w:ind w:left="180" w:firstLine="243"/>
        <w:spacing w:after="0" w:line="263" w:lineRule="auto"/>
        <w:rPr>
          <w:sz w:val="20"/>
          <w:szCs w:val="20"/>
          <w:color w:val="auto"/>
        </w:rPr>
      </w:pPr>
      <w:r>
        <w:rPr>
          <w:rFonts w:ascii="Arial" w:cs="Arial" w:eastAsia="Arial" w:hAnsi="Arial"/>
          <w:sz w:val="18"/>
          <w:szCs w:val="18"/>
          <w:color w:val="auto"/>
        </w:rPr>
        <w:t>Total other income (expense), net increased by $6.1 million for the six months ended June 30, 2023, compared to the same periods in 2022, primarily due to an increase in interest income of $4.9 million driven by an increase of market interest rate, in addition to a $1.7 million decrease in foreign currency loss, partially offset by an unrealized loss of $0.5 million on a non-marketable equity security.</w:t>
      </w:r>
    </w:p>
    <w:p>
      <w:pPr>
        <w:sectPr>
          <w:pgSz w:w="11900" w:h="16838" w:orient="portrait"/>
          <w:cols w:equalWidth="0" w:num="1">
            <w:col w:w="11240"/>
          </w:cols>
          <w:pgMar w:left="320" w:top="108" w:right="339" w:bottom="952"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952" w:gutter="0" w:footer="0" w:header="0"/>
          <w:type w:val="continuous"/>
        </w:sectPr>
      </w:pPr>
    </w:p>
    <w:bookmarkStart w:id="32" w:name="page33"/>
    <w:bookmarkEnd w:id="3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23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Income tax provision</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11"/>
          </w:tcPr>
          <w:p>
            <w:pPr>
              <w:ind w:left="680"/>
              <w:spacing w:after="0"/>
              <w:rPr>
                <w:sz w:val="20"/>
                <w:szCs w:val="20"/>
                <w:color w:val="auto"/>
              </w:rPr>
            </w:pPr>
            <w:r>
              <w:rPr>
                <w:rFonts w:ascii="Arial" w:cs="Arial" w:eastAsia="Arial" w:hAnsi="Arial"/>
                <w:sz w:val="18"/>
                <w:szCs w:val="18"/>
                <w:b w:val="1"/>
                <w:bCs w:val="1"/>
                <w:color w:val="auto"/>
                <w:w w:val="92"/>
              </w:rPr>
              <w:t>(in thousands, except percentages)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gridSpan w:val="9"/>
          </w:tcPr>
          <w:p>
            <w:pPr>
              <w:ind w:left="640"/>
              <w:spacing w:after="0"/>
              <w:rPr>
                <w:sz w:val="20"/>
                <w:szCs w:val="20"/>
                <w:color w:val="auto"/>
              </w:rPr>
            </w:pPr>
            <w:r>
              <w:rPr>
                <w:rFonts w:ascii="Arial" w:cs="Arial" w:eastAsia="Arial" w:hAnsi="Arial"/>
                <w:sz w:val="18"/>
                <w:szCs w:val="18"/>
                <w:b w:val="1"/>
                <w:bCs w:val="1"/>
                <w:color w:val="auto"/>
                <w:w w:val="92"/>
              </w:rPr>
              <w:t>(in thousands, except percentages)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Income tax provision increased by $4.8 million for the three months ended June 30, 2023 compared to the same period in 2022, primarily due to an increase in pre-tax income and lower excess tax benefits arising from stock-based compensation, partially offset by lower net capitalization of research and development expenses compared to the same period in 2022.</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Income tax provision increased by $5.1 million for the six months ended June 30, 2023 compared to the same period in 2022, primarily due to an increase in pre-tax income and lower excess tax benefits arising from stock-based compensation, partially offset by lower net capitalization of research and development expenses compared to the same period in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Non-GAAP Financial Performance Metrics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Net Dollar Expansion Rate</w:t>
      </w:r>
    </w:p>
    <w:p>
      <w:pPr>
        <w:spacing w:after="0" w:line="225" w:lineRule="exact"/>
        <w:rPr>
          <w:sz w:val="20"/>
          <w:szCs w:val="20"/>
          <w:color w:val="auto"/>
        </w:rPr>
      </w:pPr>
    </w:p>
    <w:p>
      <w:pPr>
        <w:jc w:val="both"/>
        <w:ind w:right="180" w:firstLine="357"/>
        <w:spacing w:after="0" w:line="263" w:lineRule="auto"/>
        <w:rPr>
          <w:sz w:val="20"/>
          <w:szCs w:val="20"/>
          <w:color w:val="auto"/>
        </w:rPr>
      </w:pPr>
      <w:r>
        <w:rPr>
          <w:rFonts w:ascii="Arial" w:cs="Arial" w:eastAsia="Arial" w:hAnsi="Arial"/>
          <w:sz w:val="18"/>
          <w:szCs w:val="18"/>
          <w:color w:val="auto"/>
        </w:rPr>
        <w:t>We evaluate our ability to retain and grow existing customers by assessing our net dollar expansion rate on a last twelve months, or LTM, basis. This metric is used to appropriately manage resources and customer retention and expansion. We calculate the net dollar expansion rate on a foreign exchange neutral basis by dividing a numerator by a denominator, each defined as follows:</w:t>
      </w:r>
    </w:p>
    <w:p>
      <w:pPr>
        <w:spacing w:after="0" w:line="184"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Denominator: To calculate our net dollar expansion rate as of the end of a reporting period, we first determine the annual recurring revenue, or ARR, from all active subscriptions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65"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Numerator: We measure the ARR for that same cohort of customers representing all active subscriptions as of the end of the reporting period, using the same foreign exchange rate from the prior year.</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net dollar expansion rates were 108% and 110% as of June 30, 2023 and June 30, 2022, respectively.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and six months ended June 30,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r>
      <w:tr>
        <w:trPr>
          <w:trHeight w:val="209"/>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14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26,596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64,487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52,006</w:t>
            </w:r>
          </w:p>
        </w:tc>
        <w:tc>
          <w:tcPr>
            <w:tcW w:w="1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income as a percentage of revenues</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6"/>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12,902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14,372</w:t>
            </w:r>
          </w:p>
        </w:tc>
        <w:tc>
          <w:tcPr>
            <w:tcW w:w="14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1,474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1,544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3,180</w:t>
            </w:r>
          </w:p>
        </w:tc>
        <w:tc>
          <w:tcPr>
            <w:tcW w:w="14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18,549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140" w:type="dxa"/>
            <w:vAlign w:val="bottom"/>
            <w:shd w:val="clear" w:color="auto" w:fill="CCEEFF"/>
          </w:tcPr>
          <w:p>
            <w:pPr>
              <w:spacing w:after="0"/>
              <w:rPr>
                <w:sz w:val="18"/>
                <w:szCs w:val="18"/>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12,820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32,038</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24,565</w:t>
            </w:r>
          </w:p>
        </w:tc>
        <w:tc>
          <w:tcPr>
            <w:tcW w:w="140" w:type="dxa"/>
            <w:vAlign w:val="bottom"/>
          </w:tcPr>
          <w:p>
            <w:pPr>
              <w:spacing w:after="0"/>
              <w:rPr>
                <w:sz w:val="20"/>
                <w:szCs w:val="20"/>
                <w:color w:val="auto"/>
              </w:rPr>
            </w:pPr>
          </w:p>
        </w:tc>
      </w:tr>
    </w:tbl>
    <w:p>
      <w:pPr>
        <w:sectPr>
          <w:pgSz w:w="11900" w:h="16851" w:orient="portrait"/>
          <w:cols w:equalWidth="0" w:num="1">
            <w:col w:w="11240"/>
          </w:cols>
          <w:pgMar w:left="320" w:top="108"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income (expense), net</w:t>
            </w: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Adjusted EBITDA</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65,834</w:t>
            </w:r>
          </w:p>
        </w:tc>
        <w:tc>
          <w:tcPr>
            <w:tcW w:w="26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54,384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124,489</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108,645</w:t>
            </w:r>
          </w:p>
        </w:tc>
        <w:tc>
          <w:tcPr>
            <w:tcW w:w="14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 as a percentage of revenues</w:t>
            </w: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r>
      <w:tr>
        <w:trPr>
          <w:trHeight w:val="432"/>
        </w:trPr>
        <w:tc>
          <w:tcPr>
            <w:tcW w:w="4460" w:type="dxa"/>
            <w:vAlign w:val="bottom"/>
          </w:tcPr>
          <w:p>
            <w:pPr>
              <w:spacing w:after="0"/>
              <w:rPr>
                <w:sz w:val="24"/>
                <w:szCs w:val="24"/>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June 30, 2023, our principal source of liquidity was cash, cash equivalents and marketable securities of $388.1 million, including $55.0 million of cash held outside of the United States. The following summary of cash flows for the periods indicated has been derived from our condensed consolidated financial statements included elsewhere in this report: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(14,399)</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(108,175)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(114,815)</w:t>
            </w:r>
          </w:p>
        </w:tc>
      </w:tr>
      <w:tr>
        <w:trPr>
          <w:trHeight w:val="20"/>
        </w:trPr>
        <w:tc>
          <w:tcPr>
            <w:tcW w:w="7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12,426</w:t>
            </w:r>
          </w:p>
        </w:tc>
        <w:tc>
          <w:tcPr>
            <w:tcW w:w="14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(16,363)</w:t>
            </w:r>
          </w:p>
        </w:tc>
      </w:tr>
      <w:tr>
        <w:trPr>
          <w:trHeight w:val="20"/>
        </w:trPr>
        <w:tc>
          <w:tcPr>
            <w:tcW w:w="7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the six months ended June 30, 2023, we generated $101.1 million of cash from our net income, as adjusted for non-cash items mainly related to stock-based compensation expense, depreciation and amortization expense and deferred taxes, as compared to $84.7 million during the six months ended June 30, 2022. In addition, we also generated $17.2 million cash from changes in working capital during the six months ended June 30, 2023, of which $16.7 million was attributed to the combination of an increase in deferred revenue and an increase in accounts receivable due to the growth in billing and the timing of collections. The remaining $0.5 million was attributable to an $8.0 million increase in payables and accrued liabilities offset by a $7.5 million increase in prepaid expenses primarily driven by the timing of payments. During the six months ended June 30, 2022, we generated $28.1 million of cash from working capital changes, of which $24.5 million was related to an increase in deferred revenue and a decrease in accounts receivable as a result of our combined growth in billing and collection, and the remaining amount was primarily attributed to higher payables and accrued liabilities in line with our business growth.</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2023, we generated $7.7 million of cash in sales and maturities of marketable securities net of purchases, and used $5.5 million of cash in capital expenditures mainly related to purchases of computer equipment to support our growth and development, as compared to $3.2 million of cash used in purchases of marketable securities investments net of sales and maturities, in addition to $11.2 million of cash used in capital expenditures during the six months ended June 30, 2022.</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During the six months ended June 30, 2023, we used $108.8 million of cash for share repurchases and $9.5 million of cash in payment of employee withholding taxes upon vesting of restricted stock units, and received $7.1 million of proceeds from employee exercise of stock options and $3.0 million of proceeds from issuance of common stock through our ESPP, as compared to $117.8 million of cash used for share repurchases, $8.2 million of cash used in payment of employee withholding taxes upon vesting of restricted stock units, $9.1 million of cash received from employee exercise of stock options and $2.1 million of proceeds from issuance of common stock through our ESPP during the six months ended June 30, 2022.</w:t>
      </w:r>
    </w:p>
    <w:p>
      <w:pPr>
        <w:spacing w:after="0" w:line="16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our existing cash and cash equivalents, marketable securities and our expected cash flow generated from operations will be sufficient to fund our operations for the next twelve months and beyond. We do not anticipate that we will need funds generated from foreign operations to fund our domestic operations. However, if we repatriate these funds, we could be subject to foreign withholding taxes.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expect to continue to use cash to repurchase shares under our share repurchase program authorized by our board of directors on February 5, 2018. On February 9, 2023, we announced that our board of directors authorized an additional $100.0 million to the share repurchase program authorization, increasing the total amount of authorized repurchase to $1.0 billion. As of June 30, 2023, approximately $145.7 million remained available under our share repurchase program. Shares will be repurchased from time to time on the open market in accordance with Rule 10b-18 of the Exchange Act of 1934, including pursuant to a pre-set trading plan adopted in accordance with Rule 10b5-1 under the Exchange Act.</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2023, other than the changes described above in this section entitled "Liquidity and Capital Resources" in this Quarterly Report on Form 10-Q, there have been no other material changes to our cash requirements for purchase commitments as described in “Part II, Item 7. Management’s Discussion and Analysis of Financial Condition and Results of Operations” of our Annual Report on Form 10-K for the fiscal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 to the unaudited condensed consolidated financial statements in Part I, Item 1 of this Quarterly Report on Form 10-Q for a discussion of recent accounting pronouncements.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estimates as described in our Annual Report on Form 10-K for the fiscal year ended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results of operations and cash flows have been and will continue to be subject to fluctuations because of changes in foreign currency exchange rates, particularly changes in exchange rates between the U.S. Dollar and the EUR, GBP, INR and CAD, the currencies of countries where we currently have our most significant international operations. We enter into foreign currency forward contracts to reduce our exposure to foreign currency exchange rate fluctuations related to forecasted subscription revenue, operating expenses or foreign currency denominated assets or liabilities. As of June 30, 2023, we had designated cash flow hedge forward contracts with notional amounts of €38.7 million, £12.3 million and Rs.3,742.0 million and non-designated forward contracts with notional amounts of €9.1 million, £2.5 million, Rs.945.0 million and C$2.4 million. With our hedging strategy applied, the effect of an immediate 10% adverse change in foreign exchange rates would not be material to our financial condition, operating results or cash flows.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had $388.1 million in cash, cash equivalents and short-term and long-term marketable securities as of June 30, 2023. Our exposure to market risk for changes in interest rates primarily relates to our cash and cash equivalents and marketable securities. Our cash equivalents and marketable securities are held in money market funds, fixed-income U.S. Treasury and government agency securities, commercial paper, corporate bonds and asset-backed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June 30, 2023, a hypothetical 100 basis point increase in interest rate would result in a decrease in the fair value of our marketable securities by $1.1 million.</w:t>
      </w:r>
    </w:p>
    <w:p>
      <w:pPr>
        <w:spacing w:after="0" w:line="38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our business. As of June 30, 2023,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2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vary from period to period, which could result in our failure to meet expectations with respect to operating results and cause the trading price of our stock to decline.</w:t>
      </w:r>
    </w:p>
    <w:p>
      <w:pPr>
        <w:spacing w:after="0" w:line="170"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solutions, from both existing and new customers;</w:t>
      </w:r>
    </w:p>
    <w:p>
      <w:pPr>
        <w:spacing w:after="0" w:line="9"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12"/>
        </w:numPr>
        <w:rPr>
          <w:rFonts w:ascii="Arial" w:cs="Arial" w:eastAsia="Arial" w:hAnsi="Arial"/>
          <w:sz w:val="32"/>
          <w:szCs w:val="32"/>
          <w:color w:val="auto"/>
          <w:vertAlign w:val="subscript"/>
        </w:rPr>
      </w:pPr>
      <w:r>
        <w:rPr>
          <w:rFonts w:ascii="Arial" w:cs="Arial" w:eastAsia="Arial" w:hAnsi="Arial"/>
          <w:sz w:val="16"/>
          <w:szCs w:val="16"/>
          <w:color w:val="auto"/>
        </w:rPr>
        <w:t>the extent to which customers subscribe for additional solutions;</w:t>
      </w:r>
    </w:p>
    <w:p>
      <w:pPr>
        <w:spacing w:after="0" w:line="41" w:lineRule="exact"/>
        <w:rPr>
          <w:rFonts w:ascii="Arial" w:cs="Arial" w:eastAsia="Arial" w:hAnsi="Arial"/>
          <w:sz w:val="32"/>
          <w:szCs w:val="32"/>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changes in customer renewals of our solutions;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timing of deals signed within the applicable fiscal period;</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seasonal buying patterns of our customers;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timely invoicing or changes in billing terms of customers;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the length of our sales cycle for our products and services;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price competition;</w:t>
      </w:r>
    </w:p>
    <w:p>
      <w:pPr>
        <w:spacing w:after="0" w:line="53" w:lineRule="exact"/>
        <w:rPr>
          <w:rFonts w:ascii="Arial" w:cs="Arial" w:eastAsia="Arial" w:hAnsi="Arial"/>
          <w:sz w:val="28"/>
          <w:szCs w:val="28"/>
          <w:color w:val="auto"/>
          <w:vertAlign w:val="subscript"/>
        </w:rPr>
      </w:pPr>
    </w:p>
    <w:p>
      <w:pPr>
        <w:ind w:left="660"/>
        <w:spacing w:after="0"/>
        <w:rPr>
          <w:rFonts w:ascii="Arial" w:cs="Arial" w:eastAsia="Arial" w:hAnsi="Arial"/>
          <w:sz w:val="28"/>
          <w:szCs w:val="28"/>
          <w:color w:val="auto"/>
          <w:vertAlign w:val="subscript"/>
        </w:rPr>
      </w:pPr>
      <w:r>
        <w:rPr>
          <w:rFonts w:ascii="Arial" w:cs="Arial" w:eastAsia="Arial" w:hAnsi="Arial"/>
          <w:sz w:val="16"/>
          <w:szCs w:val="16"/>
          <w:color w:val="auto"/>
        </w:rPr>
        <w:t>the timing and success of new product or service introductions by us or our competitors or any other changes in the competitive landscape of our</w:t>
      </w:r>
    </w:p>
    <w:p>
      <w:pPr>
        <w:spacing w:after="0" w:line="46" w:lineRule="exact"/>
        <w:rPr>
          <w:rFonts w:ascii="Arial" w:cs="Arial" w:eastAsia="Arial" w:hAnsi="Arial"/>
          <w:sz w:val="28"/>
          <w:szCs w:val="28"/>
          <w:color w:val="auto"/>
          <w:vertAlign w:val="subscript"/>
        </w:rPr>
      </w:pPr>
    </w:p>
    <w:p>
      <w:pPr>
        <w:ind w:left="660" w:hanging="328"/>
        <w:spacing w:after="0" w:line="180"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4"/>
          <w:szCs w:val="14"/>
          <w:color w:val="auto"/>
        </w:rPr>
        <w:t>industry, including consolidation among our competitors;</w:t>
      </w:r>
    </w:p>
    <w:p>
      <w:pPr>
        <w:spacing w:after="0" w:line="69"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12"/>
        </w:numPr>
        <w:rPr>
          <w:rFonts w:ascii="Arial" w:cs="Arial" w:eastAsia="Arial" w:hAnsi="Arial"/>
          <w:sz w:val="24"/>
          <w:szCs w:val="24"/>
          <w:color w:val="auto"/>
          <w:vertAlign w:val="subscript"/>
        </w:rPr>
      </w:pPr>
      <w:r>
        <w:rPr>
          <w:rFonts w:ascii="Arial" w:cs="Arial" w:eastAsia="Arial" w:hAnsi="Arial"/>
          <w:sz w:val="14"/>
          <w:szCs w:val="14"/>
          <w:color w:val="auto"/>
        </w:rPr>
        <w:t>the introduction or adoption of new technologies that compete with our solutions;</w:t>
      </w:r>
    </w:p>
    <w:p>
      <w:pPr>
        <w:spacing w:after="0" w:line="40" w:lineRule="exact"/>
        <w:rPr>
          <w:rFonts w:ascii="Arial" w:cs="Arial" w:eastAsia="Arial" w:hAnsi="Arial"/>
          <w:sz w:val="24"/>
          <w:szCs w:val="24"/>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decisions by potential customers to purchase IT, security and compliance products or services from other vendors;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general economic conditions, both domestically and in the foreign markets in which we sell our solutions;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changes in foreign currency exchange rates;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changes in the growth rate of the IT, security and compliance market;</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actual or perceived security breaches and incidents, technical difficulties or interruptions with our service;</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failure of our products and services to operate as designed;</w:t>
      </w:r>
    </w:p>
    <w:p>
      <w:pPr>
        <w:spacing w:after="0" w:line="53" w:lineRule="exact"/>
        <w:rPr>
          <w:rFonts w:ascii="Arial" w:cs="Arial" w:eastAsia="Arial" w:hAnsi="Arial"/>
          <w:sz w:val="28"/>
          <w:szCs w:val="28"/>
          <w:color w:val="auto"/>
          <w:vertAlign w:val="subscript"/>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regarding security breaches and incidents generally and the level of perceived threats to IT security;</w:t>
      </w:r>
    </w:p>
    <w:p>
      <w:pPr>
        <w:spacing w:after="0" w:line="23"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12"/>
        </w:numPr>
        <w:rPr>
          <w:rFonts w:ascii="Arial" w:cs="Arial" w:eastAsia="Arial" w:hAnsi="Arial"/>
          <w:sz w:val="32"/>
          <w:szCs w:val="32"/>
          <w:color w:val="auto"/>
          <w:vertAlign w:val="subscript"/>
        </w:rPr>
      </w:pPr>
      <w:r>
        <w:rPr>
          <w:rFonts w:ascii="Arial" w:cs="Arial" w:eastAsia="Arial" w:hAnsi="Arial"/>
          <w:sz w:val="16"/>
          <w:szCs w:val="16"/>
          <w:color w:val="auto"/>
        </w:rPr>
        <w:t>the announcement or adoption of new regulations and policy mandates or changes to existing regulations and policy mandates;</w:t>
      </w:r>
    </w:p>
    <w:p>
      <w:pPr>
        <w:spacing w:after="0" w:line="41" w:lineRule="exact"/>
        <w:rPr>
          <w:rFonts w:ascii="Arial" w:cs="Arial" w:eastAsia="Arial" w:hAnsi="Arial"/>
          <w:sz w:val="32"/>
          <w:szCs w:val="32"/>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the amount and timing of operating costs and capital expenditures related to the operations and expansion of our business;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pace and cost of hiring employees;</w:t>
      </w:r>
    </w:p>
    <w:p>
      <w:pPr>
        <w:spacing w:after="0" w:line="53" w:lineRule="exact"/>
        <w:rPr>
          <w:rFonts w:ascii="Arial" w:cs="Arial" w:eastAsia="Arial" w:hAnsi="Arial"/>
          <w:sz w:val="28"/>
          <w:szCs w:val="28"/>
          <w:color w:val="auto"/>
          <w:vertAlign w:val="subscript"/>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23"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12"/>
        </w:numPr>
        <w:rPr>
          <w:rFonts w:ascii="Arial" w:cs="Arial" w:eastAsia="Arial" w:hAnsi="Arial"/>
          <w:sz w:val="32"/>
          <w:szCs w:val="32"/>
          <w:color w:val="auto"/>
          <w:vertAlign w:val="subscript"/>
        </w:rPr>
      </w:pPr>
      <w:r>
        <w:rPr>
          <w:rFonts w:ascii="Arial" w:cs="Arial" w:eastAsia="Arial" w:hAnsi="Arial"/>
          <w:sz w:val="16"/>
          <w:szCs w:val="16"/>
          <w:color w:val="auto"/>
        </w:rPr>
        <w:t>the timing of sales commissions relative to the recognition of revenues;</w:t>
      </w:r>
    </w:p>
    <w:p>
      <w:pPr>
        <w:spacing w:after="0" w:line="41" w:lineRule="exact"/>
        <w:rPr>
          <w:rFonts w:ascii="Arial" w:cs="Arial" w:eastAsia="Arial" w:hAnsi="Arial"/>
          <w:sz w:val="32"/>
          <w:szCs w:val="32"/>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insolvency or credit difficulties confronting our customers, affecting their ability to purchase or pay for our solutions;</w:t>
      </w:r>
    </w:p>
    <w:p>
      <w:pPr>
        <w:spacing w:after="0" w:line="53" w:lineRule="exact"/>
        <w:rPr>
          <w:rFonts w:ascii="Arial" w:cs="Arial" w:eastAsia="Arial" w:hAnsi="Arial"/>
          <w:sz w:val="28"/>
          <w:szCs w:val="28"/>
          <w:color w:val="auto"/>
          <w:vertAlign w:val="subscript"/>
        </w:rPr>
      </w:pPr>
    </w:p>
    <w:p>
      <w:pPr>
        <w:ind w:left="660"/>
        <w:spacing w:after="0"/>
        <w:rPr>
          <w:rFonts w:ascii="Arial" w:cs="Arial" w:eastAsia="Arial" w:hAnsi="Arial"/>
          <w:sz w:val="28"/>
          <w:szCs w:val="28"/>
          <w:color w:val="auto"/>
          <w:vertAlign w:val="subscript"/>
        </w:rPr>
      </w:pPr>
      <w:r>
        <w:rPr>
          <w:rFonts w:ascii="Arial" w:cs="Arial" w:eastAsia="Arial" w:hAnsi="Arial"/>
          <w:sz w:val="17"/>
          <w:szCs w:val="17"/>
          <w:color w:val="auto"/>
        </w:rPr>
        <w:t>our ability to integrate any products or services that we have acquired or may acquire in the future into our product suite or migrate existing</w:t>
      </w:r>
    </w:p>
    <w:p>
      <w:pPr>
        <w:spacing w:after="0" w:line="34" w:lineRule="exact"/>
        <w:rPr>
          <w:rFonts w:ascii="Arial" w:cs="Arial" w:eastAsia="Arial" w:hAnsi="Arial"/>
          <w:sz w:val="28"/>
          <w:szCs w:val="28"/>
          <w:color w:val="auto"/>
          <w:vertAlign w:val="subscript"/>
        </w:rPr>
      </w:pPr>
    </w:p>
    <w:p>
      <w:pPr>
        <w:ind w:left="660" w:hanging="328"/>
        <w:spacing w:after="0" w:line="180"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4"/>
          <w:szCs w:val="14"/>
          <w:color w:val="auto"/>
        </w:rPr>
        <w:t>customers of any companies that we have acquired or may acquire in the future to our products and services;</w:t>
      </w:r>
    </w:p>
    <w:p>
      <w:pPr>
        <w:spacing w:after="0" w:line="69"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12"/>
        </w:numPr>
        <w:rPr>
          <w:rFonts w:ascii="Arial" w:cs="Arial" w:eastAsia="Arial" w:hAnsi="Arial"/>
          <w:sz w:val="24"/>
          <w:szCs w:val="24"/>
          <w:color w:val="auto"/>
          <w:vertAlign w:val="subscript"/>
        </w:rPr>
      </w:pPr>
      <w:r>
        <w:rPr>
          <w:rFonts w:ascii="Arial" w:cs="Arial" w:eastAsia="Arial" w:hAnsi="Arial"/>
          <w:sz w:val="14"/>
          <w:szCs w:val="14"/>
          <w:color w:val="auto"/>
        </w:rPr>
        <w:t>future accounting pronouncements or changes in our accounting policies;</w:t>
      </w:r>
    </w:p>
    <w:p>
      <w:pPr>
        <w:spacing w:after="0" w:line="40" w:lineRule="exact"/>
        <w:rPr>
          <w:rFonts w:ascii="Arial" w:cs="Arial" w:eastAsia="Arial" w:hAnsi="Arial"/>
          <w:sz w:val="24"/>
          <w:szCs w:val="24"/>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our effective tax rate, changes in tax rules, tax effects of infrequent or unusual transactions, and tax audit settlements;</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the amount and timing of income tax that we recognize resulting from stock-based compensation;</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the timing of expenses related to the development or acquisition of technologies, services or businesses; and</w:t>
      </w:r>
    </w:p>
    <w:p>
      <w:pPr>
        <w:spacing w:after="0" w:line="40" w:lineRule="exact"/>
        <w:rPr>
          <w:rFonts w:ascii="Arial" w:cs="Arial" w:eastAsia="Arial" w:hAnsi="Arial"/>
          <w:sz w:val="28"/>
          <w:szCs w:val="28"/>
          <w:color w:val="auto"/>
          <w:vertAlign w:val="subscript"/>
        </w:rPr>
      </w:pPr>
    </w:p>
    <w:p>
      <w:pPr>
        <w:ind w:left="660" w:hanging="328"/>
        <w:spacing w:after="0" w:line="181" w:lineRule="auto"/>
        <w:tabs>
          <w:tab w:leader="none" w:pos="66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potential goodwill and intangible asset impairment charges associated with acquired businesses.</w:t>
      </w:r>
    </w:p>
    <w:p>
      <w:pPr>
        <w:spacing w:after="0" w:line="2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 Additionally, due to political uncertainty and military actions associated with Russia’s invasion of Ukraine, we and our service providers are vulnerable to heightened risks of cybersecurity incidents and security and privacy breaches from or affiliated with nation-state actors, including attacks that could materially disrupt our systems, operations and services.</w:t>
      </w:r>
    </w:p>
    <w:p>
      <w:pPr>
        <w:spacing w:after="0" w:line="18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we and our service providers are at increased risk for security breaches and incidents.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or incident impacting our data security, an attack against our service availability, or any breach, incident, or attack impacting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or other compromise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unavailability or alteration of information, claims, demands and litigation, regulatory investigations, actions and other proceedings and possible liability. Any such actual or perceived security breach or incident or disruption could also divert the efforts of our technical and management personnel. We and our service providers may face difficulties or delays in identifying and responding to any security breach or incident. We also may incur significant costs and operational consequences of investigating, remediating, eliminating and putting in place additional tools and devices designed to prevent actual or perceived security incidents, as well as costs to respond to and otherwise address any breach or incident, including any to comply with any notification obligations resulting from any security incidents. In addition, any such actual or perceived security breach or incident could impair our ability to operate our business and provide solutions to our customers. If this happens, our reputation could be harmed, our revenues could decline and our business could suffer.</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timing of sales of subscriptions for our solutions can be difficult to forecast because of the length and unpredictability of our sales cycle, particularly with large transactions and in the current macroeconomic environment.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business depends to a significant extent on the overall demand for IT and on the economic health of our current and prospective customers. Economic weakness, customer financial difficulties, supply chain constraints, change in interest rates, inflationary pressures and potential for a recession, and constrained spending on IT security, as well as longer sales cycles, which factors we have experienced in 2022 and into 2023, have resulted and may in the future result in decreased revenue and earnings. Such factors have made and could in the future make it difficult to accurately forecast our sales and operating results and could negatively affect our ability to provide accurate forecasts to our contract manufacturers. In addition, continued governmental budgetary challenges in the United States and Europe, inflationary pressures and potential for a recession, and geopolitical turmoil in many parts of the world, including the ongoing military conflict between Russia and Ukraine, and other disruptions to global and regional economies and markets in many parts of the world, as well as uncertainties related to changes in public policies such as domestic and international regulations, taxes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IT, security and compliance solutions are delivered from 12 shared cloud platforms, and any disruption of service at these facilities would interrupt or delay our ability to deliver our solutions to our customers which could reduce our revenues and harm our operating results.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host substantially all of our solutions from third-party shared cloud platforms located in the United States, Canada, Switzerland, the Netherlands, United Arab Emirates, Australia, United Kingdom, the Kingdom of Saudi Arabia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compete with large and small public companies, such as Broadcom (Symantec Enterprise Security), CrowdStrike, Palo Alto Networks, Rapid7, Tenable Holdings, as well as privately held security providers including Axonius, Checkmarx, Flexera, Invicti, Ivanti, Tanium, HelpSystems (Tripwire), Trustwave Holdings, Veracode and Wiz.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which could impact the demand for or value of our solutions.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An actual or perceived security breach or incident or loss, theft, unavailability or other compromise of the sensitive data of one of our customers, regardless of whether the breach is attributable to the failure of our solutions, could adversely affect the market’s perception of our security solutions.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invest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success significantly depends to a significant extent on establishing and maintaining relationships with a variety of channel partners and we anticipate that we will continue to depend on these partners in order to grow our business. For the six months ended June 30, 2023, we derived approximately 43%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11"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as of June 30, 2023, approximately 75% of our employees were located outside of the United States, with 66%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reporting currency is the U.S. dollar and we generate a majority of our revenues in U.S. dollars. However, for the six months ended June 30, 2023, we incurred approximately 28% of our expenses in foreign currencies, primarily Euros, British Pounds, and Indian Rupee, principally with respect to salaries and related personnel expenses associated with our European and Indian operations. Additionally, for the six months ended June 30, 2023, approximately 23%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 of our operations may be adversely affected by foreign exchange fluctuations.</w:t>
      </w:r>
    </w:p>
    <w:p>
      <w:pPr>
        <w:spacing w:after="0" w:line="19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to a significant extent on the willingness of organizations to increase their use of cloud solutions for their IT, security and compliance. Some organizations may be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organizations that have invested substantial personnel and financial resources to integrate on-premise software into their businesses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continued to grow since inception, and if we do not appropriately manage any future growth, or are unable to improve our systems and processes, our operating results may be negatively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continued to grow over the last several years, with revenues increasing from $363.0 million in 2020 to $489.7 million in 2022, and headcount increasing from 1,498 employees at the beginning of 2020 to 2,140 employees as of June 30, 2023.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sectPr>
          <w:pgSz w:w="11900" w:h="16838" w:orient="portrait"/>
          <w:cols w:equalWidth="0" w:num="1">
            <w:col w:w="11240"/>
          </w:cols>
          <w:pgMar w:left="320" w:top="125" w:right="339" w:bottom="106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6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order to remain competitive, we have in the past and may in the future seek to acquire additional businesses, products, services or technologies. For example, we acquired certain intellectual property of Spell Security on July 24, 2020, certain intellectual property of TotalCloud on August 19, 2021 and certain assets of Blue Hexagon on October 4, 2022. The environment for acquisitions in our industry is very competitive and acquisition candidate purchase prices may exceed what we would prefer to pay. Moreover, achieving the anticipated benefits of past and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Tax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7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and we may collect, store and otherwise process personal or confidential information more generally in connection with our business and operations.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Additionally, the California Privacy Rights Act (“CPRA”), was approved by voters in the November 3, 2020 election. The CPRA modified the CCPA significantly, creating obligations relating to consumer data beginning on January 1, 2022, with enforcement authorized as of July 1, 2023. In addition, other states have enacted or proposed legislation that regulates the collection, use, and sale of personal information, including Virginia, Colorado, Utah, Connecticut, Iowa, Indiana, Montana, Tennessee and Texas, which have enacted laws similar to the CCPA. Aspects of the CCPA, CPRA, and these other new and evolving state laws, as well their interpretation and enforcement, remain uncertain. We cannot predict the impact of the CCPA, CPRA, or other evolving privacy and data protection obligations on our business or operations, but they may require us to modify our data processing practices and policies and incur substantial costs and expenses in an effort to comply.</w:t>
      </w:r>
    </w:p>
    <w:p>
      <w:pPr>
        <w:spacing w:after="0" w:line="16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has enacted a Data Protection Act, and has implemented legislation referred to as the “UK GDPR,” that substantially implement the GDPR in the United Kingdom following the United Kingdom’s exit from the European Union. This legislation provides for substantial penalties for noncompliance of up to the greater of £17.5 million or four percent of the previous year’s annual revenues. While the European Union has deemed the United Kingdom an “adequate country” to which personal data could be exported from the European Economic Area (“EEA”), this decision is required to be renewed after four years of being in effect and may be modified, revoked, or challenged in the interim, creating uncertainty regarding transfers of personal data to the United Kingdom from the EEA.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have adopted certain standard contractual clauses approved by the European Commission (“SCCs”) as part of our data processing agreements with regard to certain transfers of personal data from the European Economic Area (“EEA”) to the U.S. Both the EU-U.S. Privacy Shield Framework and SCCs have, however, been subject to legal challenge, and the EU-U.S. Privacy Shield program was invalidated by the Court of Justice of the European Union (“CJEU”), on July 16, 2020. The Swiss Federal Data Protection and Information Commissioner invalidated the Swiss-U.S. Privacy Shield on similar grounds. In its July 16, 2020 opinion, the CJEU imposed additional obligations on companies when relying on SCCs to transfer personal data. The European Commission has published revised SCCs addressing the CJEU concerns on June 4, 2021, that are required to be implemented. The United Kingdom has adopted new standard contractual clauses (“UK SCCs”), that became effective as of March 21, 2022, and which also are required to be implemented. The CJEU’s Schrems II decision, the revised SCCs and UK SCCs, guidance and opinions of regulators, and other developments relating to cross-border data transfer may require us to implement additional contractual and technical safeguards for any personal data transferred out of Europe, which may increase compliance costs, lead to increased regulatory scrutiny or liability, and which may adversely impact our business, financial condition and operating results.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w:t>
      </w:r>
    </w:p>
    <w:p>
      <w:pPr>
        <w:sectPr>
          <w:pgSz w:w="11900" w:h="16838" w:orient="portrait"/>
          <w:cols w:equalWidth="0" w:num="1">
            <w:col w:w="11240"/>
          </w:cols>
          <w:pgMar w:left="320" w:top="125" w:right="339" w:bottom="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adverse outcome of a dispute may require us to:</w:t>
      </w:r>
    </w:p>
    <w:p>
      <w:pPr>
        <w:spacing w:after="0" w:line="23" w:lineRule="exact"/>
        <w:rPr>
          <w:sz w:val="20"/>
          <w:szCs w:val="20"/>
          <w:color w:val="auto"/>
        </w:rPr>
      </w:pPr>
    </w:p>
    <w:p>
      <w:pPr>
        <w:ind w:left="460" w:hanging="228"/>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9" w:lineRule="exact"/>
        <w:rPr>
          <w:rFonts w:ascii="Arial" w:cs="Arial" w:eastAsia="Arial" w:hAnsi="Arial"/>
          <w:sz w:val="18"/>
          <w:szCs w:val="18"/>
          <w:color w:val="auto"/>
        </w:rPr>
      </w:pPr>
    </w:p>
    <w:p>
      <w:pPr>
        <w:ind w:left="460" w:hanging="228"/>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ind w:left="460" w:hanging="228"/>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ind w:left="460" w:hanging="228"/>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w:t>
      </w:r>
    </w:p>
    <w:p>
      <w:pPr>
        <w:sectPr>
          <w:pgSz w:w="11900" w:h="16838" w:orient="portrait"/>
          <w:cols w:equalWidth="0" w:num="1">
            <w:col w:w="11240"/>
          </w:cols>
          <w:pgMar w:left="320" w:top="125" w:right="339" w:bottom="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technology licensed to us. Any of the foregoing events could seriously harm our business, financial condition and results of operations.</w:t>
      </w:r>
    </w:p>
    <w:p>
      <w:pPr>
        <w:sectPr>
          <w:pgSz w:w="11900" w:h="16838" w:orient="portrait"/>
          <w:cols w:equalWidth="0" w:num="1">
            <w:col w:w="10139"/>
          </w:cols>
          <w:pgMar w:left="320" w:top="125"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excess tax benefits arising from stock-based compensation, other tax benefits and credits, and the valuation of deferred tax assets and liabilities. Increases in our effective tax rate could harm our operating results.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In addition, the Organization for Economic Cooperation and Development has issued model rules in connection with the Base Erosion and Profit Shifting integrated framework that determine multi-jurisdictional taxing rights and the rate of tax applicable to certain types of income. These rules are still evolving, and we do not anticipate these rules to have an impact on our current year’s financial results. If applicable in the future, these could have an impact on our financial results, the extent of which is currently uncertain.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1" w:lineRule="exact"/>
        <w:rPr>
          <w:sz w:val="20"/>
          <w:szCs w:val="20"/>
          <w:color w:val="auto"/>
        </w:rPr>
      </w:pPr>
    </w:p>
    <w:p>
      <w:pPr>
        <w:ind w:left="460" w:hanging="228"/>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20" w:lineRule="exact"/>
        <w:rPr>
          <w:rFonts w:ascii="Arial" w:cs="Arial" w:eastAsia="Arial" w:hAnsi="Arial"/>
          <w:sz w:val="17"/>
          <w:szCs w:val="17"/>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2023, we had approximately 36.7 million shares of our common stock outstanding.</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as of June 30, 2023, there were approximately 1.8 million options and 0.9 million restricted stock units outstanding. If such options are exercised and restricted stock units are released, these additional shares will become available for sale. As of June 30, 2023, we had an aggregate of 2.3 million shares of our common stock reserved for future issuance under our Restated 2012 Equity Incentive Plan and 0.5 million 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stockholder value, and any share repurchases we make could affect the price of our common stock.</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12, 2018, we announced that our board of directors had authorized a $100.0 million repurchase program. On each of October 30, 2018, October 30, 2019, May 7, 2020, February 10, 2021 and February 9, 2023,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$1.0 billion as of June 30, 2023.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Finally, our share repurchases in 2023 are subject to a new 1% excise tax introduced in the Inflation Reduction Act. The amount of share repurchases subject to the excise tax are reduced by the fair market value of any shares issued during the taxable year. We do not expect this provision to have a material impact to our results of operations. During the six months ended June 30, 2023, we repurchased 0.9 million shares of our common stock for approximately $108.8 million. As of June 30, 2023, approximately $145.7 million remained available for share repurchases pursuant to our share repurchase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1" w:lineRule="exact"/>
        <w:rPr>
          <w:sz w:val="20"/>
          <w:szCs w:val="20"/>
          <w:color w:val="auto"/>
        </w:rPr>
      </w:pPr>
    </w:p>
    <w:p>
      <w:pPr>
        <w:jc w:val="both"/>
        <w:ind w:left="460" w:hanging="228"/>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Arial" w:cs="Arial" w:eastAsia="Arial" w:hAnsi="Arial"/>
          <w:sz w:val="18"/>
          <w:szCs w:val="18"/>
          <w:color w:val="auto"/>
        </w:rPr>
      </w:pPr>
    </w:p>
    <w:p>
      <w:pPr>
        <w:ind w:left="460" w:hanging="228"/>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9" w:lineRule="exact"/>
        <w:rPr>
          <w:rFonts w:ascii="Arial" w:cs="Arial" w:eastAsia="Arial" w:hAnsi="Arial"/>
          <w:sz w:val="18"/>
          <w:szCs w:val="18"/>
          <w:color w:val="auto"/>
        </w:rPr>
      </w:pPr>
    </w:p>
    <w:p>
      <w:pPr>
        <w:ind w:left="460" w:hanging="228"/>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9" w:lineRule="exact"/>
        <w:rPr>
          <w:rFonts w:ascii="Arial" w:cs="Arial" w:eastAsia="Arial" w:hAnsi="Arial"/>
          <w:sz w:val="18"/>
          <w:szCs w:val="18"/>
          <w:color w:val="auto"/>
        </w:rPr>
      </w:pPr>
    </w:p>
    <w:p>
      <w:pPr>
        <w:ind w:left="460" w:hanging="228"/>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ind w:left="460" w:hanging="228"/>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and stock-based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2022,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pgSz w:w="11900" w:h="16838" w:orient="portrait"/>
          <w:cols w:equalWidth="0" w:num="1">
            <w:col w:w="11240"/>
          </w:cols>
          <w:pgMar w:left="320" w:top="125" w:right="339" w:bottom="844"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repurchases of common stock during the three months ended June 30, 2023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Total Number</w:t>
            </w:r>
          </w:p>
        </w:tc>
        <w:tc>
          <w:tcPr>
            <w:tcW w:w="120" w:type="dxa"/>
            <w:vAlign w:val="bottom"/>
          </w:tcPr>
          <w:p>
            <w:pPr>
              <w:spacing w:after="0"/>
              <w:rPr>
                <w:sz w:val="20"/>
                <w:szCs w:val="20"/>
                <w:color w:val="auto"/>
              </w:rPr>
            </w:pPr>
          </w:p>
        </w:tc>
        <w:tc>
          <w:tcPr>
            <w:tcW w:w="11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Approximate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Dollar Value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Shares that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Yet Be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4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under the Plan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Pr>
          <w:p>
            <w:pPr>
              <w:spacing w:after="0"/>
              <w:rPr>
                <w:sz w:val="20"/>
                <w:szCs w:val="20"/>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Paid per Share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or Program (1)</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or Program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2023</w:t>
            </w:r>
          </w:p>
        </w:tc>
        <w:tc>
          <w:tcPr>
            <w:tcW w:w="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102,902</w:t>
            </w: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3"/>
              </w:rPr>
              <w:t>123.36</w:t>
            </w:r>
          </w:p>
        </w:tc>
        <w:tc>
          <w:tcPr>
            <w:tcW w:w="2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102,902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175,237,120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May 1 - May 31, 2023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136,100</w:t>
            </w:r>
          </w:p>
        </w:tc>
        <w:tc>
          <w:tcPr>
            <w:tcW w:w="640" w:type="dxa"/>
            <w:vAlign w:val="bottom"/>
            <w:gridSpan w:val="2"/>
          </w:tcPr>
          <w:p>
            <w:pPr>
              <w:jc w:val="right"/>
              <w:ind w:right="236"/>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116.77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136,100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159,344,273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2023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64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127.85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145,664,430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346,002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346,002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32"/>
        <w:spacing w:after="0" w:line="272" w:lineRule="auto"/>
        <w:tabs>
          <w:tab w:leader="none" w:pos="5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February 12, 2018, we announced that our board of directors authorized a $100.0 million share repurchase program. On each of October 30, 2018, October 30, 2019, May 7, 2020, February 10, 2021 and February 9, 2023,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$1.0 billion as of June 30, 2023.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pacing w:after="0" w:line="38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229" w:lineRule="exact"/>
        <w:rPr>
          <w:sz w:val="20"/>
          <w:szCs w:val="20"/>
          <w:color w:val="auto"/>
        </w:rPr>
      </w:pPr>
    </w:p>
    <w:p>
      <w:pPr>
        <w:ind w:left="160" w:right="240"/>
        <w:spacing w:after="0" w:line="277" w:lineRule="auto"/>
        <w:rPr>
          <w:sz w:val="20"/>
          <w:szCs w:val="20"/>
          <w:color w:val="auto"/>
        </w:rPr>
      </w:pPr>
      <w:r>
        <w:rPr>
          <w:rFonts w:ascii="Arial" w:cs="Arial" w:eastAsia="Arial" w:hAnsi="Arial"/>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Description</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Chief Executive Officer pursuant to Rule 13a-14(a) or Rule 15d-14(a) of the Securities Exchange Act of 1934, as adopted</w:t>
            </w: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w:t>
            </w: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Chief Financial Officer pursuant to Rule 13a-14(a) or Rule 15d-14(a) of the Securities Exchange Act of 1934, as adopted</w:t>
            </w: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w:t>
            </w:r>
          </w:p>
        </w:tc>
      </w:tr>
      <w:tr>
        <w:trPr>
          <w:trHeight w:val="20"/>
        </w:trPr>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12"/>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6"/>
              </w:rPr>
              <w:t>Certification of Chief Executive Officer pursuant to Rule 13a-14(b) or Rule 15d-14(b) of the Securities Exchange Act of 1934 and 18</w:t>
            </w: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U.S.C. Section 1350 as adopted pursuant to Section 906 of The Sarbanes-Oxley Act of 2002.</w:t>
            </w:r>
          </w:p>
        </w:tc>
        <w:tc>
          <w:tcPr>
            <w:tcW w:w="3420" w:type="dxa"/>
            <w:vAlign w:val="bottom"/>
          </w:tcPr>
          <w:p>
            <w:pPr>
              <w:spacing w:after="0"/>
              <w:rPr>
                <w:sz w:val="17"/>
                <w:szCs w:val="17"/>
                <w:color w:val="auto"/>
              </w:rPr>
            </w:pPr>
          </w:p>
        </w:tc>
      </w:tr>
      <w:tr>
        <w:trPr>
          <w:trHeight w:val="412"/>
        </w:trPr>
        <w:tc>
          <w:tcPr>
            <w:tcW w:w="800" w:type="dxa"/>
            <w:vAlign w:val="bottom"/>
            <w:gridSpan w:val="2"/>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of Chief Financial Officer pursuant to Rule 13a-14(b) or Rule 15d-14(b) of the Securities Exchange Act of 1934 and 18 U.S.C.</w:t>
            </w: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EE"/>
              </w:rPr>
              <w:t>Section 1350 as adopted pursuant to Section 906 of The Sarbanes-Oxley Act of 2002.</w:t>
            </w: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40" w:type="dxa"/>
            <w:vAlign w:val="bottom"/>
            <w:gridSpan w:val="2"/>
            <w:shd w:val="clear" w:color="auto" w:fill="0000EE"/>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INS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CAL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DEF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LAB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0"/>
                <w:szCs w:val="20"/>
                <w:color w:val="auto"/>
              </w:rPr>
            </w:pPr>
            <w:r>
              <w:rPr>
                <w:rFonts w:ascii="Arial" w:cs="Arial" w:eastAsia="Arial" w:hAnsi="Arial"/>
                <w:sz w:val="18"/>
                <w:szCs w:val="18"/>
                <w:color w:val="auto"/>
              </w:rPr>
              <w:t>PRE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ectPr>
          <w:pgSz w:w="11900" w:h="16838" w:orient="portrait"/>
          <w:cols w:equalWidth="0" w:num="1">
            <w:col w:w="11240"/>
          </w:cols>
          <w:pgMar w:left="320" w:top="125" w:right="339" w:bottom="0" w:gutter="0" w:footer="0" w:header="0"/>
        </w:sectPr>
      </w:pPr>
    </w:p>
    <w:bookmarkStart w:id="59" w:name="page60"/>
    <w:bookmarkEnd w:id="59"/>
    <w:p>
      <w:pPr>
        <w:ind w:left="1140" w:hanging="113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is embedded within the Inline XBRL document or included within Exhibit 101 attachments.</w:t>
      </w:r>
    </w:p>
    <w:p>
      <w:pPr>
        <w:spacing w:after="0" w:line="170" w:lineRule="exact"/>
        <w:rPr>
          <w:sz w:val="20"/>
          <w:szCs w:val="20"/>
          <w:color w:val="auto"/>
        </w:rPr>
      </w:pPr>
    </w:p>
    <w:p>
      <w:pPr>
        <w:jc w:val="both"/>
        <w:ind w:left="500" w:hanging="492"/>
        <w:spacing w:after="0" w:line="259"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8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 City of Foster City, State of California on August 3, 2023.</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QUALYS, INC.</w:t>
      </w:r>
    </w:p>
    <w:p>
      <w:pPr>
        <w:spacing w:after="0" w:line="229"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Joo Mi Kim</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60"/>
          </w:cols>
          <w:pgMar w:left="320" w:top="125" w:right="419" w:bottom="1440" w:gutter="0" w:footer="0" w:header="0"/>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Sumedh Thakar, certify that:</w:t>
      </w:r>
    </w:p>
    <w:p>
      <w:pPr>
        <w:spacing w:after="0" w:line="225"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482"/>
        <w:spacing w:after="0" w:line="277"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spacing w:after="0"/>
              <w:rPr>
                <w:sz w:val="20"/>
                <w:szCs w:val="20"/>
                <w:color w:val="auto"/>
              </w:rPr>
            </w:pPr>
            <w:r>
              <w:rPr>
                <w:rFonts w:ascii="Arial" w:cs="Arial" w:eastAsia="Arial" w:hAnsi="Arial"/>
                <w:sz w:val="18"/>
                <w:szCs w:val="18"/>
                <w:color w:val="auto"/>
              </w:rPr>
              <w:t>August 3, 2023</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482"/>
        <w:spacing w:after="0" w:line="277" w:lineRule="auto"/>
        <w:tabs>
          <w:tab w:leader="none" w:pos="11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spacing w:after="0"/>
              <w:rPr>
                <w:sz w:val="20"/>
                <w:szCs w:val="20"/>
                <w:color w:val="auto"/>
              </w:rPr>
            </w:pPr>
            <w:r>
              <w:rPr>
                <w:rFonts w:ascii="Arial" w:cs="Arial" w:eastAsia="Arial" w:hAnsi="Arial"/>
                <w:sz w:val="18"/>
                <w:szCs w:val="18"/>
                <w:color w:val="auto"/>
              </w:rPr>
              <w:t>August 3, 2023</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9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3" w:name="page64"/>
    <w:bookmarkEnd w:id="6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Qualys, Inc. (the “Company”) on Form 10-Q for the quarter ended June 30, 2023, as filed with the Securities and Exchange Commission on the date hereof (the “Report”), I, Sumedh Thakar, President and Chief Executive Officer of the Company, certify, pursuant to 18 U.S.C. § 1350, as adopted pursuant to § 906 of the Sarbanes-Oxley Act of 2002, that, to the best of my knowledge:</w:t>
      </w:r>
    </w:p>
    <w:p>
      <w:pPr>
        <w:spacing w:after="0" w:line="143"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spacing w:after="0"/>
              <w:rPr>
                <w:sz w:val="20"/>
                <w:szCs w:val="20"/>
                <w:color w:val="auto"/>
              </w:rPr>
            </w:pPr>
            <w:r>
              <w:rPr>
                <w:rFonts w:ascii="Arial" w:cs="Arial" w:eastAsia="Arial" w:hAnsi="Arial"/>
                <w:sz w:val="18"/>
                <w:szCs w:val="18"/>
                <w:color w:val="auto"/>
              </w:rPr>
              <w:t>August 3, 2023</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2023,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61"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spacing w:after="0"/>
              <w:rPr>
                <w:sz w:val="20"/>
                <w:szCs w:val="20"/>
                <w:color w:val="auto"/>
              </w:rPr>
            </w:pPr>
            <w:r>
              <w:rPr>
                <w:rFonts w:ascii="Arial" w:cs="Arial" w:eastAsia="Arial" w:hAnsi="Arial"/>
                <w:sz w:val="18"/>
                <w:szCs w:val="18"/>
                <w:color w:val="auto"/>
              </w:rPr>
              <w:t>August 3, 2023</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9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2023-08-03T16:08:14Z</dcterms:created>
  <dcterms:modified xsi:type="dcterms:W3CDTF">2023-08-03T16:08:14Z</dcterms:modified>
</cp:coreProperties>
</file>