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ind w:right="-23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FORM 10-Q</w:t>
      </w: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20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239"/>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Commission file number 001-35662</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QUALYS, INC.</w:t>
      </w:r>
    </w:p>
    <w:p>
      <w:pPr>
        <w:spacing w:after="0" w:line="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ectPr>
          <w:pgSz w:w="11900" w:h="16838" w:orient="portrait"/>
          <w:cols w:equalWidth="0" w:num="1">
            <w:col w:w="11000"/>
          </w:cols>
          <w:pgMar w:left="320" w:top="958" w:right="579" w:bottom="1440" w:gutter="0" w:footer="0" w:header="0"/>
        </w:sectPr>
      </w:pPr>
    </w:p>
    <w:p>
      <w:pPr>
        <w:spacing w:after="0" w:line="203"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77-0534145</w:t>
      </w:r>
    </w:p>
    <w:p>
      <w:pPr>
        <w:spacing w:after="0" w:line="3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060"/>
          </w:cols>
          <w:pgMar w:left="320" w:top="958" w:right="579" w:bottom="1440" w:gutter="0" w:footer="0" w:header="0"/>
          <w:type w:val="continuous"/>
        </w:sectPr>
      </w:pPr>
    </w:p>
    <w:p>
      <w:pPr>
        <w:spacing w:after="0" w:line="1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919 E. Hillsdale Boulevard, 4th Floor, Foster City, California 94404</w:t>
      </w:r>
    </w:p>
    <w:p>
      <w:pPr>
        <w:spacing w:after="0" w:line="4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(650) 801-6100</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000"/>
          </w:cols>
          <w:pgMar w:left="320" w:top="958" w:right="579" w:bottom="1440" w:gutter="0" w:footer="0" w:header="0"/>
          <w:type w:val="continuous"/>
        </w:sectPr>
      </w:pPr>
    </w:p>
    <w:p>
      <w:pPr>
        <w:spacing w:after="0" w:line="20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QLYS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200" w:space="720"/>
            <w:col w:w="2020" w:space="720"/>
            <w:col w:w="3340"/>
          </w:cols>
          <w:pgMar w:left="320" w:top="958" w:right="579" w:bottom="1440" w:gutter="0" w:footer="0" w:header="0"/>
          <w:type w:val="continuous"/>
        </w:sectPr>
      </w:pPr>
    </w:p>
    <w:p>
      <w:pPr>
        <w:spacing w:after="0" w:line="7" w:lineRule="exact"/>
        <w:rPr>
          <w:sz w:val="24"/>
          <w:szCs w:val="24"/>
          <w:color w:val="auto"/>
        </w:rPr>
      </w:pPr>
    </w:p>
    <w:p>
      <w:pPr>
        <w:ind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Accelerated filer</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31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58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ind w:right="14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outstanding as of August 1, 2022 was 38,363,617.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958" w:right="5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0" w:type="dxa"/>
            <w:vAlign w:val="bottom"/>
            <w:gridSpan w:val="4"/>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9"/>
              </w:rPr>
              <w:t>Qualys, Inc.</w:t>
            </w: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40" w:type="dxa"/>
            <w:vAlign w:val="bottom"/>
            <w:gridSpan w:val="6"/>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14"/>
        </w:trPr>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gridSpan w:val="5"/>
          </w:tcPr>
          <w:p>
            <w:pPr>
              <w:ind w:left="1720"/>
              <w:spacing w:after="0"/>
              <w:rPr>
                <w:sz w:val="20"/>
                <w:szCs w:val="20"/>
                <w:color w:val="auto"/>
              </w:rPr>
            </w:pPr>
            <w:r>
              <w:rPr>
                <w:rFonts w:ascii="Times New Roman" w:cs="Times New Roman" w:eastAsia="Times New Roman" w:hAnsi="Times New Roman"/>
                <w:sz w:val="18"/>
                <w:szCs w:val="18"/>
                <w:color w:val="auto"/>
              </w:rPr>
              <w:t>Page</w:t>
            </w:r>
          </w:p>
        </w:tc>
      </w:tr>
      <w:tr>
        <w:trPr>
          <w:trHeight w:val="194"/>
        </w:trPr>
        <w:tc>
          <w:tcPr>
            <w:tcW w:w="896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EE"/>
              </w:rPr>
              <w:t>Risk Factor Summary</w:t>
            </w:r>
          </w:p>
        </w:tc>
        <w:tc>
          <w:tcPr>
            <w:tcW w:w="1980" w:type="dxa"/>
            <w:vAlign w:val="bottom"/>
            <w:gridSpan w:val="4"/>
          </w:tcPr>
          <w:p>
            <w:pPr>
              <w:jc w:val="center"/>
              <w:ind w:left="1710"/>
              <w:spacing w:after="0" w:line="194" w:lineRule="exact"/>
              <w:rPr>
                <w:sz w:val="20"/>
                <w:szCs w:val="20"/>
                <w:color w:val="auto"/>
              </w:rPr>
            </w:pPr>
            <w:r>
              <w:rPr>
                <w:rFonts w:ascii="Times New Roman" w:cs="Times New Roman" w:eastAsia="Times New Roman" w:hAnsi="Times New Roman"/>
                <w:sz w:val="18"/>
                <w:szCs w:val="18"/>
                <w:color w:val="0000EE"/>
              </w:rPr>
              <w:t>3</w:t>
            </w:r>
          </w:p>
        </w:tc>
        <w:tc>
          <w:tcPr>
            <w:tcW w:w="300" w:type="dxa"/>
            <w:vAlign w:val="bottom"/>
          </w:tcPr>
          <w:p>
            <w:pPr>
              <w:spacing w:after="0"/>
              <w:rPr>
                <w:sz w:val="16"/>
                <w:szCs w:val="16"/>
                <w:color w:val="auto"/>
              </w:rPr>
            </w:pPr>
          </w:p>
        </w:tc>
      </w:tr>
      <w:tr>
        <w:trPr>
          <w:trHeight w:val="218"/>
        </w:trPr>
        <w:tc>
          <w:tcPr>
            <w:tcW w:w="8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20" w:type="dxa"/>
            <w:vAlign w:val="bottom"/>
            <w:gridSpan w:val="8"/>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94"/>
        </w:trPr>
        <w:tc>
          <w:tcPr>
            <w:tcW w:w="8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1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Financial Statements</w:t>
            </w: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9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5220" w:type="dxa"/>
            <w:vAlign w:val="bottom"/>
            <w:gridSpan w:val="8"/>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1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1980" w:type="dxa"/>
            <w:vAlign w:val="bottom"/>
            <w:gridSpan w:val="4"/>
          </w:tcPr>
          <w:p>
            <w:pPr>
              <w:jc w:val="center"/>
              <w:ind w:left="171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3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w:t>
            </w:r>
          </w:p>
        </w:tc>
        <w:tc>
          <w:tcPr>
            <w:tcW w:w="1980" w:type="dxa"/>
            <w:vAlign w:val="bottom"/>
            <w:gridSpan w:val="4"/>
          </w:tcPr>
          <w:p>
            <w:pPr>
              <w:jc w:val="center"/>
              <w:ind w:left="1710"/>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860" w:type="dxa"/>
            <w:vAlign w:val="bottom"/>
            <w:tcBorders>
              <w:top w:val="single" w:sz="8" w:color="0000EE"/>
            </w:tcBorders>
            <w:gridSpan w:val="4"/>
          </w:tcPr>
          <w:p>
            <w:pPr>
              <w:spacing w:after="0"/>
              <w:rPr>
                <w:sz w:val="17"/>
                <w:szCs w:val="17"/>
                <w:color w:val="auto"/>
              </w:rPr>
            </w:pPr>
          </w:p>
        </w:tc>
        <w:tc>
          <w:tcPr>
            <w:tcW w:w="3580" w:type="dxa"/>
            <w:vAlign w:val="bottom"/>
            <w:gridSpan w:val="2"/>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4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3760" w:type="dxa"/>
            <w:vAlign w:val="bottom"/>
            <w:gridSpan w:val="3"/>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8</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160" w:type="dxa"/>
            <w:vAlign w:val="bottom"/>
            <w:gridSpan w:val="5"/>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1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2280" w:type="dxa"/>
            <w:vAlign w:val="bottom"/>
            <w:gridSpan w:val="5"/>
          </w:tcPr>
          <w:p>
            <w:pPr>
              <w:jc w:val="center"/>
              <w:ind w:left="1410"/>
              <w:spacing w:after="0" w:line="196" w:lineRule="exact"/>
              <w:rPr>
                <w:sz w:val="20"/>
                <w:szCs w:val="20"/>
                <w:color w:val="auto"/>
              </w:rPr>
            </w:pPr>
            <w:r>
              <w:rPr>
                <w:rFonts w:ascii="Times New Roman" w:cs="Times New Roman" w:eastAsia="Times New Roman" w:hAnsi="Times New Roman"/>
                <w:sz w:val="18"/>
                <w:szCs w:val="18"/>
                <w:color w:val="0000EE"/>
                <w:w w:val="99"/>
              </w:rPr>
              <w:t>26</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2100" w:type="dxa"/>
            <w:vAlign w:val="bottom"/>
            <w:tcBorders>
              <w:left w:val="single" w:sz="8" w:color="0000EE"/>
            </w:tcBorders>
            <w:gridSpan w:val="3"/>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00" w:type="dxa"/>
            <w:vAlign w:val="bottom"/>
            <w:gridSpan w:val="3"/>
          </w:tcPr>
          <w:p>
            <w:pPr>
              <w:spacing w:after="0"/>
              <w:rPr>
                <w:sz w:val="17"/>
                <w:szCs w:val="17"/>
                <w:color w:val="auto"/>
              </w:rPr>
            </w:pPr>
          </w:p>
        </w:tc>
        <w:tc>
          <w:tcPr>
            <w:tcW w:w="1700" w:type="dxa"/>
            <w:vAlign w:val="bottom"/>
          </w:tcPr>
          <w:p>
            <w:pPr>
              <w:spacing w:after="0"/>
              <w:rPr>
                <w:sz w:val="17"/>
                <w:szCs w:val="17"/>
                <w:color w:val="auto"/>
              </w:rPr>
            </w:pPr>
          </w:p>
        </w:tc>
        <w:tc>
          <w:tcPr>
            <w:tcW w:w="2280" w:type="dxa"/>
            <w:vAlign w:val="bottom"/>
            <w:gridSpan w:val="5"/>
          </w:tcPr>
          <w:p>
            <w:pPr>
              <w:jc w:val="center"/>
              <w:ind w:left="1410"/>
              <w:spacing w:after="0" w:line="196" w:lineRule="exact"/>
              <w:rPr>
                <w:sz w:val="20"/>
                <w:szCs w:val="20"/>
                <w:color w:val="auto"/>
              </w:rPr>
            </w:pPr>
            <w:r>
              <w:rPr>
                <w:rFonts w:ascii="Times New Roman" w:cs="Times New Roman" w:eastAsia="Times New Roman" w:hAnsi="Times New Roman"/>
                <w:sz w:val="18"/>
                <w:szCs w:val="18"/>
                <w:color w:val="0000EE"/>
                <w:w w:val="99"/>
              </w:rPr>
              <w:t>35</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3800" w:type="dxa"/>
            <w:vAlign w:val="bottom"/>
            <w:tcBorders>
              <w:left w:val="single" w:sz="8" w:color="0000EE"/>
            </w:tcBorders>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3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sz w:val="20"/>
                <w:szCs w:val="20"/>
                <w:color w:val="auto"/>
              </w:rPr>
            </w:pPr>
            <w:r>
              <w:rPr>
                <w:rFonts w:ascii="Times New Roman" w:cs="Times New Roman" w:eastAsia="Times New Roman" w:hAnsi="Times New Roman"/>
                <w:sz w:val="18"/>
                <w:szCs w:val="18"/>
                <w:color w:val="0000EE"/>
                <w:w w:val="99"/>
              </w:rPr>
              <w:t>35</w:t>
            </w:r>
          </w:p>
        </w:tc>
      </w:tr>
      <w:tr>
        <w:trPr>
          <w:trHeight w:val="218"/>
        </w:trPr>
        <w:tc>
          <w:tcPr>
            <w:tcW w:w="800" w:type="dxa"/>
            <w:vAlign w:val="bottom"/>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20" w:type="dxa"/>
            <w:vAlign w:val="bottom"/>
            <w:gridSpan w:val="8"/>
          </w:tcPr>
          <w:p>
            <w:pPr>
              <w:ind w:left="5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80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r>
      <w:tr>
        <w:trPr>
          <w:trHeight w:val="194"/>
        </w:trPr>
        <w:tc>
          <w:tcPr>
            <w:tcW w:w="8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5"/>
              </w:rPr>
              <w:t>Legal Proceedings</w:t>
            </w:r>
          </w:p>
        </w:tc>
        <w:tc>
          <w:tcPr>
            <w:tcW w:w="6840" w:type="dxa"/>
            <w:vAlign w:val="bottom"/>
            <w:gridSpan w:val="12"/>
          </w:tcPr>
          <w:p>
            <w:pPr>
              <w:spacing w:after="0"/>
              <w:rPr>
                <w:sz w:val="16"/>
                <w:szCs w:val="16"/>
                <w:color w:val="auto"/>
              </w:rPr>
            </w:pPr>
          </w:p>
        </w:tc>
        <w:tc>
          <w:tcPr>
            <w:tcW w:w="2280" w:type="dxa"/>
            <w:vAlign w:val="bottom"/>
            <w:gridSpan w:val="5"/>
          </w:tcPr>
          <w:p>
            <w:pPr>
              <w:jc w:val="center"/>
              <w:ind w:left="1410"/>
              <w:spacing w:after="0" w:line="194" w:lineRule="exact"/>
              <w:rPr>
                <w:sz w:val="20"/>
                <w:szCs w:val="20"/>
                <w:color w:val="auto"/>
              </w:rPr>
            </w:pPr>
            <w:r>
              <w:rPr>
                <w:rFonts w:ascii="Times New Roman" w:cs="Times New Roman" w:eastAsia="Times New Roman" w:hAnsi="Times New Roman"/>
                <w:sz w:val="18"/>
                <w:szCs w:val="18"/>
                <w:color w:val="0000EE"/>
                <w:w w:val="99"/>
              </w:rPr>
              <w:t>36</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840" w:type="dxa"/>
            <w:vAlign w:val="bottom"/>
            <w:gridSpan w:val="12"/>
          </w:tcPr>
          <w:p>
            <w:pPr>
              <w:spacing w:after="0"/>
              <w:rPr>
                <w:sz w:val="17"/>
                <w:szCs w:val="17"/>
                <w:color w:val="auto"/>
              </w:rPr>
            </w:pPr>
          </w:p>
        </w:tc>
        <w:tc>
          <w:tcPr>
            <w:tcW w:w="2280" w:type="dxa"/>
            <w:vAlign w:val="bottom"/>
            <w:gridSpan w:val="5"/>
          </w:tcPr>
          <w:p>
            <w:pPr>
              <w:jc w:val="center"/>
              <w:ind w:left="1410"/>
              <w:spacing w:after="0" w:line="196" w:lineRule="exact"/>
              <w:rPr>
                <w:sz w:val="20"/>
                <w:szCs w:val="20"/>
                <w:color w:val="auto"/>
              </w:rPr>
            </w:pPr>
            <w:r>
              <w:rPr>
                <w:rFonts w:ascii="Times New Roman" w:cs="Times New Roman" w:eastAsia="Times New Roman" w:hAnsi="Times New Roman"/>
                <w:sz w:val="18"/>
                <w:szCs w:val="18"/>
                <w:color w:val="0000EE"/>
                <w:w w:val="99"/>
              </w:rPr>
              <w:t>36</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sz w:val="20"/>
                <w:szCs w:val="20"/>
                <w:color w:val="auto"/>
              </w:rPr>
            </w:pPr>
            <w:r>
              <w:rPr>
                <w:rFonts w:ascii="Times New Roman" w:cs="Times New Roman" w:eastAsia="Times New Roman" w:hAnsi="Times New Roman"/>
                <w:sz w:val="18"/>
                <w:szCs w:val="18"/>
                <w:color w:val="0000EE"/>
                <w:w w:val="99"/>
              </w:rPr>
              <w:t>55</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sz w:val="20"/>
                <w:szCs w:val="20"/>
                <w:color w:val="auto"/>
              </w:rPr>
            </w:pPr>
            <w:r>
              <w:rPr>
                <w:rFonts w:ascii="Times New Roman" w:cs="Times New Roman" w:eastAsia="Times New Roman" w:hAnsi="Times New Roman"/>
                <w:sz w:val="18"/>
                <w:szCs w:val="18"/>
                <w:color w:val="0000EE"/>
                <w:w w:val="99"/>
              </w:rPr>
              <w:t>55</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00" w:type="dxa"/>
            <w:vAlign w:val="bottom"/>
          </w:tcPr>
          <w:p>
            <w:pPr>
              <w:spacing w:after="0"/>
              <w:rPr>
                <w:sz w:val="17"/>
                <w:szCs w:val="17"/>
                <w:color w:val="auto"/>
              </w:rPr>
            </w:pPr>
          </w:p>
        </w:tc>
        <w:tc>
          <w:tcPr>
            <w:tcW w:w="5880" w:type="dxa"/>
            <w:vAlign w:val="bottom"/>
            <w:gridSpan w:val="9"/>
          </w:tcPr>
          <w:p>
            <w:pPr>
              <w:spacing w:after="0"/>
              <w:rPr>
                <w:sz w:val="17"/>
                <w:szCs w:val="17"/>
                <w:color w:val="auto"/>
              </w:rPr>
            </w:pPr>
          </w:p>
        </w:tc>
        <w:tc>
          <w:tcPr>
            <w:tcW w:w="2280" w:type="dxa"/>
            <w:vAlign w:val="bottom"/>
            <w:gridSpan w:val="5"/>
          </w:tcPr>
          <w:p>
            <w:pPr>
              <w:jc w:val="center"/>
              <w:ind w:left="1410"/>
              <w:spacing w:after="0" w:line="196" w:lineRule="exact"/>
              <w:rPr>
                <w:sz w:val="20"/>
                <w:szCs w:val="20"/>
                <w:color w:val="auto"/>
              </w:rPr>
            </w:pPr>
            <w:r>
              <w:rPr>
                <w:rFonts w:ascii="Times New Roman" w:cs="Times New Roman" w:eastAsia="Times New Roman" w:hAnsi="Times New Roman"/>
                <w:sz w:val="18"/>
                <w:szCs w:val="18"/>
                <w:color w:val="0000EE"/>
                <w:w w:val="99"/>
              </w:rPr>
              <w:t>55</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460" w:type="dxa"/>
            <w:vAlign w:val="bottom"/>
            <w:gridSpan w:val="2"/>
          </w:tcPr>
          <w:p>
            <w:pPr>
              <w:spacing w:after="0"/>
              <w:rPr>
                <w:sz w:val="17"/>
                <w:szCs w:val="17"/>
                <w:color w:val="auto"/>
              </w:rPr>
            </w:pPr>
          </w:p>
        </w:tc>
        <w:tc>
          <w:tcPr>
            <w:tcW w:w="6380" w:type="dxa"/>
            <w:vAlign w:val="bottom"/>
            <w:gridSpan w:val="10"/>
          </w:tcPr>
          <w:p>
            <w:pPr>
              <w:spacing w:after="0"/>
              <w:rPr>
                <w:sz w:val="17"/>
                <w:szCs w:val="17"/>
                <w:color w:val="auto"/>
              </w:rPr>
            </w:pPr>
          </w:p>
        </w:tc>
        <w:tc>
          <w:tcPr>
            <w:tcW w:w="2280" w:type="dxa"/>
            <w:vAlign w:val="bottom"/>
            <w:gridSpan w:val="5"/>
          </w:tcPr>
          <w:p>
            <w:pPr>
              <w:jc w:val="center"/>
              <w:ind w:left="1410"/>
              <w:spacing w:after="0" w:line="196" w:lineRule="exact"/>
              <w:rPr>
                <w:sz w:val="20"/>
                <w:szCs w:val="20"/>
                <w:color w:val="auto"/>
              </w:rPr>
            </w:pPr>
            <w:r>
              <w:rPr>
                <w:rFonts w:ascii="Times New Roman" w:cs="Times New Roman" w:eastAsia="Times New Roman" w:hAnsi="Times New Roman"/>
                <w:sz w:val="18"/>
                <w:szCs w:val="18"/>
                <w:color w:val="0000EE"/>
                <w:w w:val="99"/>
              </w:rPr>
              <w:t>55</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840" w:type="dxa"/>
            <w:vAlign w:val="bottom"/>
            <w:gridSpan w:val="1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6840" w:type="dxa"/>
            <w:vAlign w:val="bottom"/>
            <w:gridSpan w:val="12"/>
          </w:tcPr>
          <w:p>
            <w:pPr>
              <w:spacing w:after="0"/>
              <w:rPr>
                <w:sz w:val="17"/>
                <w:szCs w:val="17"/>
                <w:color w:val="auto"/>
              </w:rPr>
            </w:pPr>
          </w:p>
        </w:tc>
        <w:tc>
          <w:tcPr>
            <w:tcW w:w="2280" w:type="dxa"/>
            <w:vAlign w:val="bottom"/>
            <w:gridSpan w:val="5"/>
          </w:tcPr>
          <w:p>
            <w:pPr>
              <w:jc w:val="center"/>
              <w:ind w:left="1410"/>
              <w:spacing w:after="0" w:line="196" w:lineRule="exact"/>
              <w:rPr>
                <w:sz w:val="20"/>
                <w:szCs w:val="20"/>
                <w:color w:val="auto"/>
              </w:rPr>
            </w:pPr>
            <w:r>
              <w:rPr>
                <w:rFonts w:ascii="Times New Roman" w:cs="Times New Roman" w:eastAsia="Times New Roman" w:hAnsi="Times New Roman"/>
                <w:sz w:val="18"/>
                <w:szCs w:val="18"/>
                <w:color w:val="0000EE"/>
                <w:w w:val="99"/>
              </w:rPr>
              <w:t>55</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0" w:type="dxa"/>
            <w:vAlign w:val="bottom"/>
            <w:gridSpan w:val="15"/>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2280" w:type="dxa"/>
            <w:vAlign w:val="bottom"/>
            <w:gridSpan w:val="5"/>
          </w:tcPr>
          <w:p>
            <w:pPr>
              <w:jc w:val="center"/>
              <w:ind w:left="1410"/>
              <w:spacing w:after="0" w:line="196" w:lineRule="exact"/>
              <w:rPr>
                <w:sz w:val="20"/>
                <w:szCs w:val="20"/>
                <w:color w:val="auto"/>
              </w:rPr>
            </w:pPr>
            <w:r>
              <w:rPr>
                <w:rFonts w:ascii="Times New Roman" w:cs="Times New Roman" w:eastAsia="Times New Roman" w:hAnsi="Times New Roman"/>
                <w:sz w:val="18"/>
                <w:szCs w:val="18"/>
                <w:color w:val="0000EE"/>
                <w:w w:val="99"/>
              </w:rPr>
              <w:t>56</w:t>
            </w:r>
          </w:p>
        </w:tc>
      </w:tr>
      <w:tr>
        <w:trPr>
          <w:trHeight w:val="668"/>
        </w:trPr>
        <w:tc>
          <w:tcPr>
            <w:tcW w:w="80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5700" w:type="dxa"/>
            <w:vAlign w:val="bottom"/>
            <w:gridSpan w:val="14"/>
          </w:tcPr>
          <w:p>
            <w:pPr>
              <w:jc w:val="center"/>
              <w:ind w:left="2330"/>
              <w:spacing w:after="0"/>
              <w:rPr>
                <w:sz w:val="20"/>
                <w:szCs w:val="20"/>
                <w:color w:val="auto"/>
              </w:rPr>
            </w:pPr>
            <w:r>
              <w:rPr>
                <w:rFonts w:ascii="Times New Roman" w:cs="Times New Roman" w:eastAsia="Times New Roman" w:hAnsi="Times New Roman"/>
                <w:sz w:val="18"/>
                <w:szCs w:val="18"/>
                <w:color w:val="auto"/>
                <w:w w:val="88"/>
              </w:rPr>
              <w:t>2</w:t>
            </w:r>
          </w:p>
        </w:tc>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Quarterly Report on Form 10-Q. If any of the following risks actually occur (or if any of those listed elsewhere in this Quarterly Report on Form 10-Q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5" w:lineRule="exact"/>
        <w:rPr>
          <w:sz w:val="20"/>
          <w:szCs w:val="20"/>
          <w:color w:val="auto"/>
        </w:rPr>
      </w:pPr>
    </w:p>
    <w:p>
      <w:pPr>
        <w:ind w:left="460" w:hanging="223"/>
        <w:spacing w:after="0" w:line="180" w:lineRule="auto"/>
        <w:tabs>
          <w:tab w:leader="none" w:pos="4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The continued spread of Coronavirus Disease 2019 ("COVID-19"), or any similar widespread infectious disease outbreak, could harm our business, financial condition and results of operations.</w:t>
      </w:r>
    </w:p>
    <w:p>
      <w:pPr>
        <w:ind w:left="460" w:hanging="223"/>
        <w:spacing w:after="0" w:line="180" w:lineRule="auto"/>
        <w:tabs>
          <w:tab w:leader="none" w:pos="4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quarterly operating results may vary from period to period, which could result in our failure to meet expectations with respect to operating results and cause the trading price of our stock to decline.</w:t>
      </w:r>
    </w:p>
    <w:p>
      <w:pPr>
        <w:jc w:val="both"/>
        <w:ind w:left="460" w:hanging="223"/>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 w:lineRule="exact"/>
        <w:rPr>
          <w:rFonts w:ascii="Times New Roman" w:cs="Times New Roman" w:eastAsia="Times New Roman" w:hAnsi="Times New Roman"/>
          <w:sz w:val="18"/>
          <w:szCs w:val="18"/>
          <w:color w:val="auto"/>
        </w:rPr>
      </w:pPr>
    </w:p>
    <w:p>
      <w:pPr>
        <w:ind w:left="460" w:hanging="223"/>
        <w:spacing w:after="0" w:line="180" w:lineRule="auto"/>
        <w:tabs>
          <w:tab w:leader="none" w:pos="4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If we fail to continue to effectively scale and adapt our platform to meet the performance and other requirements of our customers, our operating results and our business would be harmed.</w:t>
      </w:r>
    </w:p>
    <w:p>
      <w:pPr>
        <w:ind w:left="460" w:right="20" w:hanging="223"/>
        <w:spacing w:after="0" w:line="180" w:lineRule="auto"/>
        <w:tabs>
          <w:tab w:leader="none" w:pos="4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If we are unable to renew existing subscriptions for our IT, security and compliance solutions, sell additional subscriptions for our solutions and attract new customers, our operating results would be harmed.</w:t>
      </w:r>
    </w:p>
    <w:p>
      <w:pPr>
        <w:ind w:left="460" w:hanging="223"/>
        <w:spacing w:after="0" w:line="180" w:lineRule="auto"/>
        <w:tabs>
          <w:tab w:leader="none" w:pos="4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If the market for cloud solutions for IT, security and compliance does not evolve as we anticipate, our revenues may not grow and our operating results would be harmed.</w:t>
      </w:r>
    </w:p>
    <w:p>
      <w:pPr>
        <w:ind w:left="460" w:right="20" w:hanging="223"/>
        <w:spacing w:after="0" w:line="180" w:lineRule="auto"/>
        <w:tabs>
          <w:tab w:leader="none" w:pos="4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current research and development efforts may not produce successful products or enhancements to our platform that result in significant revenue, cost savings or other benefits in the near future.</w:t>
      </w:r>
    </w:p>
    <w:p>
      <w:pPr>
        <w:ind w:left="460" w:hanging="223"/>
        <w:spacing w:after="0" w:line="180" w:lineRule="auto"/>
        <w:tabs>
          <w:tab w:leader="none" w:pos="4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platform, website and internal systems may be subject to intentional disruption or other security incidents that could result in liability and adversely impact our reputation and future sales.</w:t>
      </w:r>
    </w:p>
    <w:p>
      <w:pPr>
        <w:ind w:left="460" w:hanging="223"/>
        <w:spacing w:after="0" w:line="180" w:lineRule="auto"/>
        <w:tabs>
          <w:tab w:leader="none" w:pos="4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sales cycle can be long and unpredictable, and our sales efforts require considerable time and expense. As a result, revenues may vary from period to period, which may cause our operating results to fluctuate and could harm our business.</w:t>
      </w: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or reduced IT spending may adversely impact our business.</w:t>
      </w:r>
    </w:p>
    <w:p>
      <w:pPr>
        <w:spacing w:after="0" w:line="9" w:lineRule="exact"/>
        <w:rPr>
          <w:rFonts w:ascii="Times New Roman" w:cs="Times New Roman" w:eastAsia="Times New Roman" w:hAnsi="Times New Roman"/>
          <w:sz w:val="18"/>
          <w:szCs w:val="18"/>
          <w:color w:val="auto"/>
        </w:rPr>
      </w:pPr>
    </w:p>
    <w:p>
      <w:pPr>
        <w:ind w:left="460" w:hanging="223"/>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IT, security and compliance solutions are delivered from 11 shared cloud platforms, and any disruption of service at these facilities would interrupt or delay our ability to deliver our solutions to our customers which could reduce our revenues and harm our operating results.</w:t>
      </w: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in our markets, and we may lack sufficient financial or other resources to maintain or improve our competitive position.</w:t>
      </w:r>
    </w:p>
    <w:p>
      <w:pPr>
        <w:spacing w:after="0" w:line="9" w:lineRule="exact"/>
        <w:rPr>
          <w:rFonts w:ascii="Times New Roman" w:cs="Times New Roman" w:eastAsia="Times New Roman" w:hAnsi="Times New Roman"/>
          <w:sz w:val="18"/>
          <w:szCs w:val="18"/>
          <w:color w:val="auto"/>
        </w:rPr>
      </w:pPr>
    </w:p>
    <w:p>
      <w:pPr>
        <w:ind w:left="460" w:hanging="223"/>
        <w:spacing w:after="0" w:line="180" w:lineRule="auto"/>
        <w:tabs>
          <w:tab w:leader="none" w:pos="4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If our solutions fail to detect vulnerabilities or incorrectly detect vulnerabilities, our brand and reputation could be harmed, which could have an adverse effect on our business and results of operations.</w:t>
      </w: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the expansion of our sales force, sales of our solutions and the growth of our business would be harmed.</w:t>
      </w:r>
    </w:p>
    <w:p>
      <w:pPr>
        <w:spacing w:after="0" w:line="9" w:lineRule="exact"/>
        <w:rPr>
          <w:rFonts w:ascii="Times New Roman" w:cs="Times New Roman" w:eastAsia="Times New Roman" w:hAnsi="Times New Roman"/>
          <w:sz w:val="18"/>
          <w:szCs w:val="18"/>
          <w:color w:val="auto"/>
        </w:rPr>
      </w:pPr>
    </w:p>
    <w:p>
      <w:pPr>
        <w:ind w:left="460" w:hanging="223"/>
        <w:spacing w:after="0" w:line="180" w:lineRule="auto"/>
        <w:tabs>
          <w:tab w:leader="none" w:pos="4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rely on third-party channel partners to generate a substantial amount of our revenues, and if we fail to expand and manage our distribution channels, our revenues could decline and our growth prospects could suffer.</w:t>
      </w:r>
    </w:p>
    <w:p>
      <w:pPr>
        <w:jc w:val="both"/>
        <w:ind w:left="460" w:hanging="223"/>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 w:lineRule="exact"/>
        <w:rPr>
          <w:rFonts w:ascii="Times New Roman" w:cs="Times New Roman" w:eastAsia="Times New Roman" w:hAnsi="Times New Roman"/>
          <w:sz w:val="18"/>
          <w:szCs w:val="18"/>
          <w:color w:val="auto"/>
        </w:rPr>
      </w:pPr>
    </w:p>
    <w:p>
      <w:pPr>
        <w:ind w:left="460" w:hanging="223"/>
        <w:spacing w:after="0" w:line="180" w:lineRule="auto"/>
        <w:tabs>
          <w:tab w:leader="none" w:pos="4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business and operations have experienced significant growth, and if we do not appropriately manage any future growth, or are unable to improve our systems and processes, our operating results may be negatively affected.</w:t>
      </w: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revenues are generated by sales to government entities, which are subject to a number of challenges and risks.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software errors or flaws in our solutions could harm our reputation, decrease market acceptance of our solutions or result in liability.</w:t>
      </w:r>
    </w:p>
    <w:p>
      <w:pPr>
        <w:spacing w:after="0" w:line="9" w:lineRule="exact"/>
        <w:rPr>
          <w:rFonts w:ascii="Times New Roman" w:cs="Times New Roman" w:eastAsia="Times New Roman" w:hAnsi="Times New Roman"/>
          <w:sz w:val="18"/>
          <w:szCs w:val="18"/>
          <w:color w:val="auto"/>
        </w:rPr>
      </w:pPr>
    </w:p>
    <w:p>
      <w:pPr>
        <w:ind w:left="460" w:hanging="223"/>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could be used to collect and store personal information of our customers’ employees or customers, and therefore privacy and other data handling concerns could result in additional cost and liability to us or inhibit sales of our solutions.</w:t>
      </w:r>
    </w:p>
    <w:p>
      <w:pPr>
        <w:ind w:left="460" w:hanging="223"/>
        <w:spacing w:after="0" w:line="180" w:lineRule="auto"/>
        <w:tabs>
          <w:tab w:leader="none" w:pos="4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solutions contain third-party open source software components, and our failure to comply with the terms of the underlying open source software licenses could restrict our ability to sell our solutions.</w:t>
      </w:r>
    </w:p>
    <w:p>
      <w:pPr>
        <w:ind w:left="460" w:hanging="223"/>
        <w:spacing w:after="0" w:line="180" w:lineRule="auto"/>
        <w:tabs>
          <w:tab w:leader="none" w:pos="4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use third-party software and data that may be difficult to replace or cause errors or failures of our solutions that could lead to lost customers or harm to our reputation and our operating results.</w:t>
      </w: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proprietary technology and intellectual property rights could substantially harm our business and operating results.</w:t>
      </w:r>
    </w:p>
    <w:p>
      <w:pPr>
        <w:spacing w:after="0" w:line="9" w:lineRule="exact"/>
        <w:rPr>
          <w:rFonts w:ascii="Times New Roman" w:cs="Times New Roman" w:eastAsia="Times New Roman" w:hAnsi="Times New Roman"/>
          <w:sz w:val="18"/>
          <w:szCs w:val="18"/>
          <w:color w:val="auto"/>
        </w:rPr>
      </w:pPr>
    </w:p>
    <w:p>
      <w:pPr>
        <w:ind w:left="460" w:hanging="223"/>
        <w:spacing w:after="0" w:line="180" w:lineRule="auto"/>
        <w:tabs>
          <w:tab w:leader="none" w:pos="46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Assertions by third parties of infringement or other violations by us of their intellectual property rights could result in significant costs and harm our business and operating results.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740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00" w:type="dxa"/>
            <w:vAlign w:val="bottom"/>
          </w:tcPr>
          <w:p>
            <w:pPr>
              <w:spacing w:after="0"/>
              <w:rPr>
                <w:sz w:val="24"/>
                <w:szCs w:val="24"/>
                <w:color w:val="auto"/>
              </w:rPr>
            </w:pPr>
          </w:p>
        </w:tc>
        <w:tc>
          <w:tcPr>
            <w:tcW w:w="740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Qualys, Inc.</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74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740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00" w:type="dxa"/>
            <w:vAlign w:val="bottom"/>
          </w:tcPr>
          <w:p>
            <w:pPr>
              <w:spacing w:after="0"/>
              <w:rPr>
                <w:sz w:val="20"/>
                <w:szCs w:val="20"/>
                <w:color w:val="auto"/>
              </w:rPr>
            </w:pPr>
          </w:p>
        </w:tc>
        <w:tc>
          <w:tcPr>
            <w:tcW w:w="740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120,965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137,328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298,124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267,960</w:t>
            </w:r>
          </w:p>
        </w:tc>
      </w:tr>
      <w:tr>
        <w:trPr>
          <w:trHeight w:val="198"/>
        </w:trPr>
        <w:tc>
          <w:tcPr>
            <w:tcW w:w="80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of $978 and $793 as of June 30, 2022 and December 31, 2021,</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97,692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108,998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32,112</w:t>
            </w:r>
          </w:p>
        </w:tc>
      </w:tr>
      <w:tr>
        <w:trPr>
          <w:trHeight w:val="209"/>
        </w:trPr>
        <w:tc>
          <w:tcPr>
            <w:tcW w:w="60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551,740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80,122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111,198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57,830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61,854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 right of use asset</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37,016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35,426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25,087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17,814</w:t>
            </w:r>
          </w:p>
        </w:tc>
      </w:tr>
      <w:tr>
        <w:trPr>
          <w:trHeight w:val="210"/>
        </w:trPr>
        <w:tc>
          <w:tcPr>
            <w:tcW w:w="60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814,559</w:t>
            </w:r>
          </w:p>
        </w:tc>
        <w:tc>
          <w:tcPr>
            <w:tcW w:w="10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32,504</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revenues, current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275,725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257,872</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12,608</w:t>
            </w:r>
          </w:p>
        </w:tc>
      </w:tr>
      <w:tr>
        <w:trPr>
          <w:trHeight w:val="210"/>
        </w:trPr>
        <w:tc>
          <w:tcPr>
            <w:tcW w:w="60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327,389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32,753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35,914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4,898</w:t>
            </w:r>
          </w:p>
        </w:tc>
      </w:tr>
      <w:tr>
        <w:trPr>
          <w:trHeight w:val="210"/>
        </w:trPr>
        <w:tc>
          <w:tcPr>
            <w:tcW w:w="60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392,173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20,000 shares authorized, no shares issued and outstanding at June 30,</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2022 and December 31, 2021</w:t>
            </w:r>
          </w:p>
        </w:tc>
        <w:tc>
          <w:tcPr>
            <w:tcW w:w="260" w:type="dxa"/>
            <w:vAlign w:val="bottom"/>
          </w:tcPr>
          <w:p>
            <w:pPr>
              <w:spacing w:after="0"/>
              <w:rPr>
                <w:sz w:val="20"/>
                <w:szCs w:val="20"/>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 shares authorized; 38,517 and 39,112 shares issued and</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at June 30, 2022 and December 31, 2021, respectively</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493,725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477,323</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(96,301)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(41,655)</w:t>
            </w:r>
          </w:p>
        </w:tc>
      </w:tr>
      <w:tr>
        <w:trPr>
          <w:trHeight w:val="210"/>
        </w:trPr>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74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396,838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60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789,011</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814,559</w:t>
            </w:r>
          </w:p>
        </w:tc>
      </w:tr>
      <w:tr>
        <w:trPr>
          <w:trHeight w:val="20"/>
        </w:trPr>
        <w:tc>
          <w:tcPr>
            <w:tcW w:w="6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89"/>
        </w:trPr>
        <w:tc>
          <w:tcPr>
            <w:tcW w:w="128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258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Qualys, Inc.</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2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8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7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119,893</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233,313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196,458</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25,046</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49,048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43,232</w:t>
            </w: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94,847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184,265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153,226</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24,791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47,898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37,554</w:t>
            </w:r>
          </w:p>
        </w:tc>
      </w:tr>
      <w:tr>
        <w:trPr>
          <w:trHeight w:val="216"/>
        </w:trPr>
        <w:tc>
          <w:tcPr>
            <w:tcW w:w="3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23,730</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17,770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43,872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35,759</w:t>
            </w:r>
          </w:p>
        </w:tc>
      </w:tr>
      <w:tr>
        <w:trPr>
          <w:trHeight w:val="216"/>
        </w:trPr>
        <w:tc>
          <w:tcPr>
            <w:tcW w:w="3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13,333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25,967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53,256</w:t>
            </w:r>
          </w:p>
        </w:tc>
      </w:tr>
      <w:tr>
        <w:trPr>
          <w:trHeight w:val="20"/>
        </w:trPr>
        <w:tc>
          <w:tcPr>
            <w:tcW w:w="128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61,854</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117,737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126,569</w:t>
            </w: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32,993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29,362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66,528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26,657</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839</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1,313</w:t>
            </w:r>
          </w:p>
        </w:tc>
      </w:tr>
      <w:tr>
        <w:trPr>
          <w:trHeight w:val="216"/>
        </w:trPr>
        <w:tc>
          <w:tcPr>
            <w:tcW w:w="3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r>
      <w:tr>
        <w:trPr>
          <w:trHeight w:val="20"/>
        </w:trPr>
        <w:tc>
          <w:tcPr>
            <w:tcW w:w="128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(871)</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32,122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65,465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27,642</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5,526</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8,707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13,459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6,272</w:t>
            </w: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26,596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52,006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21,370</w:t>
            </w:r>
          </w:p>
        </w:tc>
      </w:tr>
      <w:tr>
        <w:trPr>
          <w:trHeight w:val="196"/>
        </w:trPr>
        <w:tc>
          <w:tcPr>
            <w:tcW w:w="364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23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3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364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5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0.53</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0.53</w:t>
            </w: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2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used in computing net income per share:</w:t>
            </w: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38,738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39,099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38,864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39,154</w:t>
            </w: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40" w:type="dxa"/>
            <w:vAlign w:val="bottom"/>
            <w:gridSpan w:val="2"/>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39,689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40,077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39,844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40,253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89"/>
        </w:trPr>
        <w:tc>
          <w:tcPr>
            <w:tcW w:w="128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172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Qualys, Inc.</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20" w:type="dxa"/>
            <w:vAlign w:val="bottom"/>
            <w:gridSpan w:val="9"/>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72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72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22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21,142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52,006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21,370</w:t>
            </w:r>
          </w:p>
        </w:tc>
      </w:tr>
      <w:tr>
        <w:trPr>
          <w:trHeight w:val="216"/>
        </w:trPr>
        <w:tc>
          <w:tcPr>
            <w:tcW w:w="4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260" w:type="dxa"/>
            <w:vAlign w:val="bottom"/>
            <w:gridSpan w:val="4"/>
            <w:shd w:val="clear" w:color="auto" w:fill="CCEEFF"/>
          </w:tcPr>
          <w:p>
            <w:pPr>
              <w:ind w:left="660"/>
              <w:spacing w:after="0" w:line="198" w:lineRule="exact"/>
              <w:rPr>
                <w:sz w:val="20"/>
                <w:szCs w:val="20"/>
                <w:color w:val="auto"/>
              </w:rPr>
            </w:pPr>
            <w:r>
              <w:rPr>
                <w:rFonts w:ascii="Times New Roman" w:cs="Times New Roman" w:eastAsia="Times New Roman" w:hAnsi="Times New Roman"/>
                <w:sz w:val="18"/>
                <w:szCs w:val="18"/>
                <w:color w:val="auto"/>
              </w:rPr>
              <w:t>Net change in unrealized losses on available-for-sale debt securities, net</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5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of tax</w:t>
            </w: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(933)</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(3,061)</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59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Net change in unrealized gains on cash flow hedges, net of tax</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r>
      <w:tr>
        <w:trPr>
          <w:trHeight w:val="20"/>
        </w:trPr>
        <w:tc>
          <w:tcPr>
            <w:tcW w:w="1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128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26,641</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20,757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50,374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21,589</w:t>
            </w:r>
          </w:p>
        </w:tc>
      </w:tr>
      <w:tr>
        <w:trPr>
          <w:trHeight w:val="20"/>
        </w:trPr>
        <w:tc>
          <w:tcPr>
            <w:tcW w:w="1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89"/>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Qualys, Inc.</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6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0" w:type="dxa"/>
            <w:vAlign w:val="bottom"/>
            <w:gridSpan w:val="7"/>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52,006</w:t>
            </w:r>
          </w:p>
        </w:tc>
        <w:tc>
          <w:tcPr>
            <w:tcW w:w="10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21,370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17,869</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Bad debt expense</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4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46,755</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Amortization of premiums on marketable securities</w:t>
            </w:r>
          </w:p>
        </w:tc>
        <w:tc>
          <w:tcPr>
            <w:tcW w:w="4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2,029</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(10,861)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(722)</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13,983</w:t>
            </w:r>
          </w:p>
        </w:tc>
      </w:tr>
      <w:tr>
        <w:trPr>
          <w:trHeight w:val="216"/>
        </w:trPr>
        <w:tc>
          <w:tcPr>
            <w:tcW w:w="8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4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(6,014)</w:t>
            </w:r>
          </w:p>
        </w:tc>
      </w:tr>
      <w:tr>
        <w:trPr>
          <w:trHeight w:val="216"/>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w:t>
            </w:r>
          </w:p>
        </w:tc>
      </w:tr>
      <w:tr>
        <w:trPr>
          <w:trHeight w:val="216"/>
        </w:trPr>
        <w:tc>
          <w:tcPr>
            <w:tcW w:w="8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Accrued liabilities</w:t>
            </w:r>
          </w:p>
        </w:tc>
        <w:tc>
          <w:tcPr>
            <w:tcW w:w="4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3,032</w:t>
            </w:r>
          </w:p>
        </w:tc>
      </w:tr>
      <w:tr>
        <w:trPr>
          <w:trHeight w:val="216"/>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Deferred revenues</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12,827</w:t>
            </w:r>
          </w:p>
        </w:tc>
      </w:tr>
      <w:tr>
        <w:trPr>
          <w:trHeight w:val="210"/>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112,240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investing activities: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4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(177,171)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(201,411)</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173,922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205,143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4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(11,150)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(12,911)</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4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44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(117,813)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(63,252)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w:t>
            </w:r>
          </w:p>
        </w:tc>
        <w:tc>
          <w:tcPr>
            <w:tcW w:w="44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(21,017)</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through employee stock purchase plan</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payments under finance lease obligations</w:t>
            </w:r>
          </w:p>
        </w:tc>
        <w:tc>
          <w:tcPr>
            <w:tcW w:w="44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09"/>
        </w:trPr>
        <w:tc>
          <w:tcPr>
            <w:tcW w:w="8000" w:type="dxa"/>
            <w:vAlign w:val="bottom"/>
            <w:tcBorders>
              <w:top w:val="single" w:sz="8" w:color="CCEEFF"/>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44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(16,363)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23,146</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122,165</w:t>
            </w:r>
          </w:p>
        </w:tc>
        <w:tc>
          <w:tcPr>
            <w:tcW w:w="10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98,478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00" w:type="dxa"/>
            <w:vAlign w:val="bottom"/>
          </w:tcPr>
          <w:p>
            <w:pPr>
              <w:spacing w:after="0"/>
              <w:rPr>
                <w:sz w:val="18"/>
                <w:szCs w:val="18"/>
                <w:color w:val="auto"/>
              </w:rPr>
            </w:pPr>
          </w:p>
        </w:tc>
        <w:tc>
          <w:tcPr>
            <w:tcW w:w="2200" w:type="dxa"/>
            <w:vAlign w:val="bottom"/>
            <w:gridSpan w:val="6"/>
            <w:vMerge w:val="restart"/>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tcPr>
          <w:p>
            <w:pPr>
              <w:spacing w:after="0"/>
              <w:rPr>
                <w:sz w:val="18"/>
                <w:szCs w:val="18"/>
                <w:color w:val="auto"/>
              </w:rPr>
            </w:pPr>
          </w:p>
        </w:tc>
        <w:tc>
          <w:tcPr>
            <w:tcW w:w="2200" w:type="dxa"/>
            <w:vAlign w:val="bottom"/>
            <w:gridSpan w:val="6"/>
            <w:vMerge w:val="continue"/>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30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8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5"/>
        </w:trPr>
        <w:tc>
          <w:tcPr>
            <w:tcW w:w="4400" w:type="dxa"/>
            <w:vAlign w:val="bottom"/>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2021</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39,112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477,323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(41,655)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436,714</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25,410</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25,410</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(1,677)</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(1,677)</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2,569</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2,569</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(4,416)</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(42,165)</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(46,581)</w:t>
            </w: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(3,631)</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(3,631)</w:t>
            </w: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 through employee stock purchase</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plan</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2,086</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2,086</w:t>
            </w: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11,745</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11,745</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38,875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485,676</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(670)</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(58,410)</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426,635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26,596</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26,596</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6,504</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6,504</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(6,745)</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(64,487)</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(71,232)</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units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(4,530)</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(4,530)</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12,820</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12,820</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June 30,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38,517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493,725</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(625)</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(96,301)</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396,838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4400" w:type="dxa"/>
            <w:vAlign w:val="bottom"/>
          </w:tcPr>
          <w:p>
            <w:pPr>
              <w:spacing w:after="0"/>
              <w:rPr>
                <w:sz w:val="24"/>
                <w:szCs w:val="24"/>
                <w:color w:val="auto"/>
              </w:rPr>
            </w:pPr>
          </w:p>
        </w:tc>
        <w:tc>
          <w:tcPr>
            <w:tcW w:w="2200" w:type="dxa"/>
            <w:vAlign w:val="bottom"/>
            <w:gridSpan w:val="6"/>
            <w:vMerge w:val="restart"/>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400" w:type="dxa"/>
            <w:vAlign w:val="bottom"/>
          </w:tcPr>
          <w:p>
            <w:pPr>
              <w:spacing w:after="0"/>
              <w:rPr>
                <w:sz w:val="18"/>
                <w:szCs w:val="18"/>
                <w:color w:val="auto"/>
              </w:rPr>
            </w:pPr>
          </w:p>
        </w:tc>
        <w:tc>
          <w:tcPr>
            <w:tcW w:w="2200" w:type="dxa"/>
            <w:vAlign w:val="bottom"/>
            <w:gridSpan w:val="6"/>
            <w:vMerge w:val="continue"/>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30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8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5"/>
        </w:trPr>
        <w:tc>
          <w:tcPr>
            <w:tcW w:w="4400" w:type="dxa"/>
            <w:vAlign w:val="bottom"/>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39,253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401,359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(484)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3,568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404,482</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228</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604</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2,264</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2,264</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(3,232)</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(27,797)</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(31,029)</w:t>
            </w: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(17,643)</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(17,643)</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38,202</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38,202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2021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39,203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420,950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(24,001)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397,108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21,142</w:t>
            </w: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21,142</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2,174</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2,174</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(3,796)</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(28,427)</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(32,223)</w:t>
            </w:r>
          </w:p>
        </w:tc>
        <w:tc>
          <w:tcPr>
            <w:tcW w:w="0" w:type="dxa"/>
            <w:vAlign w:val="bottom"/>
          </w:tcPr>
          <w:p>
            <w:pPr>
              <w:spacing w:after="0"/>
              <w:rPr>
                <w:sz w:val="1"/>
                <w:szCs w:val="1"/>
                <w:color w:val="auto"/>
              </w:rPr>
            </w:pPr>
          </w:p>
        </w:tc>
      </w:tr>
      <w:tr>
        <w:trPr>
          <w:trHeight w:val="189"/>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(3,374)</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(3,374)</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8,553</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8,553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June 30, 2021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38,995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424,507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(265</w:t>
            </w: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(31,286)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392,995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Description of Business and Summary of 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Qualys, Inc. (the “Company”, "we", "us", "our") was incorporated in the state of Delaware on December 30, 1999. The Company is headquartered in Foster City, California and has wholly-owned subsidiaries throughout the world. The Company is a leading provider of cloud-based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condensed footnotes have been prepared in accordance with accounting principles generally accepted in the United States ("U.S. GAAP") for interim financial information as well as the instructions to Form 10-Q and the rules and regulations of the U.S. Securities and Exchange Commission ("SEC"). Certain information and disclosures normally included in the financial statements prepared in accordance with U.S. GAAP have been condensed or omitted pursuant to such rules and regulations. The condensed consolidated balance sheet as of December 31, 2021,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statement of the financial position, results of operations and cash flows for the interim periods. The results of operations for the three and six months ended June 30, 2022 are not necessarily indicative of the results of operations expected for the entire year ending December 31, 2022 or for any other future annual or interim periods. These condensed consolidated financial statements should be read in conjunction with the consolidated financial statements and related notes included in the Company’s Annual Report on Form 10-K for the year ended December 31, 2021 filed with the SEC on February 22, 2022.</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as a pandemic. As a result of COVID-19, the Company temporarily modified certain aspects of its business, including restricting employee travel, requiring employees to work from home, and canceling certain events and meetings, among other modifications. While the Company has resumed in-office work, employee travel, and in-person events and meetings, the Company will continue to actively monitor the situation and may take actions that alter its business operations as may be required by federal, state or local authorities or that the Company determines are in the best interests of its employees, customers, partners, suppliers and stockholders. While the Company has not incurred significant disruptions from the ongoing COVID-19 pandemic to date and does not expect the pandemic will have a significant impact on the Company's business throughout the remainder of 2022, the Company is unable to accurately predict the full impact that COVID-19 will have due to numerous uncertainties, including the duration of the outbreak, actions that may be taken by governmental authorities and the impact to the business of the Company's customers and partners. The Company will continue to evaluate the nature and extent of the impact to its business, financial position, results of operations and cash flows.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condensed consolidated financial statements and the reported results of operations during the reporting period. The Company’s management regularly assesses these estimates, which primarily affect revenue recognition, allowance for credit loss, the valuation of goodwill and intangible assets, leases, stock-based compensation and income tax provision. Actual results could differ from those estimates and such differences may be material to the accompanying unaudited condensed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Non-Marketable Securities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fiscal year ended December 31, 2018, the Company invested $2.5 million in preferred stock of a privately-held company. The fair value of the investment is not readily available, and there are no quoted market prices for the investment. The Company accounts for the investment at cost less impairment and will measure the investment at fair value when the Company identifies observable price changes. The investment is assessed for impairment whenever events or changes in circumstances indicate that the carrying amount may not be recoverable. No impairment has been incurred related to the investment. The investment is included in other noncurrent assets on the condensed consolidated balance sheets. The Company has not received any dividends from the investment.</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does not believe any new accounting pronouncements issued by the FASB that have not become effective will have a material impact on its condensed consolidated financial statements.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set forth in "Note 1" of Notes to Consolidated Financial Statements included in the Company’s Annual Report on Form 10-K for the year ended December 31, 2021.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accrued liabilities, the carrying amounts approximate their fair values due to the relatively short maturity of these balances.</w:t>
      </w:r>
    </w:p>
    <w:p>
      <w:pPr>
        <w:spacing w:after="0" w:line="176" w:lineRule="exact"/>
        <w:rPr>
          <w:sz w:val="20"/>
          <w:szCs w:val="20"/>
          <w:color w:val="auto"/>
        </w:rPr>
      </w:pPr>
    </w:p>
    <w:p>
      <w:pPr>
        <w:ind w:right="180" w:firstLine="402"/>
        <w:spacing w:after="0" w:line="261" w:lineRule="auto"/>
        <w:rPr>
          <w:sz w:val="20"/>
          <w:szCs w:val="20"/>
          <w:color w:val="auto"/>
        </w:rPr>
      </w:pPr>
      <w:r>
        <w:rPr>
          <w:rFonts w:ascii="Times New Roman" w:cs="Times New Roman" w:eastAsia="Times New Roman" w:hAnsi="Times New Roman"/>
          <w:sz w:val="18"/>
          <w:szCs w:val="18"/>
          <w:color w:val="auto"/>
        </w:rPr>
        <w:t>The Company measures and reports certain cash equivalents, marketable securities,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-Valuations based on quoted prices in active markets for identical assets or liabilities.</w:t>
      </w:r>
    </w:p>
    <w:p>
      <w:pPr>
        <w:spacing w:after="0" w:line="225"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-Valuations based on other than quoted prices in active markets for identical assets and liabilities, including quoted prices for identical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in less active or inactive markets, quoted prices for similar assets or liabilities in active markets, or inputs other than quoted prices that are observable for substantially the full term of the assets or liabilities.</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Valuations based on inputs that are generally unobservable and typically reflect management’s estimates of assumptions that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would use in pricing the asset or liability.</w:t>
      </w:r>
    </w:p>
    <w:p>
      <w:pPr>
        <w:spacing w:after="0" w:line="16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fixed-income U.S. Treasury and government agency securities, commercial paper, corporate bonds, asset-backed securities, foreign government securities and derivative financial instruments consisting of foreign currency forward contracts. The securities, bonds and commercial paper are valued using prices from independent pricing services based on quoted prices of identical instruments in less active or inactive markets, quoted prices of similar instruments in active markets, or industry models using data inputs such as interest rates and prices that can be directly observed or corroborated in active markets. The foreign currency forward contracts are valued using observable inputs, such as quotations on forward foreign exchange points and foreign interest rates.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cash and cash equivalents, and marketable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84,920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84,920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35,046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35,046</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32,137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32,100</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38,525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38,185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Asset-backed securities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228,376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226,831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government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09"/>
        </w:trPr>
        <w:tc>
          <w:tcPr>
            <w:tcW w:w="4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300,050</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36,998</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36,007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Asset-backed securities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23,310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23,143</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21,137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20,972</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81,445</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line="250" w:lineRule="exact"/>
              <w:rPr>
                <w:sz w:val="20"/>
                <w:szCs w:val="20"/>
                <w:color w:val="auto"/>
              </w:rPr>
            </w:pPr>
            <w:r>
              <w:rPr>
                <w:rFonts w:ascii="Times New Roman" w:cs="Times New Roman" w:eastAsia="Times New Roman" w:hAnsi="Times New Roman"/>
                <w:sz w:val="15"/>
                <w:szCs w:val="15"/>
                <w:color w:val="auto"/>
              </w:rPr>
              <w:t>(1,326</w:t>
            </w:r>
            <w:r>
              <w:rPr>
                <w:rFonts w:ascii="Times New Roman" w:cs="Times New Roman" w:eastAsia="Times New Roman" w:hAnsi="Times New Roman"/>
                <w:sz w:val="28"/>
                <w:szCs w:val="28"/>
                <w:color w:val="auto"/>
                <w:vertAlign w:val="superscript"/>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80,122</w:t>
            </w: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502,460</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280" w:type="dxa"/>
            <w:vAlign w:val="bottom"/>
            <w:tcBorders>
              <w:top w:val="single" w:sz="8" w:color="0000EE"/>
            </w:tcBorders>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61,220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61,220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75,258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75,258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137,328</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Short-term marketable securities:(1)</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18,046</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18,046</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28,869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28,963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3,952</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216,999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267,960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57,762</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57,740</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14,941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37,664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37,528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government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111,374</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111,198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516,729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516,486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for correction of classification of amounts and security types disclosed in Note 2 to the consolidated financial statements in our Annual Report on Form 10-K for the fiscal year ended December 31, 2021.</w:t>
      </w:r>
    </w:p>
    <w:p>
      <w:pPr>
        <w:spacing w:after="0" w:line="162" w:lineRule="exact"/>
        <w:rPr>
          <w:sz w:val="20"/>
          <w:szCs w:val="20"/>
          <w:color w:val="auto"/>
        </w:rPr>
      </w:pPr>
    </w:p>
    <w:p>
      <w:pPr>
        <w:ind w:left="160" w:right="20" w:firstLine="260"/>
        <w:spacing w:after="0" w:line="277" w:lineRule="auto"/>
        <w:rPr>
          <w:sz w:val="20"/>
          <w:szCs w:val="20"/>
          <w:color w:val="auto"/>
        </w:rPr>
      </w:pPr>
      <w:r>
        <w:rPr>
          <w:rFonts w:ascii="Times New Roman" w:cs="Times New Roman" w:eastAsia="Times New Roman" w:hAnsi="Times New Roman"/>
          <w:sz w:val="17"/>
          <w:szCs w:val="17"/>
          <w:color w:val="auto"/>
        </w:rPr>
        <w:t>As of June 30, 2022 the total unrealized loss from marketable securities that had been in a continuous unrealized loss position for 12 months or longer was not material. The Company had the ability and intent to hold all marketable securities that were in an unrealized loss position until recovery of the amortized cost basis. The Company considered the extent to which fair value was less than amortized cost basis and conditions related to security’s industry and geography and changes to the ratings, if any, and concluded the decline in fair value compared to carrying value was not related to credit loss. As of December 31, 2021, there were no marketable securities that had been in a continuous unrealized loss position for 12 months or longer.</w:t>
      </w:r>
    </w:p>
    <w:p>
      <w:pPr>
        <w:spacing w:after="0" w:line="16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fair value of the Company's cash equivalents and marketable securities measured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35,046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33,099</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74,192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23,148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247,803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247,803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Foreign government</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w:t>
            </w:r>
          </w:p>
        </w:tc>
      </w:tr>
      <w:tr>
        <w:trPr>
          <w:trHeight w:val="25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r>
      <w:tr>
        <w:trPr>
          <w:trHeight w:val="209"/>
        </w:trPr>
        <w:tc>
          <w:tcPr>
            <w:tcW w:w="4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75,258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75,258</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18,896</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86,703</w:t>
            </w: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18,863</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254,527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254,527</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Foreign government</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r>
      <w:tr>
        <w:trPr>
          <w:trHeight w:val="20"/>
        </w:trPr>
        <w:tc>
          <w:tcPr>
            <w:tcW w:w="4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75,258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380,008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455,266</w:t>
            </w: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50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7780" w:type="dxa"/>
            <w:vAlign w:val="bottom"/>
            <w:gridSpan w:val="10"/>
          </w:tcPr>
          <w:p>
            <w:pPr>
              <w:ind w:left="420"/>
              <w:spacing w:after="0"/>
              <w:rPr>
                <w:sz w:val="20"/>
                <w:szCs w:val="20"/>
                <w:color w:val="auto"/>
              </w:rPr>
            </w:pPr>
            <w:r>
              <w:rPr>
                <w:rFonts w:ascii="Times New Roman" w:cs="Times New Roman" w:eastAsia="Times New Roman" w:hAnsi="Times New Roman"/>
                <w:sz w:val="18"/>
                <w:szCs w:val="18"/>
                <w:color w:val="auto"/>
              </w:rPr>
              <w:t>The following summarizes the fair value of marketable securities by contractual maturity:</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right"/>
              <w:ind w:right="13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12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Mature after One</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Mature within</w:t>
            </w:r>
          </w:p>
        </w:tc>
        <w:tc>
          <w:tcPr>
            <w:tcW w:w="100" w:type="dxa"/>
            <w:vAlign w:val="bottom"/>
          </w:tcPr>
          <w:p>
            <w:pPr>
              <w:spacing w:after="0"/>
              <w:rPr>
                <w:sz w:val="18"/>
                <w:szCs w:val="18"/>
                <w:color w:val="auto"/>
              </w:rPr>
            </w:pPr>
          </w:p>
        </w:tc>
        <w:tc>
          <w:tcPr>
            <w:tcW w:w="168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0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Mature over</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20" w:type="dxa"/>
            <w:vAlign w:val="bottom"/>
            <w:gridSpan w:val="2"/>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through Two Years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Two Years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780" w:type="dxa"/>
            <w:vAlign w:val="bottom"/>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33,099</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26,411</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9,596</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74,192</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10,238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12,905</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23,148</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226,831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20,972</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247,803</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w:t>
            </w:r>
          </w:p>
        </w:tc>
      </w:tr>
      <w:tr>
        <w:trPr>
          <w:trHeight w:val="209"/>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299,123</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57,621</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379,245</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Designated cash flow hedges</w:t>
      </w:r>
    </w:p>
    <w:p>
      <w:pPr>
        <w:spacing w:after="0" w:line="22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reduce the risk of variability in future cash flow due to foreign currency exchange rate fluctuations from certain forecasted subscription revenue orders billed in British Pound ("GBP") and Euro and operating expenses incurred in Indian Rupee ("INR"), which are designated as cash flow hedges. Unrealized foreign exchange gains or losses related to those designated cash flow hedge contracts are recorded in Accumulated other comprehensive income ("AOCI") and will be reclassified into revenues or operating expenses, respectively, in the same periods when the hedged transactions are recognized in earnings.</w:t>
      </w:r>
    </w:p>
    <w:p>
      <w:pPr>
        <w:spacing w:after="0" w:line="18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June 30, 2022, the Company had designated cash flow hedge forward contracts with notional amounts of €29.4 million, £9.1 million and Rs.3,211.0 million. As of December 31, 2021, the Company had designated cash flow hedge forward contracts with notional amounts of €29.8 million, £9.4 million and Rs.2,955.3 million. As of June 30, 2022, a net amount of unrealized gain of $3.4 million before tax on the foreign currency forward contracts for GBP and Euro reported in AOCI is expected to be reclassified into revenue within the next 12 months. As of June 30, 2022, the net amount of unrealized loss on the foreign currency forward contracts for INR reported in AOCI of $1.1 million is expected to be reclassified into operating expense within the next 12 months.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Non-designated forward contracts</w:t>
      </w:r>
    </w:p>
    <w:p>
      <w:pPr>
        <w:spacing w:after="0" w:line="22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also uses foreign currency forward contracts to hedge certain foreign currency denominated assets or liabilities, which are not designated as cash flow hedges.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non-designated forward contracts with notional amounts of €38.1 million, £17.1 million, Rs.281.6 million and Canadian Dollar ("C$") 1.1 million. As of December 31, 2021, the Company had non-designated forward contracts with notional amounts of €34.5 million, £11.6 million, Rs.74.9 million, C$2.5 million and CHF1.0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summarizes derivative financial instruments as of June 30, 2022 and December 31, 2021:</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58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 designated as cash flow hedge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 not designated as hedging instruments</w:t>
            </w:r>
          </w:p>
        </w:tc>
        <w:tc>
          <w:tcPr>
            <w:tcW w:w="96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49"/>
        </w:trPr>
        <w:tc>
          <w:tcPr>
            <w:tcW w:w="800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 designated as cash flow hedge</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(1,150)</w:t>
            </w:r>
          </w:p>
        </w:tc>
        <w:tc>
          <w:tcPr>
            <w:tcW w:w="6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 not designated as hedging instruments</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(207)</w:t>
            </w:r>
          </w:p>
        </w:tc>
      </w:tr>
      <w:tr>
        <w:trPr>
          <w:trHeight w:val="250"/>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1"/>
              </w:rPr>
              <w:t>(388)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foreign currency forward contracts were valued at fair value using Level 2 inputs.</w:t>
      </w:r>
    </w:p>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summarizes the gains (losses) recognized from forward contracts and other foreign currency transactions in other income (expense), net on the condensed consolidated statements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3"/>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1080" w:type="dxa"/>
            <w:vAlign w:val="bottom"/>
            <w:gridSpan w:val="2"/>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w w:val="78"/>
              </w:rPr>
              <w:t>thousands)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from non-designated forward contracts</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3,810</w:t>
            </w:r>
          </w:p>
        </w:tc>
        <w:tc>
          <w:tcPr>
            <w:tcW w:w="82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4,965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foreign currency transaction gains (losses)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(5,520)</w:t>
            </w:r>
          </w:p>
        </w:tc>
        <w:tc>
          <w:tcPr>
            <w:tcW w:w="8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(7,338)</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(1,228)</w:t>
            </w:r>
          </w:p>
        </w:tc>
      </w:tr>
      <w:tr>
        <w:trPr>
          <w:trHeight w:val="20"/>
        </w:trPr>
        <w:tc>
          <w:tcPr>
            <w:tcW w:w="4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foreign exchange losses, net</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(1,710)</w:t>
            </w: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r>
      <w:tr>
        <w:trPr>
          <w:trHeight w:val="20"/>
        </w:trPr>
        <w:tc>
          <w:tcPr>
            <w:tcW w:w="45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4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(1,710)</w:t>
            </w:r>
          </w:p>
        </w:tc>
        <w:tc>
          <w:tcPr>
            <w:tcW w:w="82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(2,420)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r>
      <w:tr>
        <w:trPr>
          <w:trHeight w:val="628"/>
        </w:trPr>
        <w:tc>
          <w:tcPr>
            <w:tcW w:w="454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5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22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components and changes in accumulated other comprehensive income (loss) for the three and six months ended June 30, 2022 and 2021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(185</w:t>
            </w: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1,192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1,007</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unrealized gains (losses)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(1,422)</w:t>
            </w:r>
          </w:p>
        </w:tc>
      </w:tr>
      <w:tr>
        <w:trPr>
          <w:trHeight w:val="216"/>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gains reclassified into income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change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(1,677)</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2022</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(2,313</w:t>
            </w: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(670</w:t>
            </w:r>
            <w:r>
              <w:rPr>
                <w:rFonts w:ascii="Times New Roman" w:cs="Times New Roman" w:eastAsia="Times New Roman" w:hAnsi="Times New Roman"/>
                <w:sz w:val="18"/>
                <w:szCs w:val="18"/>
                <w:color w:val="auto"/>
              </w:rPr>
              <w:t>)</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Change in unrealized gains (losses) during the period</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(933)</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1,548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615</w:t>
            </w:r>
          </w:p>
        </w:tc>
      </w:tr>
      <w:tr>
        <w:trPr>
          <w:trHeight w:val="216"/>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gains reclassified into income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change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(933)</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2022</w:t>
            </w: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w:t>
            </w:r>
          </w:p>
        </w:tc>
      </w:tr>
      <w:tr>
        <w:trPr>
          <w:trHeight w:val="197"/>
        </w:trPr>
        <w:tc>
          <w:tcPr>
            <w:tcW w:w="52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(1,708</w:t>
            </w: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(484</w:t>
            </w:r>
            <w:r>
              <w:rPr>
                <w:rFonts w:ascii="Times New Roman" w:cs="Times New Roman" w:eastAsia="Times New Roman" w:hAnsi="Times New Roman"/>
                <w:sz w:val="18"/>
                <w:szCs w:val="18"/>
                <w:color w:val="auto"/>
              </w:rPr>
              <w:t>)</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unrealized gains (losses)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losses reclassified into income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change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2021</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835</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(715</w:t>
            </w: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120</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Change in unrealized losses during the period</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(667)</w:t>
            </w:r>
          </w:p>
        </w:tc>
      </w:tr>
      <w:tr>
        <w:trPr>
          <w:trHeight w:val="216"/>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losses reclassified into income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change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2021</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633</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(265</w:t>
            </w:r>
            <w:r>
              <w:rPr>
                <w:rFonts w:ascii="Times New Roman" w:cs="Times New Roman" w:eastAsia="Times New Roman" w:hAnsi="Times New Roman"/>
                <w:sz w:val="18"/>
                <w:szCs w:val="18"/>
                <w:color w:val="auto"/>
              </w:rPr>
              <w:t>)</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effects on income before income taxes of amounts reclassified from AOCI to the condensed consolidated statements of operations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4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(in</w:t>
            </w:r>
          </w:p>
        </w:tc>
        <w:tc>
          <w:tcPr>
            <w:tcW w:w="1020" w:type="dxa"/>
            <w:vAlign w:val="bottom"/>
            <w:gridSpan w:val="2"/>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78"/>
              </w:rPr>
              <w:t>thousands)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AOCI - Available-for-sale debt securities</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AOCI - Cash flow hedges</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269</w:t>
            </w: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244</w:t>
            </w:r>
          </w:p>
        </w:tc>
        <w:tc>
          <w:tcPr>
            <w:tcW w:w="7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 Net</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660" w:type="dxa"/>
            <w:vAlign w:val="bottom"/>
            <w:gridSpan w:val="5"/>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0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161,809</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25,807</w:t>
            </w: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21,092</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Scanner appliances</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16,510</w:t>
            </w: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6,479</w:t>
            </w:r>
          </w:p>
        </w:tc>
      </w:tr>
      <w:tr>
        <w:trPr>
          <w:trHeight w:val="210"/>
        </w:trPr>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231,697</w:t>
            </w:r>
          </w:p>
        </w:tc>
        <w:tc>
          <w:tcPr>
            <w:tcW w:w="10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(182,947)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(169,843)</w:t>
            </w:r>
          </w:p>
        </w:tc>
      </w:tr>
      <w:tr>
        <w:trPr>
          <w:trHeight w:val="209"/>
        </w:trPr>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61,854</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June 30, 2022 and December 31, 2021, physical scanner appliances and other computer equipment that are or will be subject to leases by customers had a net carrying value of $5.0 million and $5.3 million, respectively, including assets that had not been placed in service of $3.6 million and $1.3 million, respectively. Depreciation and amortization expenses relating to property and equipment were $6.9 million for each of the three months ended June 30, 2022 and 2021, and $14.0 million and $14.2 million for the six months ended June 30, 2022 and 2021,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or due in advance of its performance obligations offset by revenue recognized in the period. Revenues of $75.9 million and $63.5 million were recognized during the three months ended June 30, 2022 and 2021, respectively, which amounts were included in the deferred revenue balances as of December 31, 2021 and 2020, respectively. Revenues of $175.9 million and $147.0 million were recognized during the six months ended June 30, 2022 and 2021, respectively, which amounts were included in the deferred revenue balances as of December 31, 2021 and 2020, respectively.</w:t>
      </w:r>
    </w:p>
    <w:p>
      <w:pPr>
        <w:spacing w:after="0" w:line="18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Company's payment terms vary by the type and location of its customers. The term between invoicing and when payment is due is not significant. In certain circumstances, based on the credit quality of the customer, the Company requires payment before the products or services are delivered to the customer.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table sets forth the expected revenue from all remaining performance obligations as of June 30, 2022:</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six months)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81,069</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126,104</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54,405</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7,507</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49"/>
        </w:trPr>
        <w:tc>
          <w:tcPr>
            <w:tcW w:w="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Total</w:t>
            </w:r>
          </w:p>
        </w:tc>
        <w:tc>
          <w:tcPr>
            <w:tcW w:w="884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Revenues allocated to remaining performance obligations represents the transaction price of noncancelable orders for which service has not been performed, which include deferred revenue and the amounts that will be invoiced and recognized as revenues in future periods from open contracts and excludes unexercised renewals. The Company applied the short-term contract exemption to exclude the remaining performance obligations that are part of a contract that has an original expected duration of one year or less.</w:t>
      </w:r>
    </w:p>
    <w:p>
      <w:pPr>
        <w:spacing w:after="0" w:line="18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From time to time, the Company enters into contracts with customers that extend beyond one year, with certain of its customers electing to pay for more than one year of services upon contract execution. The Company concluded that these contracts did not contain a financing component.</w:t>
      </w:r>
    </w:p>
    <w:p>
      <w:pPr>
        <w:sectPr>
          <w:pgSz w:w="11900" w:h="16838" w:orient="portrait"/>
          <w:cols w:equalWidth="0" w:num="1">
            <w:col w:w="11240"/>
          </w:cols>
          <w:pgMar w:left="320" w:top="121" w:right="339" w:bottom="623" w:gutter="0" w:footer="0" w:header="0"/>
        </w:sectPr>
      </w:pPr>
    </w:p>
    <w:p>
      <w:pPr>
        <w:spacing w:after="0" w:line="162"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Revenues by sales channel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8"/>
                <w:szCs w:val="18"/>
                <w:color w:val="auto"/>
              </w:rPr>
            </w:pPr>
          </w:p>
        </w:tc>
      </w:tr>
      <w:tr>
        <w:trPr>
          <w:trHeight w:val="191"/>
        </w:trPr>
        <w:tc>
          <w:tcPr>
            <w:tcW w:w="240" w:type="dxa"/>
            <w:vAlign w:val="bottom"/>
          </w:tcPr>
          <w:p>
            <w:pPr>
              <w:spacing w:after="0"/>
              <w:rPr>
                <w:sz w:val="16"/>
                <w:szCs w:val="16"/>
                <w:color w:val="auto"/>
              </w:rPr>
            </w:pPr>
          </w:p>
        </w:tc>
        <w:tc>
          <w:tcPr>
            <w:tcW w:w="88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b w:val="1"/>
                <w:bCs w:val="1"/>
                <w:color w:val="auto"/>
              </w:rPr>
              <w:t>(in</w:t>
            </w:r>
          </w:p>
        </w:tc>
        <w:tc>
          <w:tcPr>
            <w:tcW w:w="1380" w:type="dxa"/>
            <w:vAlign w:val="bottom"/>
            <w:gridSpan w:val="3"/>
          </w:tcPr>
          <w:p>
            <w:pPr>
              <w:jc w:val="right"/>
              <w:ind w:right="610"/>
              <w:spacing w:after="0" w:line="191" w:lineRule="exact"/>
              <w:rPr>
                <w:sz w:val="20"/>
                <w:szCs w:val="20"/>
                <w:color w:val="auto"/>
              </w:rPr>
            </w:pPr>
            <w:r>
              <w:rPr>
                <w:rFonts w:ascii="Times New Roman" w:cs="Times New Roman" w:eastAsia="Times New Roman" w:hAnsi="Times New Roman"/>
                <w:sz w:val="18"/>
                <w:szCs w:val="18"/>
                <w:b w:val="1"/>
                <w:bCs w:val="1"/>
                <w:color w:val="auto"/>
                <w:w w:val="78"/>
              </w:rPr>
              <w:t>thousands)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ind w:left="420"/>
              <w:spacing w:after="0" w:line="191" w:lineRule="exact"/>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line="191" w:lineRule="exact"/>
              <w:rPr>
                <w:sz w:val="20"/>
                <w:szCs w:val="20"/>
                <w:color w:val="auto"/>
              </w:rPr>
            </w:pPr>
            <w:r>
              <w:rPr>
                <w:rFonts w:ascii="Times New Roman" w:cs="Times New Roman" w:eastAsia="Times New Roman" w:hAnsi="Times New Roman"/>
                <w:sz w:val="18"/>
                <w:szCs w:val="18"/>
                <w:b w:val="1"/>
                <w:bCs w:val="1"/>
                <w:color w:val="auto"/>
                <w:w w:val="76"/>
              </w:rPr>
              <w:t>thousands)</w:t>
            </w:r>
          </w:p>
        </w:tc>
        <w:tc>
          <w:tcPr>
            <w:tcW w:w="20" w:type="dxa"/>
            <w:vAlign w:val="bottom"/>
          </w:tcPr>
          <w:p>
            <w:pPr>
              <w:spacing w:after="0"/>
              <w:rPr>
                <w:sz w:val="16"/>
                <w:szCs w:val="16"/>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70,176</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58,782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136,628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116,734</w:t>
            </w:r>
          </w:p>
        </w:tc>
      </w:tr>
      <w:tr>
        <w:trPr>
          <w:trHeight w:val="234"/>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40,920</w:t>
            </w:r>
          </w:p>
        </w:tc>
        <w:tc>
          <w:tcPr>
            <w:tcW w:w="24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96,685</w:t>
            </w: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79,724</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119,893</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99,702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5"/>
              </w:rPr>
              <w:t>233,313</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196,458</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-161925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121" w:right="339" w:bottom="623" w:gutter="0" w:footer="0" w:header="0"/>
          <w:type w:val="continuous"/>
        </w:sect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12, "Segment Information and Information about Geographic Area" for disaggregation of revenue by geographic area.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costs to obtain contracts are as follows: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4,223</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8,727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8,391</w:t>
            </w:r>
          </w:p>
        </w:tc>
      </w:tr>
    </w:tbl>
    <w:p>
      <w:pPr>
        <w:spacing w:after="0" w:line="1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2022 and 2021, the Company recognized $1.2 million and $0.9 million, respectively, of amortization expense relating to deferred costs to obtain contracts in sales and marketing expense in the condensed consolidated statements of operations. For the six months ended June 30, 2022 and 2021, the Company recognized $2.4 million and $1.8 million, respectively, of amortization expense relating to deferred costs to obtain contracts in sales and marketing expense in the condensed consolidated statements of operations. During the same periods, there was no impairment loss related to the deferred costs to obtain contracts.</w:t>
      </w:r>
    </w:p>
    <w:p>
      <w:pPr>
        <w:sectPr>
          <w:pgSz w:w="11900" w:h="16838" w:orient="portrait"/>
          <w:cols w:equalWidth="0" w:num="1">
            <w:col w:w="11240"/>
          </w:cols>
          <w:pgMar w:left="320" w:top="121" w:right="339" w:bottom="623" w:gutter="0" w:footer="0" w:header="0"/>
          <w:type w:val="continuous"/>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23"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Intangible Assets, Net</w:t>
      </w:r>
    </w:p>
    <w:p>
      <w:pPr>
        <w:spacing w:after="0" w:line="2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Intangible assets consist primarily of developed technology and patent licenses acquired from business or asset acquisitions. Acquired intangibles are amortized on a straight-line basis over the respective estimated useful lives of the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carrying values of intangible assets are as follows: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0"/>
                <w:szCs w:val="20"/>
                <w:color w:val="auto"/>
              </w:rPr>
            </w:pPr>
          </w:p>
        </w:tc>
        <w:tc>
          <w:tcPr>
            <w:tcW w:w="10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62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4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4.5</w:t>
            </w: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0.5</w:t>
            </w:r>
          </w:p>
        </w:tc>
        <w:tc>
          <w:tcPr>
            <w:tcW w:w="240" w:type="dxa"/>
            <w:vAlign w:val="bottom"/>
            <w:tcBorders>
              <w:top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28,556</w:t>
            </w:r>
          </w:p>
        </w:tc>
        <w:tc>
          <w:tcPr>
            <w:tcW w:w="520" w:type="dxa"/>
            <w:vAlign w:val="bottom"/>
            <w:tcBorders>
              <w:top w:val="single" w:sz="8" w:color="CCEEFF"/>
            </w:tcBorders>
            <w:gridSpan w:val="2"/>
            <w:shd w:val="clear" w:color="auto" w:fill="CCEEFF"/>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(25,468)</w:t>
            </w:r>
          </w:p>
        </w:tc>
        <w:tc>
          <w:tcPr>
            <w:tcW w:w="14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3,088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 licenses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(1,171)</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intangibles subject to amortization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0"/>
                <w:szCs w:val="20"/>
                <w:color w:val="auto"/>
              </w:rPr>
            </w:pPr>
          </w:p>
        </w:tc>
        <w:tc>
          <w:tcPr>
            <w:tcW w:w="10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62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4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4.5</w:t>
            </w: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0.9</w:t>
            </w:r>
          </w:p>
        </w:tc>
        <w:tc>
          <w:tcPr>
            <w:tcW w:w="240" w:type="dxa"/>
            <w:vAlign w:val="bottom"/>
            <w:tcBorders>
              <w:top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28,556</w:t>
            </w:r>
          </w:p>
        </w:tc>
        <w:tc>
          <w:tcPr>
            <w:tcW w:w="520" w:type="dxa"/>
            <w:vAlign w:val="bottom"/>
            <w:tcBorders>
              <w:top w:val="single" w:sz="8" w:color="CCEEFF"/>
            </w:tcBorders>
            <w:gridSpan w:val="2"/>
            <w:shd w:val="clear" w:color="auto" w:fill="CCEEFF"/>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(22,463)</w:t>
            </w:r>
          </w:p>
        </w:tc>
        <w:tc>
          <w:tcPr>
            <w:tcW w:w="14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6,093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 licenses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(1,121)</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0"/>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intangibles subject to amortization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Intangible asset amortization expense was $1.5 million and $1.6 million for the three months ended June 30, 2022 and 2021, respectively, and $3.2 million and $3.3 million for the six months ended June 30, 2022 and 2021, respectively. Intangible asset amortization expenses were primarily recorded in cost of revenues in the condensed consolidated statements of operations.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2022, the Company expects amortization expense in future periods to be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(remaining six months)</w:t>
            </w:r>
          </w:p>
        </w:tc>
        <w:tc>
          <w:tcPr>
            <w:tcW w:w="5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expected future amortization expense</w:t>
            </w:r>
          </w:p>
        </w:tc>
        <w:tc>
          <w:tcPr>
            <w:tcW w:w="53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536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auto"/>
            </w:tcBorders>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leases certain offices, computer equipment and its data center facilities under non-cancelable operating leases for varying periods through 2028. While under the Company's lease agreements the Company has options to extend its certain leases, the Company has not included renewal options in determining the lease terms for calculating its lease liabilities, as these options are not reasonably certain of being exercised. Lease expense was $3.8 million and $3.6 million for the three months ended June 30, 2022 and 2021, respectively, and $7.3 million and $7.2 million for the six months ended June 30, 2022 and 2021,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2660" w:type="dxa"/>
            <w:vAlign w:val="bottom"/>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w:t>
            </w:r>
          </w:p>
        </w:tc>
        <w:tc>
          <w:tcPr>
            <w:tcW w:w="11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included in the measurement of lease liabilities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8,190</w:t>
            </w:r>
          </w:p>
        </w:tc>
        <w:tc>
          <w:tcPr>
            <w:tcW w:w="10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6,853</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2,486</w:t>
            </w:r>
          </w:p>
        </w:tc>
        <w:tc>
          <w:tcPr>
            <w:tcW w:w="10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1,179</w:t>
            </w:r>
          </w:p>
        </w:tc>
      </w:tr>
    </w:tbl>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of the Company's operating leases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920" w:type="dxa"/>
            <w:vAlign w:val="bottom"/>
          </w:tcPr>
          <w:p>
            <w:pPr>
              <w:spacing w:after="0"/>
              <w:rPr>
                <w:sz w:val="20"/>
                <w:szCs w:val="20"/>
                <w:color w:val="auto"/>
              </w:rPr>
            </w:pPr>
          </w:p>
        </w:tc>
        <w:tc>
          <w:tcPr>
            <w:tcW w:w="1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7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2.9</w:t>
            </w:r>
          </w:p>
        </w:tc>
        <w:tc>
          <w:tcPr>
            <w:tcW w:w="16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4.9%</w:t>
            </w: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5"/>
              </w:rPr>
              <w:t>4.8%</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1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Company maintains director and officer insurance, which may cover certain liabilities arising from its obligation to indemnify its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Stockholders' Equity and Stock-based Compensation</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Restated 2012 Equity Incentive Plan</w:t>
      </w:r>
    </w:p>
    <w:p>
      <w:pPr>
        <w:spacing w:after="0" w:line="227" w:lineRule="exact"/>
        <w:rPr>
          <w:sz w:val="20"/>
          <w:szCs w:val="20"/>
          <w:color w:val="auto"/>
        </w:rPr>
      </w:pPr>
    </w:p>
    <w:p>
      <w:pPr>
        <w:ind w:left="160" w:firstLine="270"/>
        <w:spacing w:after="0" w:line="255" w:lineRule="auto"/>
        <w:rPr>
          <w:sz w:val="20"/>
          <w:szCs w:val="20"/>
          <w:color w:val="auto"/>
        </w:rPr>
      </w:pPr>
      <w:r>
        <w:rPr>
          <w:rFonts w:ascii="Times New Roman" w:cs="Times New Roman" w:eastAsia="Times New Roman" w:hAnsi="Times New Roman"/>
          <w:sz w:val="18"/>
          <w:szCs w:val="18"/>
          <w:color w:val="auto"/>
        </w:rPr>
        <w:t>On June 8, 2022 ("Effective Date"), the Company's stockholders approved the Amended and Restated 2012 Equity Incentive Plan (the "Restated 2012 Plan"). Under the Restated 2012 Plan, the Company is authorized to grant to eligible participants incentive stock options (“ISOs”), nonstatutory stock options (“NSOs”), restricted stock, restricted stock units ("RSUs"), stock appreciation rights ("SARs"), performance units and performance shares. Pursuant to the relevant plan provisions, 3,072 thousand shares were available for grant under the Restated 2012 Plan on the Effective Date. In addition, any outstanding awards or options granted under the previous version of the 2012 Equity Incentive Plan (“Previous 2012 Plan”) will be added back to the shares available for grant under the Restated 2012 Plan if they expire unexercised or are otherwise forfeited after the Effective Date. Any remaining shares available for grant under the Previous 2012 Plan as of the Effective Date were no longer available for future grants under the Restated 2012 Plan.</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2022, 3,089 thousand shares were available for grant under the Restated 2012 Plan.</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22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June 9, 2021, the Company’s stockholders approved the 2021 Employee Stock Purchase Plan (the “ESPP”). A total of 600 thousand shares were authorized for issuance to eligible participating employees upon adoption of the ESPP. The ESPP provides for consecutive 6-month offering periods beginning on or about August 16 and February 16 of each year. Eligible employees who elect to participate can contribute from 1% to 15% of their eligible compensation through payroll withholding. During any offering period, contribution rates cannot be changed. However, eligible employees may withdraw from the current offering period. Any contributions made prior to each purchase date in the case of withdrawal or termination of employment will be refunded. On each purchase date, eligible participating employees will purchase the shares at a price per share equal to 85% of the lesser of (i) the fair market value of the Company's stock on the first trading day of the offering period or (ii) the fair market value of the Company's stock on the purchase date (i.e., the last trading day of the offering period).</w:t>
      </w:r>
    </w:p>
    <w:p>
      <w:pPr>
        <w:spacing w:after="0" w:line="1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22.5 thousand shares were issued in connection with the purchase of common stock by participating employees. As of June 30, 2022, 577.5 thousand shares were available for future purchases.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a summary of the stock-based compensation expense included in the condensed consolidated statements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stock-based compensation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8"/>
                <w:szCs w:val="18"/>
                <w:color w:val="auto"/>
              </w:rPr>
            </w:pPr>
          </w:p>
        </w:tc>
      </w:tr>
      <w:tr>
        <w:trPr>
          <w:trHeight w:val="191"/>
        </w:trPr>
        <w:tc>
          <w:tcPr>
            <w:tcW w:w="240" w:type="dxa"/>
            <w:vAlign w:val="bottom"/>
          </w:tcPr>
          <w:p>
            <w:pPr>
              <w:spacing w:after="0"/>
              <w:rPr>
                <w:sz w:val="16"/>
                <w:szCs w:val="16"/>
                <w:color w:val="auto"/>
              </w:rPr>
            </w:pPr>
          </w:p>
        </w:tc>
        <w:tc>
          <w:tcPr>
            <w:tcW w:w="88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b w:val="1"/>
                <w:bCs w:val="1"/>
                <w:color w:val="auto"/>
              </w:rPr>
              <w:t>(in</w:t>
            </w:r>
          </w:p>
        </w:tc>
        <w:tc>
          <w:tcPr>
            <w:tcW w:w="1380" w:type="dxa"/>
            <w:vAlign w:val="bottom"/>
            <w:gridSpan w:val="4"/>
          </w:tcPr>
          <w:p>
            <w:pPr>
              <w:jc w:val="right"/>
              <w:ind w:right="610"/>
              <w:spacing w:after="0" w:line="191" w:lineRule="exact"/>
              <w:rPr>
                <w:sz w:val="20"/>
                <w:szCs w:val="20"/>
                <w:color w:val="auto"/>
              </w:rPr>
            </w:pPr>
            <w:r>
              <w:rPr>
                <w:rFonts w:ascii="Times New Roman" w:cs="Times New Roman" w:eastAsia="Times New Roman" w:hAnsi="Times New Roman"/>
                <w:sz w:val="18"/>
                <w:szCs w:val="18"/>
                <w:b w:val="1"/>
                <w:bCs w:val="1"/>
                <w:color w:val="auto"/>
                <w:w w:val="78"/>
              </w:rPr>
              <w:t>thousands)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line="191" w:lineRule="exact"/>
              <w:rPr>
                <w:sz w:val="20"/>
                <w:szCs w:val="20"/>
                <w:color w:val="auto"/>
              </w:rPr>
            </w:pPr>
            <w:r>
              <w:rPr>
                <w:rFonts w:ascii="Times New Roman" w:cs="Times New Roman" w:eastAsia="Times New Roman" w:hAnsi="Times New Roman"/>
                <w:sz w:val="18"/>
                <w:szCs w:val="18"/>
                <w:b w:val="1"/>
                <w:bCs w:val="1"/>
                <w:color w:val="auto"/>
                <w:w w:val="76"/>
              </w:rPr>
              <w:t>thousands)</w:t>
            </w:r>
          </w:p>
        </w:tc>
        <w:tc>
          <w:tcPr>
            <w:tcW w:w="20" w:type="dxa"/>
            <w:vAlign w:val="bottom"/>
          </w:tcPr>
          <w:p>
            <w:pPr>
              <w:spacing w:after="0"/>
              <w:rPr>
                <w:sz w:val="16"/>
                <w:szCs w:val="16"/>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2,355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1,716</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2,582</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6,828</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4,797</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4,334</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2,714</w:t>
            </w:r>
          </w:p>
        </w:tc>
      </w:tr>
      <w:tr>
        <w:trPr>
          <w:trHeight w:val="234"/>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4,044</w:t>
            </w:r>
          </w:p>
        </w:tc>
        <w:tc>
          <w:tcPr>
            <w:tcW w:w="24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11,048</w:t>
            </w: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37,528</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24,565</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46,755</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unrecognized stock-based compensation expenses of $19.7 million, $70.0 million, $4.0 million, and $0.2 million related to options, RSUs, performance-based RSUs, and ESPP purchase rights, respectively, which are expected to be recognized over weighted-average periods of 2.8 years, 2.7 years, 1.9 years, and 0.1 years,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 ("PSUs") and Performance-based Stock Options</w:t>
      </w:r>
    </w:p>
    <w:p>
      <w:pPr>
        <w:spacing w:after="0" w:line="227"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On October 28, 2021, the compensation committee of the Company's board of directors (Compensation Committee) granted to certain executive officers of the Company equity awards consisting of RSUs and an aggregate number of 73 thousand PSUs, which represents the target number of PSUs allocated to awards that are divided into three equal tranches, with each tranche covering one-year performance period for the calendar years 2022, 2023, and 2024, respectively. The actual number of PSUs eligible to vest each year range from 0% to 200% of the annual target number, depending on the level of achievement of performance metrics related to revenue growth and adjusted EBITDA margin corresponding to that year, which are established by the Compensation Committee before the commencement of each year. The vesting and release of the first and second tranche is capped at 100% of the target number at the end of the first and second year, respectively, with cumulative achievement over 100%, if any, to be vested and released at the end of the third year, together with the vesting of the third tranche. If any of the executive officers is terminated (a) by reason of death or disability or (b) by the Company for reasons other than cause or good reason within 12 months following a change in control, any unvested PSUs eligible to vest pursuant to cumulative achievements over 100% for past tranches along with any target number of unvested PSUs for any remaining tranches will vest immediately. Since the performance metrics for the second and third tranches of these PSUs have not been established as of June 30, 2022, the grant date has not been determined and no expenses have been recognized for the respective tranches.</w:t>
      </w:r>
    </w:p>
    <w:p>
      <w:pPr>
        <w:spacing w:after="0" w:line="19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April 27, 2021, the Compensation Committee granted to the Company’s President and Chief Executive Officer an equity award consisting of RSUs and a target number of 9,671 PSUs. The PSUs are scheduled to vest at the end of the three-year performance period from January 2021 through December 2023. The actual number of PSUs eligible to vest range from 0% to 200% of the target number, depending on the level of achievement of performance metrics related to revenue growth and free cash flow per share growth during the performance period. If the Company's President and Chief Executive Officer is terminated (a) by reason of death or disability or (b) by the Company for reasons other than cause or good reason within 12 months following a change in control, then 100% of any unvested portions of the award will vest, with any vesting in connection with terminations due to change in control conditioned upon the effectiveness of a release of claims in favor of the Company.</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recognized $1.1 million of stock-based compensation expenses related to all PSUs during the three months ended June 30, 2022, and $1.9 million of stock-based compensation expenses related to all PSUs during the six months ended June 30, 2022.</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March 19, 2021, the Company’s former chief executive officer, Philippe Courtot ("Mr. Courtot"), resigned from the Company due to health issues. The Compensation Committee determined that Mr. Courtot’s termination of employment was on account of disability. In accordance with the equity award agreements covering Mr. Courtot's then outstanding awards, all eligible outstanding RSUs, PSUs and performance-based stock options held by Mr. Courtot became immediately vested as of the date of his termination of employment. As a result, the Company recognized $27.3 million of stock-based compensation expense due to the accelerated vesting in the condensed consolidated statements of operations during the six months ended June 30,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summary of the Company’s stock option activity is as follows:</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87"/>
        </w:trPr>
        <w:tc>
          <w:tcPr>
            <w:tcW w:w="5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(in</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(in</w:t>
            </w:r>
          </w:p>
        </w:tc>
        <w:tc>
          <w:tcPr>
            <w:tcW w:w="100" w:type="dxa"/>
            <w:vAlign w:val="bottom"/>
          </w:tcPr>
          <w:p>
            <w:pPr>
              <w:spacing w:after="0"/>
              <w:rPr>
                <w:sz w:val="16"/>
                <w:szCs w:val="16"/>
                <w:color w:val="auto"/>
              </w:rPr>
            </w:pPr>
          </w:p>
        </w:tc>
      </w:tr>
      <w:tr>
        <w:trPr>
          <w:trHeight w:val="238"/>
        </w:trPr>
        <w:tc>
          <w:tcPr>
            <w:tcW w:w="5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130,791</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2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135.01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2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Canceled</w:t>
            </w:r>
          </w:p>
        </w:tc>
        <w:tc>
          <w:tcPr>
            <w:tcW w:w="2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111.97</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77.08</w:t>
            </w:r>
          </w:p>
        </w:tc>
        <w:tc>
          <w:tcPr>
            <w:tcW w:w="13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91,404</w:t>
            </w:r>
          </w:p>
        </w:tc>
      </w:tr>
      <w:tr>
        <w:trPr>
          <w:trHeight w:val="197"/>
        </w:trPr>
        <w:tc>
          <w:tcPr>
            <w:tcW w:w="5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 June 30, 2022</w:t>
            </w:r>
          </w:p>
        </w:tc>
        <w:tc>
          <w:tcPr>
            <w:tcW w:w="2040" w:type="dxa"/>
            <w:vAlign w:val="bottom"/>
            <w:gridSpan w:val="3"/>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1,618</w:t>
            </w: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71.75</w:t>
            </w:r>
          </w:p>
        </w:tc>
        <w:tc>
          <w:tcPr>
            <w:tcW w:w="13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89,608</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 June 30, 2022</w:t>
            </w:r>
          </w:p>
        </w:tc>
        <w:tc>
          <w:tcPr>
            <w:tcW w:w="2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83,037</w:t>
            </w:r>
          </w:p>
        </w:tc>
      </w:tr>
      <w:tr>
        <w:trPr>
          <w:trHeight w:val="432"/>
        </w:trPr>
        <w:tc>
          <w:tcPr>
            <w:tcW w:w="5320" w:type="dxa"/>
            <w:vAlign w:val="bottom"/>
          </w:tcPr>
          <w:p>
            <w:pPr>
              <w:spacing w:after="0"/>
              <w:rPr>
                <w:sz w:val="24"/>
                <w:szCs w:val="24"/>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the Company’s RSU activity is as follows:</w:t>
      </w:r>
    </w:p>
    <w:p>
      <w:pPr>
        <w:spacing w:after="0" w:line="221" w:lineRule="exact"/>
        <w:rPr>
          <w:sz w:val="20"/>
          <w:szCs w:val="20"/>
          <w:color w:val="auto"/>
        </w:rPr>
      </w:pPr>
    </w:p>
    <w:tbl>
      <w:tblPr>
        <w:tblLayout w:type="fixed"/>
        <w:tblInd w:w="806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1300" w:type="dxa"/>
            <w:vAlign w:val="bottom"/>
          </w:tcPr>
          <w:p>
            <w:pPr>
              <w:spacing w:after="0"/>
              <w:rPr>
                <w:sz w:val="18"/>
                <w:szCs w:val="18"/>
                <w:color w:val="auto"/>
              </w:rPr>
            </w:pP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16"/>
        </w:trPr>
        <w:tc>
          <w:tcPr>
            <w:tcW w:w="13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13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Per Share</w:t>
            </w:r>
          </w:p>
        </w:tc>
      </w:tr>
    </w:tbl>
    <w:p>
      <w:pPr>
        <w:spacing w:after="0" w:line="2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June 30,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and expected to vest - June 30, 2022</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 Includes 34 thousand PSUs granted to certain executive officers in 2021.</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Company's share repurchase program was authorized by the board of directors as follows: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500" w:type="dxa"/>
            <w:vAlign w:val="bottom"/>
            <w:gridSpan w:val="6"/>
          </w:tcPr>
          <w:p>
            <w:pPr>
              <w:jc w:val="center"/>
              <w:ind w:left="710"/>
              <w:spacing w:after="0" w:line="17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917</w:t>
            </w:r>
          </w:p>
        </w:tc>
        <w:tc>
          <w:tcPr>
            <w:tcW w:w="6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0" w:type="dxa"/>
            <w:vAlign w:val="bottom"/>
          </w:tcPr>
          <w:p>
            <w:pPr>
              <w:spacing w:after="0"/>
              <w:rPr>
                <w:sz w:val="1"/>
                <w:szCs w:val="1"/>
                <w:color w:val="auto"/>
              </w:rPr>
            </w:pPr>
          </w:p>
        </w:tc>
      </w:tr>
      <w:tr>
        <w:trPr>
          <w:trHeight w:val="216"/>
        </w:trPr>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0" w:type="dxa"/>
            <w:vAlign w:val="bottom"/>
          </w:tcPr>
          <w:p>
            <w:pPr>
              <w:spacing w:after="0"/>
              <w:rPr>
                <w:sz w:val="1"/>
                <w:szCs w:val="1"/>
                <w:color w:val="auto"/>
              </w:rPr>
            </w:pPr>
          </w:p>
        </w:tc>
      </w:tr>
      <w:tr>
        <w:trPr>
          <w:trHeight w:val="216"/>
        </w:trPr>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tcPr>
          <w:p>
            <w:pPr>
              <w:spacing w:after="0"/>
              <w:rPr>
                <w:sz w:val="18"/>
                <w:szCs w:val="18"/>
                <w:color w:val="auto"/>
              </w:rPr>
            </w:pPr>
          </w:p>
        </w:tc>
        <w:tc>
          <w:tcPr>
            <w:tcW w:w="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0" w:type="dxa"/>
            <w:vAlign w:val="bottom"/>
          </w:tcPr>
          <w:p>
            <w:pPr>
              <w:spacing w:after="0"/>
              <w:rPr>
                <w:sz w:val="1"/>
                <w:szCs w:val="1"/>
                <w:color w:val="auto"/>
              </w:rPr>
            </w:pPr>
          </w:p>
        </w:tc>
      </w:tr>
      <w:tr>
        <w:trPr>
          <w:trHeight w:val="234"/>
        </w:trPr>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20"/>
                <w:szCs w:val="20"/>
                <w:color w:val="auto"/>
              </w:rPr>
            </w:pPr>
          </w:p>
        </w:tc>
        <w:tc>
          <w:tcPr>
            <w:tcW w:w="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0" w:type="dxa"/>
            <w:vAlign w:val="bottom"/>
          </w:tcPr>
          <w:p>
            <w:pPr>
              <w:spacing w:after="0"/>
              <w:rPr>
                <w:sz w:val="1"/>
                <w:szCs w:val="1"/>
                <w:color w:val="auto"/>
              </w:rPr>
            </w:pPr>
          </w:p>
        </w:tc>
      </w:tr>
      <w:tr>
        <w:trPr>
          <w:trHeight w:val="209"/>
        </w:trPr>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864</w:t>
            </w:r>
          </w:p>
        </w:tc>
        <w:tc>
          <w:tcPr>
            <w:tcW w:w="6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0" w:type="dxa"/>
            <w:vAlign w:val="bottom"/>
          </w:tcPr>
          <w:p>
            <w:pPr>
              <w:spacing w:after="0"/>
              <w:rPr>
                <w:sz w:val="1"/>
                <w:szCs w:val="1"/>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0" w:type="dxa"/>
            <w:vAlign w:val="bottom"/>
          </w:tcPr>
          <w:p>
            <w:pPr>
              <w:spacing w:after="0" w:line="20" w:lineRule="exact"/>
              <w:rPr>
                <w:sz w:val="1"/>
                <w:szCs w:val="1"/>
                <w:color w:val="auto"/>
              </w:rPr>
            </w:pPr>
          </w:p>
        </w:tc>
      </w:tr>
      <w:tr>
        <w:trPr>
          <w:trHeight w:val="215"/>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Authorized Dollar</w:t>
      </w:r>
    </w:p>
    <w:p>
      <w:pPr>
        <w:spacing w:after="0" w:line="31" w:lineRule="exact"/>
        <w:rPr>
          <w:sz w:val="20"/>
          <w:szCs w:val="20"/>
          <w:color w:val="auto"/>
        </w:rPr>
      </w:pPr>
    </w:p>
    <w:p>
      <w:pPr>
        <w:sectPr>
          <w:pgSz w:w="11900" w:h="16838" w:orient="portrait"/>
          <w:cols w:equalWidth="0" w:num="2">
            <w:col w:w="7500" w:space="320"/>
            <w:col w:w="3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56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Announcement Date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9"/>
        </w:trPr>
        <w:tc>
          <w:tcPr>
            <w:tcW w:w="9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12, 2018</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30, 2019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May 7, 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10, 2021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r>
      <w:tr>
        <w:trPr>
          <w:trHeight w:val="23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November 3, 2021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r>
      <w:tr>
        <w:trPr>
          <w:trHeight w:val="216"/>
        </w:trPr>
        <w:tc>
          <w:tcPr>
            <w:tcW w:w="9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4, 2022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Total as of June 30, 2022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7"/>
        <w:spacing w:after="0" w:line="256" w:lineRule="auto"/>
        <w:rPr>
          <w:sz w:val="20"/>
          <w:szCs w:val="20"/>
          <w:color w:val="auto"/>
        </w:rPr>
      </w:pPr>
      <w:r>
        <w:rPr>
          <w:rFonts w:ascii="Times New Roman" w:cs="Times New Roman" w:eastAsia="Times New Roman" w:hAnsi="Times New Roman"/>
          <w:sz w:val="18"/>
          <w:szCs w:val="18"/>
          <w:color w:val="auto"/>
        </w:rPr>
        <w:t>Shares may be repurchased from time to time on the open market in accordance with Rule 10b-18 of the Exchange Act of 1934, including pursuant to a pre-set trading plan adopted in accordance with Rule 10b5-1 under the Exchange Act. All share repurchases have been made using cash resources. 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capital based on the initial public offering price of the stock, with the remaining excess to accumulated deficit.</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and 2021, the Company repurchased 929 thousand shares and 585 thousand shares of its common stock for approximately $117.8 million and $63.3 million, respectively. As of June 30, 2022, approximately $354.0 million remained available for share repurchases pursuant to the Company's share repurchase program.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Net Income Per Share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computations for basic and diluted net income per share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187"/>
        </w:trPr>
        <w:tc>
          <w:tcPr>
            <w:tcW w:w="5980" w:type="dxa"/>
            <w:vAlign w:val="bottom"/>
          </w:tcPr>
          <w:p>
            <w:pPr>
              <w:spacing w:after="0"/>
              <w:rPr>
                <w:sz w:val="16"/>
                <w:szCs w:val="16"/>
                <w:color w:val="auto"/>
              </w:rPr>
            </w:pPr>
          </w:p>
        </w:tc>
        <w:tc>
          <w:tcPr>
            <w:tcW w:w="11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38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except per share</w:t>
            </w:r>
          </w:p>
        </w:tc>
        <w:tc>
          <w:tcPr>
            <w:tcW w:w="220" w:type="dxa"/>
            <w:vAlign w:val="bottom"/>
          </w:tcPr>
          <w:p>
            <w:pPr>
              <w:spacing w:after="0"/>
              <w:rPr>
                <w:sz w:val="16"/>
                <w:szCs w:val="16"/>
                <w:color w:val="auto"/>
              </w:rPr>
            </w:pPr>
          </w:p>
        </w:tc>
        <w:tc>
          <w:tcPr>
            <w:tcW w:w="11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34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except per share</w:t>
            </w: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data)</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26,596</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21,142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52,006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21,370</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39,099</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38,864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39,154</w:t>
            </w: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Effect of potentially dilutive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744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w:t>
            </w: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39,844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40,253</w:t>
            </w:r>
          </w:p>
        </w:tc>
      </w:tr>
      <w:tr>
        <w:trPr>
          <w:trHeight w:val="210"/>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260" w:type="dxa"/>
            <w:vAlign w:val="bottom"/>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0.53</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0.53</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Potentially dilutive shares not included in the calculation of diluted net income per share because doing so would be anti-dilutive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(in</w:t>
            </w:r>
          </w:p>
        </w:tc>
        <w:tc>
          <w:tcPr>
            <w:tcW w:w="10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78"/>
              </w:rPr>
              <w:t>thousands)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688</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88</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anti-dilutive shares</w:t>
            </w:r>
          </w:p>
        </w:tc>
        <w:tc>
          <w:tcPr>
            <w:tcW w:w="800" w:type="dxa"/>
            <w:vAlign w:val="bottom"/>
          </w:tcPr>
          <w:p>
            <w:pPr>
              <w:spacing w:after="0"/>
              <w:rPr>
                <w:sz w:val="18"/>
                <w:szCs w:val="18"/>
                <w:color w:val="auto"/>
              </w:rPr>
            </w:pP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776</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693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23</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9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income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tax law developments and possible outcomes of audits. The Company's estimated effective tax rate for the year differs from the U.S. statutory rate of 21% primarily due to non-deductible stock-based compensation expense, state taxes, the benefit of U.S. federal income tax credits and the foreign-derived intangible income deduction.</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recorded an income tax provision of $5.5 million and $8.7 million for the three months ended June 30, 2022 and 2021, respectively, resulting in an effective tax rate of 17.2% and 29.2%, respectively. The decrease in income tax provision for the three months ended June 30, 2022 compared to the three months ended June 30, 2021 was primarily due to higher excess tax benefits arising from stock-based compensation and the effects of a tax law change related to mandatory capitalization of research and development expenses starting January 1, 2022.</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recorded an income tax provision of $13.5 million and $6.3 million for the six months ended June 30, 2022 and 2021, respectively, resulting in an effective tax rate of 20.6% and 22.7%, respectively. The increase in income tax provision for the six months ended June 30, 2022 compared to the six months ended June 30, 2021 was primarily due to an increase in pre-tax income associated with the accelerated vesting of Mr. Courtot's equity awards in the six months ended June 30, 2021, partially offset by an increase in excess tax benefits arising from stock-based compensation and the effects of a tax law change related to mandatory capitalization of research and development expenses starting January 1, 2022.</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June 30, 2022, the Company had unrecognized tax benefits of $10.1 million, of which $5.1 million, if recognized, would favorably impact the Company's effective tax rate. As of December 31, 2021, the Company had unrecognized tax benefits of $9.7 million, of which $4.9 million, if recognized, would favorably impact the Company's effective tax rate. The Company does not anticipate a material change in its unrecognized tax benefits in the next 12 months.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June 29, 2020, the California governor signed into law the 2020 Budget Act, which temporarily suspends the utilization of net operating losses and limits the utilization of the research credit to $5 million annually for 2020, 2021 and 2022. The Company does not expect a material impact to the condensed consolidated financial statements for the three months or six months ended June 30, 2022 as a result of the 2020 Budget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 and Information about Geographic Area</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ASC 280 Segment Reporting, operating segments are defined as components of an entity about which separate financial information is evaluated regularly by the chief operating decision maker in deciding how to allocate resources and in assessing performance. The Company operates in one segment and has only one reportable segment. The Company’s chief operating decision maker is the Chief Executive Officer, who makes operating decisions, assesses performance and allocates resources on a consolidated basis. All of the Company’s principal operations and decision-making functions are located in the United States.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by geographic area, based on the customer's billing address,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13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78"/>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71,608</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139,084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121,123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48,285</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38,711</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94,229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75,335</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119,893</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233,313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196,458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Long-lived assets, which consist of Property and equipment, net and Operating leases - right of use asset, by geographic area,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66,440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19,270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20,401</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4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12,029</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7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76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26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4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this Management’s Discussion and Analysis of Financial Condition and Results of Operations, should be read in conjunction with (1) our unaudited condensed consolidated financial statements and the related notes included elsewhere in this report, and (2) the audited consolidated financial statements and the related notes and section titled "Management’s Discussion and Analysis of Financial Condition and Results of Operations" included in our Annual Report on Form 10-K for the fiscal year ended December 31, 2021.</w:t>
      </w:r>
    </w:p>
    <w:p>
      <w:pPr>
        <w:spacing w:after="0" w:line="18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5" w:lineRule="exact"/>
        <w:rPr>
          <w:sz w:val="20"/>
          <w:szCs w:val="20"/>
          <w:color w:val="auto"/>
        </w:rPr>
      </w:pPr>
    </w:p>
    <w:p>
      <w:pPr>
        <w:ind w:left="460" w:hanging="223"/>
        <w:spacing w:after="0" w:line="250" w:lineRule="auto"/>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financial performance, including our revenues, costs, expenditures, growth rates, operating expenses and ability to generate positive cash flow to fund our operations and sustain profitability;</w:t>
      </w:r>
    </w:p>
    <w:p>
      <w:pPr>
        <w:ind w:left="460" w:hanging="223"/>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anticipated technology trends, such as the use of cloud solutions;</w:t>
      </w:r>
    </w:p>
    <w:p>
      <w:pPr>
        <w:spacing w:after="0" w:line="9" w:lineRule="exact"/>
        <w:rPr>
          <w:rFonts w:ascii="Times New Roman" w:cs="Times New Roman" w:eastAsia="Times New Roman" w:hAnsi="Times New Roman"/>
          <w:sz w:val="18"/>
          <w:szCs w:val="18"/>
          <w:i w:val="1"/>
          <w:iCs w:val="1"/>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adapt to changing market conditions;</w:t>
      </w:r>
    </w:p>
    <w:p>
      <w:pPr>
        <w:spacing w:after="0" w:line="9" w:lineRule="exact"/>
        <w:rPr>
          <w:rFonts w:ascii="Times New Roman" w:cs="Times New Roman" w:eastAsia="Times New Roman" w:hAnsi="Times New Roman"/>
          <w:sz w:val="18"/>
          <w:szCs w:val="18"/>
          <w:i w:val="1"/>
          <w:iCs w:val="1"/>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the ongoing COVID-19 pandemic and related public health measures on our business;</w:t>
      </w:r>
    </w:p>
    <w:p>
      <w:pPr>
        <w:spacing w:after="0" w:line="9" w:lineRule="exact"/>
        <w:rPr>
          <w:rFonts w:ascii="Times New Roman" w:cs="Times New Roman" w:eastAsia="Times New Roman" w:hAnsi="Times New Roman"/>
          <w:sz w:val="18"/>
          <w:szCs w:val="18"/>
          <w:i w:val="1"/>
          <w:iCs w:val="1"/>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economic and financial conditions, including volatility in foreign exchange rates;</w:t>
      </w:r>
    </w:p>
    <w:p>
      <w:pPr>
        <w:spacing w:after="0" w:line="9" w:lineRule="exact"/>
        <w:rPr>
          <w:rFonts w:ascii="Times New Roman" w:cs="Times New Roman" w:eastAsia="Times New Roman" w:hAnsi="Times New Roman"/>
          <w:sz w:val="18"/>
          <w:szCs w:val="18"/>
          <w:i w:val="1"/>
          <w:iCs w:val="1"/>
          <w:color w:val="auto"/>
        </w:rPr>
      </w:pPr>
    </w:p>
    <w:p>
      <w:pPr>
        <w:ind w:left="460" w:hanging="223"/>
        <w:spacing w:after="0" w:line="250" w:lineRule="auto"/>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diversify our sources of revenues, including selling additional solutions to our existing customers and our ability to pursue new customers;</w:t>
      </w:r>
    </w:p>
    <w:p>
      <w:pPr>
        <w:ind w:left="460" w:hanging="223"/>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increased competition in our market;</w:t>
      </w:r>
    </w:p>
    <w:p>
      <w:pPr>
        <w:spacing w:after="0" w:line="9" w:lineRule="exact"/>
        <w:rPr>
          <w:rFonts w:ascii="Times New Roman" w:cs="Times New Roman" w:eastAsia="Times New Roman" w:hAnsi="Times New Roman"/>
          <w:sz w:val="18"/>
          <w:szCs w:val="18"/>
          <w:i w:val="1"/>
          <w:iCs w:val="1"/>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innovate and enhance our cloud solutions and platform and introduce new solutions;</w:t>
      </w:r>
    </w:p>
    <w:p>
      <w:pPr>
        <w:spacing w:after="0" w:line="9" w:lineRule="exact"/>
        <w:rPr>
          <w:rFonts w:ascii="Times New Roman" w:cs="Times New Roman" w:eastAsia="Times New Roman" w:hAnsi="Times New Roman"/>
          <w:sz w:val="18"/>
          <w:szCs w:val="18"/>
          <w:i w:val="1"/>
          <w:iCs w:val="1"/>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effectively manage our growth;</w:t>
      </w:r>
    </w:p>
    <w:p>
      <w:pPr>
        <w:spacing w:after="0" w:line="9" w:lineRule="exact"/>
        <w:rPr>
          <w:rFonts w:ascii="Times New Roman" w:cs="Times New Roman" w:eastAsia="Times New Roman" w:hAnsi="Times New Roman"/>
          <w:sz w:val="18"/>
          <w:szCs w:val="18"/>
          <w:i w:val="1"/>
          <w:iCs w:val="1"/>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anticipated investments in sales and marketing, our infrastructure, new solutions, research and development, and acquisitions;</w:t>
      </w:r>
    </w:p>
    <w:p>
      <w:pPr>
        <w:spacing w:after="0" w:line="9" w:lineRule="exact"/>
        <w:rPr>
          <w:rFonts w:ascii="Times New Roman" w:cs="Times New Roman" w:eastAsia="Times New Roman" w:hAnsi="Times New Roman"/>
          <w:sz w:val="18"/>
          <w:szCs w:val="18"/>
          <w:i w:val="1"/>
          <w:iCs w:val="1"/>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maintaining and expanding our relationships with channel partners;</w:t>
      </w:r>
    </w:p>
    <w:p>
      <w:pPr>
        <w:spacing w:after="0" w:line="9" w:lineRule="exact"/>
        <w:rPr>
          <w:rFonts w:ascii="Times New Roman" w:cs="Times New Roman" w:eastAsia="Times New Roman" w:hAnsi="Times New Roman"/>
          <w:sz w:val="18"/>
          <w:szCs w:val="18"/>
          <w:i w:val="1"/>
          <w:iCs w:val="1"/>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maintain, protect and enhance our brand and intellectual property;</w:t>
      </w:r>
    </w:p>
    <w:p>
      <w:pPr>
        <w:spacing w:after="0" w:line="9" w:lineRule="exact"/>
        <w:rPr>
          <w:rFonts w:ascii="Times New Roman" w:cs="Times New Roman" w:eastAsia="Times New Roman" w:hAnsi="Times New Roman"/>
          <w:sz w:val="18"/>
          <w:szCs w:val="18"/>
          <w:i w:val="1"/>
          <w:iCs w:val="1"/>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costs associated with defending intellectual property infringement and other claims;</w:t>
      </w:r>
    </w:p>
    <w:p>
      <w:pPr>
        <w:spacing w:after="0" w:line="9" w:lineRule="exact"/>
        <w:rPr>
          <w:rFonts w:ascii="Times New Roman" w:cs="Times New Roman" w:eastAsia="Times New Roman" w:hAnsi="Times New Roman"/>
          <w:sz w:val="18"/>
          <w:szCs w:val="18"/>
          <w:i w:val="1"/>
          <w:iCs w:val="1"/>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attract and retain qualified employees and key personnel, including sales and marketing personnel;</w:t>
      </w:r>
    </w:p>
    <w:p>
      <w:pPr>
        <w:spacing w:after="0" w:line="9" w:lineRule="exact"/>
        <w:rPr>
          <w:rFonts w:ascii="Times New Roman" w:cs="Times New Roman" w:eastAsia="Times New Roman" w:hAnsi="Times New Roman"/>
          <w:sz w:val="18"/>
          <w:szCs w:val="18"/>
          <w:i w:val="1"/>
          <w:iCs w:val="1"/>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enter new markets and manage our international expansion;</w:t>
      </w:r>
    </w:p>
    <w:p>
      <w:pPr>
        <w:spacing w:after="0" w:line="9" w:lineRule="exact"/>
        <w:rPr>
          <w:rFonts w:ascii="Times New Roman" w:cs="Times New Roman" w:eastAsia="Times New Roman" w:hAnsi="Times New Roman"/>
          <w:sz w:val="18"/>
          <w:szCs w:val="18"/>
          <w:i w:val="1"/>
          <w:iCs w:val="1"/>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expectations, assumptions and conclusions related to our income tax provision, our deferred tax assets and our effective tax rate; and</w:t>
      </w:r>
    </w:p>
    <w:p>
      <w:pPr>
        <w:spacing w:after="0" w:line="9" w:lineRule="exact"/>
        <w:rPr>
          <w:rFonts w:ascii="Times New Roman" w:cs="Times New Roman" w:eastAsia="Times New Roman" w:hAnsi="Times New Roman"/>
          <w:sz w:val="18"/>
          <w:szCs w:val="18"/>
          <w:i w:val="1"/>
          <w:iCs w:val="1"/>
          <w:color w:val="auto"/>
        </w:rPr>
      </w:pPr>
    </w:p>
    <w:p>
      <w:pPr>
        <w:ind w:left="460" w:right="20" w:hanging="223"/>
        <w:spacing w:after="0" w:line="260" w:lineRule="auto"/>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factors discussed in this Quarterly Report on Form 10-Q in the sections titled “Risk Factors” and “Management's Discussion and Analysis of Financial Condition and Results of Operations.”</w:t>
      </w:r>
    </w:p>
    <w:p>
      <w:pPr>
        <w:spacing w:after="0" w:line="17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on Form 10-Q and those discussed in other documents we file with the U.S.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are a leading provider of a cloud-based platform delivering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IT, security and compliance solutions delivered on our Qualys Cloud Platform enables our customers to identify and manage their IT assets, collect and analyze large amounts of IT security data, discover and prioritize vulnerabilities, recommend and implement remediation actions and verify the implementation of such actions. Organizations use our integrated suite of solutions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181" w:lineRule="exact"/>
        <w:rPr>
          <w:sz w:val="20"/>
          <w:szCs w:val="20"/>
          <w:color w:val="auto"/>
        </w:rPr>
      </w:pPr>
    </w:p>
    <w:p>
      <w:pPr>
        <w:jc w:val="both"/>
        <w:ind w:left="460" w:hanging="223"/>
        <w:spacing w:after="0" w:line="256" w:lineRule="auto"/>
        <w:tabs>
          <w:tab w:leader="none" w:pos="4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IT Security: </w:t>
      </w:r>
      <w:r>
        <w:rPr>
          <w:rFonts w:ascii="Times New Roman" w:cs="Times New Roman" w:eastAsia="Times New Roman" w:hAnsi="Times New Roman"/>
          <w:sz w:val="18"/>
          <w:szCs w:val="18"/>
          <w:color w:val="auto"/>
        </w:rPr>
        <w:t>Vulnerability Management (VM), Vulnerability Management, Detection and Response (VMDR), Threat Protection (TP), Continuous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Monitoring (CM), Patch Management (PM), Multi-Vector Endpoint Detection and Response (EDR), Certificate Assessment (CRA), SaaS Detection and Response (SaaSDR), Secure Enterprise Mobility (SEM), VMDR Operational Technology (VMDR-OT), Custom Assessment and Response (CAR), Extended Detection and Response (XDR);</w:t>
      </w:r>
    </w:p>
    <w:p>
      <w:pPr>
        <w:spacing w:after="0" w:line="1" w:lineRule="exact"/>
        <w:rPr>
          <w:rFonts w:ascii="Times New Roman" w:cs="Times New Roman" w:eastAsia="Times New Roman" w:hAnsi="Times New Roman"/>
          <w:sz w:val="18"/>
          <w:szCs w:val="18"/>
          <w:i w:val="1"/>
          <w:iCs w:val="1"/>
          <w:color w:val="auto"/>
        </w:rPr>
      </w:pPr>
    </w:p>
    <w:p>
      <w:pPr>
        <w:ind w:left="460" w:hanging="223"/>
        <w:spacing w:after="0" w:line="250" w:lineRule="auto"/>
        <w:tabs>
          <w:tab w:leader="none" w:pos="4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Compliance: </w:t>
      </w:r>
      <w:r>
        <w:rPr>
          <w:rFonts w:ascii="Times New Roman" w:cs="Times New Roman" w:eastAsia="Times New Roman" w:hAnsi="Times New Roman"/>
          <w:sz w:val="18"/>
          <w:szCs w:val="18"/>
          <w:color w:val="auto"/>
        </w:rPr>
        <w:t>Policy Compliance (PC), Security Configuration Assessment (SCA), PCI Compliance (PCI), File Integrity Monitoring (FIM),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 Questionnaire (SAQ), Out-of-Band Configuration Assessment (OCA);</w:t>
      </w:r>
    </w:p>
    <w:p>
      <w:pPr>
        <w:ind w:left="460" w:hanging="223"/>
        <w:spacing w:after="0"/>
        <w:tabs>
          <w:tab w:leader="none" w:pos="4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Web Application Security: </w:t>
      </w:r>
      <w:r>
        <w:rPr>
          <w:rFonts w:ascii="Times New Roman" w:cs="Times New Roman" w:eastAsia="Times New Roman" w:hAnsi="Times New Roman"/>
          <w:sz w:val="18"/>
          <w:szCs w:val="18"/>
          <w:color w:val="auto"/>
        </w:rPr>
        <w:t>Web Application Scanning (WAS), Web Application Firewall (WAF);</w:t>
      </w:r>
    </w:p>
    <w:p>
      <w:pPr>
        <w:spacing w:after="0" w:line="9" w:lineRule="exact"/>
        <w:rPr>
          <w:rFonts w:ascii="Times New Roman" w:cs="Times New Roman" w:eastAsia="Times New Roman" w:hAnsi="Times New Roman"/>
          <w:sz w:val="18"/>
          <w:szCs w:val="18"/>
          <w:i w:val="1"/>
          <w:iCs w:val="1"/>
          <w:color w:val="auto"/>
        </w:rPr>
      </w:pPr>
    </w:p>
    <w:p>
      <w:pPr>
        <w:ind w:left="460" w:hanging="223"/>
        <w:spacing w:after="0"/>
        <w:tabs>
          <w:tab w:leader="none" w:pos="4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Asset Management: </w:t>
      </w:r>
      <w:r>
        <w:rPr>
          <w:rFonts w:ascii="Times New Roman" w:cs="Times New Roman" w:eastAsia="Times New Roman" w:hAnsi="Times New Roman"/>
          <w:sz w:val="18"/>
          <w:szCs w:val="18"/>
          <w:color w:val="auto"/>
        </w:rPr>
        <w:t>Global Asset View (GAV), Cybersecurity Asset Management (CSAM), Certificate Inventory (CRI); and</w:t>
      </w:r>
    </w:p>
    <w:p>
      <w:pPr>
        <w:spacing w:after="0" w:line="9" w:lineRule="exact"/>
        <w:rPr>
          <w:rFonts w:ascii="Times New Roman" w:cs="Times New Roman" w:eastAsia="Times New Roman" w:hAnsi="Times New Roman"/>
          <w:sz w:val="18"/>
          <w:szCs w:val="18"/>
          <w:i w:val="1"/>
          <w:iCs w:val="1"/>
          <w:color w:val="auto"/>
        </w:rPr>
      </w:pPr>
    </w:p>
    <w:p>
      <w:pPr>
        <w:ind w:left="460" w:hanging="223"/>
        <w:spacing w:after="0"/>
        <w:tabs>
          <w:tab w:leader="none" w:pos="4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Cloud/Container Security: </w:t>
      </w:r>
      <w:r>
        <w:rPr>
          <w:rFonts w:ascii="Times New Roman" w:cs="Times New Roman" w:eastAsia="Times New Roman" w:hAnsi="Times New Roman"/>
          <w:sz w:val="18"/>
          <w:szCs w:val="18"/>
          <w:color w:val="auto"/>
        </w:rPr>
        <w:t>Cloud Inventory (CI), Cloud Security Assessment (CSA), Container Security (CS).</w:t>
      </w:r>
    </w:p>
    <w:p>
      <w:pPr>
        <w:spacing w:after="0" w:line="2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spacing w:after="0" w:line="18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For the six months ended June 30, 2022 and 2021, approximately 60% and 62%,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value-added resellers and consulting firms in the United States and internationally.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Impacts of COVID-19</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as a pandemic. As a result of COVID-19, we temporarily modified certain aspects of our business, including restricting employee travel, requiring employees to work from home, and canceling certain events and meetings, among other modifications. While we have resumed in-office work, employee travel, and in-person events and meetings, we will continue to actively monitor the situation and may take actions that alter our business operations as may be required by federal, state or local authorities or that we determine are in the best interests of our employees, customers, partners, suppliers and stockholders. While we have not incurred significant disruptions from the ongoing COVID-19 pandemic to date and do not expect the pandemic will have a significant impact on our business throughout the remainder of 2022, we are unable to accurately predict the full impact that COVID-19 will have due to numerous uncertainties, including the duration of the outbreak, actions that may be taken by governmental authorities and the impact to the business of the Company's customers and partners. We will continue to evaluate the nature and extent of the impact to our business, financial position, results of operations and cash flows.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derive revenues from the sale of subscriptions to our IT, security and compliance solutions, which are delivered on our cloud platform. Subscriptions to our solutions allow customers to access our cloud-based IT,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physical scanner appliances and computer hardware provided to certain customers as part of their subscriptions, expenses related to the use of shared cloud platforms, amortization of software and license fees, amortization of intangibles related to acquisitions, maintenance support, fees paid to contractors who supplement or support our operations center personnel and overhead allocations. We expect to continue to expand our shared cloud platform infrastructures and hire additional employees to support our operations, which will increase the cost of revenues in absolute dollars.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 We expect to continue to invest in additional research and development activities, including hiring engineers and incur outside services, which will increase the research and development expenses in absolute dollars.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as incurred.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that general and administrative expenses will increase in absolute dollars, as we continue to add personnel and incur professional services to support our growth and compliance with legal requirements.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other income (expense), net consists primarily of interest and investment income from our short-term and long-term marketable securities and foreign exchange gains and losses, the majority of which result from fluctuations between the U.S. Dollar and the Euro, GBP and INR.</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federal, state and foreign income taxes for jurisdictions in which we operate, and we use estimates in determining our income tax provision and deferred tax assets. Earnings from our non-U.S. activities are subject to income taxes in the local countries at rates which were generally similar to the U.S. statutory tax 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condensed consolidated statements of operations data for each of the periods presented as a percentage of revenues.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7"/>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6"/>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r>
      <w:tr>
        <w:trPr>
          <w:trHeight w:val="20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r>
      <w:tr>
        <w:trPr>
          <w:trHeight w:val="209"/>
        </w:trPr>
        <w:tc>
          <w:tcPr>
            <w:tcW w:w="2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3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2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413"/>
        </w:trPr>
        <w:tc>
          <w:tcPr>
            <w:tcW w:w="5860" w:type="dxa"/>
            <w:vAlign w:val="bottom"/>
            <w:tcBorders>
              <w:top w:val="single" w:sz="8" w:color="CCEEFF"/>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Comparison of Three and Six Months Ended June 30, 2022 and 2021</w:t>
            </w: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32"/>
        </w:trPr>
        <w:tc>
          <w:tcPr>
            <w:tcW w:w="23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2380" w:type="dxa"/>
            <w:vAlign w:val="bottom"/>
          </w:tcPr>
          <w:p>
            <w:pPr>
              <w:spacing w:after="0"/>
              <w:rPr>
                <w:sz w:val="24"/>
                <w:szCs w:val="24"/>
                <w:color w:val="auto"/>
              </w:rPr>
            </w:pPr>
          </w:p>
        </w:tc>
        <w:tc>
          <w:tcPr>
            <w:tcW w:w="22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2380" w:type="dxa"/>
            <w:vAlign w:val="bottom"/>
          </w:tcPr>
          <w:p>
            <w:pPr>
              <w:spacing w:after="0"/>
              <w:rPr>
                <w:sz w:val="20"/>
                <w:szCs w:val="20"/>
                <w:color w:val="auto"/>
              </w:rPr>
            </w:pPr>
          </w:p>
        </w:tc>
        <w:tc>
          <w:tcPr>
            <w:tcW w:w="134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7"/>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23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10"/>
        </w:trPr>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12"/>
          </w:tcPr>
          <w:p>
            <w:pPr>
              <w:ind w:left="5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119,893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99,702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  $</w:t>
            </w:r>
          </w:p>
        </w:tc>
        <w:tc>
          <w:tcPr>
            <w:tcW w:w="8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233,313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196,458</w:t>
            </w:r>
          </w:p>
        </w:tc>
        <w:tc>
          <w:tcPr>
            <w:tcW w:w="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36,855</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r>
    </w:tbl>
    <w:p>
      <w:pPr>
        <w:spacing w:after="0" w:line="19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Revenues increased by $20.2 million for the three months ended June 30, 2022 compared to the same period in 2021, due to an increase in IT Security, Compliance, Web Application Security, Asset Management, Container Security, and Vulnerability Management subscriptions. The revenue growth was primarily from an increase in upsells to existing customers in the three months ended June 30, 2022 compared to the same period in 2021. Of the total increase of $20.2 million, $10.6 million was from customers in the United States and $9.6 million was from customers in foreign countries. Of the total increase of $20.2 million, $11.4 million was from direct customers and $8.8 million was from partners. In each of the three months ended June 30, 2022 and 2021, 59% of total revenue was direct and 41% of total revenue was through partners.</w:t>
      </w:r>
    </w:p>
    <w:p>
      <w:pPr>
        <w:spacing w:after="0" w:line="18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Revenues increased by $36.9 million for the six months ended June 30, 2022 compared to the same period in 2021, due to an increase in IT Security, Compliance, Web Application Security, Asset Management, Container Security, and Vulnerability Management subscriptions. The revenue growth was primarily from an increase in upsells to existing customers in the six months ended June 30, 2022 compared to the same period in 2021. Of the total increase of $36.9 million, $18.0 million was from customers in the United States and $18.9 million was from customers in foreign countries. Of the total increase of $36.9 million, $19.9 million was from direct customers and $17.0 million was from partners. In each of the six months ended June 30, 2022 and 2021, 59% of total revenue was direct and 41% of total revenue was through partners. With our strong market position driving further demand for our solutions, we expect revenue growth from new and existing customers to continue.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2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10"/>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9"/>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25,046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21,552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3,494</w:t>
            </w: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49,048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5,816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r>
    </w:tbl>
    <w:p>
      <w:pPr>
        <w:spacing w:after="0" w:line="19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Cost of revenues increased by $3.5 million for the three months ended June 30, 2022 compared to the same period in 2021, due to an increase in personnel costs, including stock-based compensation, of $2.9 million, driven by additional employees hired to support the growth of our business, an increase in subscribed license and software costs of $0.4 million and an increase in professional service expense of $0.2 million.</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Cost of revenues increased by $5.8 million for the six months ended June 30, 2022 compared to the same period in 2021, due to an increase in personnel costs, including stock-based compensation, of $4.7 million, driven by additional employees hired to support the growth of our business, an increase in subscribed license and software costs of $0.6 million and an increase in professional service expense of $0.6 million.</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35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9"/>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24,791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19,805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4,986</w:t>
            </w: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47,898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10,344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r>
    </w:tbl>
    <w:p>
      <w:pPr>
        <w:spacing w:after="0" w:line="19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$5.0 million for the three months ended June 30, 2022 compared to the same period in 2021, due to an increase in personnel costs, including stock-based compensation, of $4.2 million, driven by increased headcount including hiring in senior management, an increase in professional service expense of $0.3 million, an increase in subscribed license and software costs of $0.2 million and an increase in shared cloud platform cost of $0.2 million, driven by higher level of research and development efforts.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$10.3 million for the six months ended June 30, 2022 compared to the same period in 2021, due to an increase in personnel costs, including stock-based compensation, of $9.1 million, driven by increased headcount including hiring in senior management, an increase in professional service expense of $0.5 million, an increase in subscribed license and software costs of $0.4 million and an increase in shared cloud platform cost of $0.2 million, driven by higher level of research and development efforts.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2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10"/>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9"/>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23,730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17,770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5,960</w:t>
            </w: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43,872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8,113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r>
    </w:tbl>
    <w:p>
      <w:pPr>
        <w:spacing w:after="0" w:line="19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$6.0 million for the three months ended June 30, 2022 compared to the same period in 2021, primarily due to an increase in personnel costs, including stock-based compensation, of $2.1 million, driven by increased headcount including hiring in senior management, an increase in marketing expense of $2.5 million, an increase in professional service expense of $0.7 million and an increase in travel and entertainment cost of $0.6 million, driven by increased level of sales and marketing efforts.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$8.1 million for the six months ended June 30, 2022 compared to the same period in 2021, primarily due to an increase in personnel costs, including stock-based compensation, of $2.3 million, driven by increased headcount including hiring in senior management, an increase in marketing related expense of $3.7 million, an increase in professional service expense of $1.1 million, an increase in travel and entertainment cost of $0.7 million and an increase in subscribed licensing costs of $0.4 million, driven by increased level of sales and marketing efforts.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09"/>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9"/>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2,120</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25,967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53,256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(27,289)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bl>
    <w:p>
      <w:pPr>
        <w:spacing w:after="0" w:line="198"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General and administrative expenses increased by $2.1 million for the three months ended June 30, 2022 compared to the same period in 2021, primarily due to an increase in personnel costs, including stock-based compensation, driven by increased headcount to support the growth of our business.</w:t>
      </w:r>
    </w:p>
    <w:p>
      <w:pPr>
        <w:spacing w:after="0" w:line="3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$27.3 million for the six months ended June 30, 2022 compared to the same period in 2021, primarily due to a decrease in stock-based compensation expense related to the accelerated vesting of Mr. Courtot's equity awards in the first quarter of 2021.</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 net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5"/>
              </w:rPr>
              <w:t>(in</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680" w:type="dxa"/>
            <w:vAlign w:val="bottom"/>
            <w:gridSpan w:val="5"/>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98"/>
              </w:rPr>
              <w:t>except percentages)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other income (expense),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(1,358)</w:t>
            </w:r>
          </w:p>
        </w:tc>
        <w:tc>
          <w:tcPr>
            <w:tcW w:w="26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(278.9)% $</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(2,048)</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8"/>
          <w:szCs w:val="18"/>
          <w:color w:val="auto"/>
        </w:rPr>
        <w:t>Total other income (expense), net decreased by $1.4 million and $2.0 million for the three months and six months ended June 30, 2022, compared to the same periods in 2021, respectively, mainly due to an increase in foreign exchange loss driven by appreciation of U.S. Dollar against EUR, GBP, and INR, partially offset by an increase in interest income driven by an increase of market interest rate in the three months and six months ended June 30, 2022.</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4"/>
              </w:rPr>
              <w:t>(in</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thousands,</w:t>
            </w:r>
          </w:p>
        </w:tc>
        <w:tc>
          <w:tcPr>
            <w:tcW w:w="17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except percentages)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5,526</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8,707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(3,181)</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 $</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13,459</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6,272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09" w:orient="portrait"/>
          <w:cols w:equalWidth="0" w:num="1">
            <w:col w:w="11240"/>
          </w:cols>
          <w:pgMar w:left="320" w:top="108" w:right="339" w:bottom="0" w:gutter="0" w:footer="0" w:header="0"/>
        </w:sectPr>
      </w:pPr>
    </w:p>
    <w:bookmarkStart w:id="31" w:name="page32"/>
    <w:bookmarkEnd w:id="3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Income tax provision decreased by $3.2 million for the three months ended June 30, 2022 compared to the same period in 2021, primarily due to higher excess tax benefits arising from stock-based compensation and the effects of a tax law change related to mandatory capitalization of research and development expenses starting January 1, 2022.</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Income tax provision increased by $7.2 million for the six months ended June 30, 2022 compared to the same period in 2021, primarily due to an increase in pre-tax income associated with the accelerated vesting of Mr. Courtot's equity awards in the six months ended June 30, 2021, partially offset by an increase in excess tax benefits arising from stock-based compensation and the effects of a tax law change related to mandatory capitalization of research and development expenses starting January 1,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Non-GAAP Metric</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measures of financial performance presented in our condensed consolidated financial statements, we monitor the non-GAAP key metric set forth below to help us evaluate growth trends, establish budgets, measure the effectiveness of our sales and marketing efforts and assess operational efficiencies.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income tax provision (benefit), (3) depreciation and amortization of property and equipment, (4) amortization of intangible assets, (5) stock-based compensation and (6) non-recurring expenses that do not reflect ongoing costs of operating the business.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EBITDA has limitations as an analytical tool and should not be considered in isolation from or as a substitute for the measures presented in accordance with U.S. GAAP. Some of these limitations are:</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cash and non-cash charges that are recurring;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of property and equipment and amortization of intangible assets, although these are non-cash charges, the assets being depreciated and amortized may have to be replaced in the future; and</w:t>
      </w:r>
    </w:p>
    <w:p>
      <w:pPr>
        <w:ind w:left="66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or not at all, which reduces its usefulness as a comparative measure.</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 The following unaudited table presents the reconciliation of net income to Adjusted EBITDA for the three and six months ended June 30, 2022 and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4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1380" w:type="dxa"/>
            <w:vAlign w:val="bottom"/>
            <w:gridSpan w:val="3"/>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26,596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21,142</w:t>
            </w:r>
          </w:p>
        </w:tc>
        <w:tc>
          <w:tcPr>
            <w:tcW w:w="2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52,006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21,370</w:t>
            </w:r>
          </w:p>
        </w:tc>
      </w:tr>
      <w:tr>
        <w:trPr>
          <w:trHeight w:val="216"/>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7,097</w:t>
            </w:r>
          </w:p>
        </w:tc>
        <w:tc>
          <w:tcPr>
            <w:tcW w:w="28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7,145</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14,372</w:t>
            </w: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14,578</w:t>
            </w:r>
          </w:p>
        </w:tc>
      </w:tr>
      <w:tr>
        <w:trPr>
          <w:trHeight w:val="216"/>
        </w:trPr>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1,474</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1,646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3,180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3,291</w:t>
            </w:r>
          </w:p>
        </w:tc>
      </w:tr>
      <w:tr>
        <w:trPr>
          <w:trHeight w:val="216"/>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5,526</w:t>
            </w:r>
          </w:p>
        </w:tc>
        <w:tc>
          <w:tcPr>
            <w:tcW w:w="28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8,707</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13,459</w:t>
            </w: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6,272</w:t>
            </w:r>
          </w:p>
        </w:tc>
      </w:tr>
      <w:tr>
        <w:trPr>
          <w:trHeight w:val="216"/>
        </w:trPr>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12,820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8,553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24,565</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46,755</w:t>
            </w:r>
          </w:p>
        </w:tc>
      </w:tr>
      <w:tr>
        <w:trPr>
          <w:trHeight w:val="216"/>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871</w:t>
            </w:r>
          </w:p>
        </w:tc>
        <w:tc>
          <w:tcPr>
            <w:tcW w:w="28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1,063</w:t>
            </w:r>
          </w:p>
        </w:tc>
        <w:tc>
          <w:tcPr>
            <w:tcW w:w="2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r>
      <w:tr>
        <w:trPr>
          <w:trHeight w:val="20"/>
        </w:trPr>
        <w:tc>
          <w:tcPr>
            <w:tcW w:w="5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54,384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46,706</w:t>
            </w:r>
          </w:p>
        </w:tc>
        <w:tc>
          <w:tcPr>
            <w:tcW w:w="2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108,645</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91,281</w:t>
            </w:r>
          </w:p>
        </w:tc>
      </w:tr>
      <w:tr>
        <w:trPr>
          <w:trHeight w:val="20"/>
        </w:trPr>
        <w:tc>
          <w:tcPr>
            <w:tcW w:w="50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630"/>
        </w:trPr>
        <w:tc>
          <w:tcPr>
            <w:tcW w:w="500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50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June 30, 2022, our principal source of liquidity was cash, cash equivalents and marketable securities of $499.2 million, including $80.3 million of cash held outside of the United States. The following summary of cash flows for the periods indicated has been derived from our condensed consolidated financial statements included elsewhere in this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112,851</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112,240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(9,173)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(79,921)</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(16,363)</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23,146</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12"/>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2022, we generated $84.7 million of cash from our net income, as adjusted for non-cash items mainly related to stock-based compensation expense, depreciation and amortization expense and deferred taxes, as compared to $87.5 million during the six months ended June 30, 2021. In addition, we also generated $28.1 million of cash from changes in working capital during the six months ended June 30, 2022, of which $24.5 million was related to a net increase in deferred revenue and a net decrease in accounts receivable as a result of our continued growth in billing and collection and $3.8 million was due to an increase in payables and accrued liabilities in line with our business growth. During the six months ended June 30, 2021, we generated $24.8 million of cash from changes in working capital, which was also mainly related to deferred revenue and accounts receivable due to continued growth in billing and collection, partially offset by higher prepaid expenses.</w:t>
      </w:r>
    </w:p>
    <w:p>
      <w:pPr>
        <w:spacing w:after="0" w:line="18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8"/>
          <w:szCs w:val="18"/>
          <w:color w:val="auto"/>
        </w:rPr>
        <w:t>Net cash taxes paid during the six months ended June 30, 2022 were higher by approximately $11.2 million compared to the same period in 2021, primarily due to the new tax law requiring mandatory capitalization and amortization of research and development expenses effective January 1, 2022. Previously, these expenses could be deducted in the year incurred. The near term increase in cash tax will be offset by decrease in cash tax in future years when the capitalized expenses are amortized for tax purposes.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we used $3.2 million of cash in purchases of marketable securities investments net of maturities and sales, and used $11.2 million of cash in capital expenditures mainly related to purchases of computer equipment to support our growth and development, as compared to $3.7 million of cash provided by maturity of marketable securities investments net of purchases, and $12.9 million of cash used in similar capital expenditures during the six months ended June 30, 2021.</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8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we used $117.8 million of cash for share repurchases and $8.2 million of cash in payment of employee withholding taxes upon vesting of restricted stock units, and received $9.1 million of proceeds from employee exercise of stock options and $2.1 million of proceeds from issuance of common stock through our ESPP, as compared to $63.3 million of cash used for share repurchases, $21.0 million of cash used in payment of employee withholding taxes upon vesting of restricted stock units, and $4.4 million of cash received from employee exercise of stock options during the six months ended June 30, 2021.</w:t>
      </w:r>
    </w:p>
    <w:p>
      <w:pPr>
        <w:spacing w:after="0" w:line="183" w:lineRule="exact"/>
        <w:rPr>
          <w:sz w:val="20"/>
          <w:szCs w:val="20"/>
          <w:color w:val="auto"/>
        </w:rPr>
      </w:pPr>
    </w:p>
    <w:p>
      <w:pPr>
        <w:jc w:val="both"/>
        <w:ind w:firstLine="348"/>
        <w:spacing w:after="0" w:line="266" w:lineRule="auto"/>
        <w:rPr>
          <w:sz w:val="20"/>
          <w:szCs w:val="20"/>
          <w:color w:val="auto"/>
        </w:rPr>
      </w:pPr>
      <w:r>
        <w:rPr>
          <w:rFonts w:ascii="Times New Roman" w:cs="Times New Roman" w:eastAsia="Times New Roman" w:hAnsi="Times New Roman"/>
          <w:sz w:val="18"/>
          <w:szCs w:val="18"/>
          <w:color w:val="auto"/>
        </w:rPr>
        <w:t>We believe our existing cash and cash equivalents, marketable securities and our expected cash flow generated from operations will be sufficient to fund our operations for the next twelve months and beyond. We do not anticipate that we will need funds generated from foreign operations to fund our domestic operations. However, if we repatriate these funds, we could be subject to foreign withholding taxes.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jc w:val="both"/>
        <w:ind w:firstLine="308"/>
        <w:spacing w:after="0" w:line="258" w:lineRule="auto"/>
        <w:rPr>
          <w:sz w:val="20"/>
          <w:szCs w:val="20"/>
          <w:color w:val="auto"/>
        </w:rPr>
      </w:pPr>
      <w:r>
        <w:rPr>
          <w:rFonts w:ascii="Times New Roman" w:cs="Times New Roman" w:eastAsia="Times New Roman" w:hAnsi="Times New Roman"/>
          <w:sz w:val="18"/>
          <w:szCs w:val="18"/>
          <w:color w:val="auto"/>
        </w:rPr>
        <w:t>We expect to continue to use cash to repurchase shares under our share repurchase program authorized by our board of directors on February 5, 2018. On May 4, 2022, we announced that our board of directors authorized an additional $200.0 million to the share repurchase program authorization, increasing the total amount of authorized repurchase to $900.0 million. As of June 30, 2022, approximately $354.0 million remained available under our share repurchase program. Shares will be repurchased from time to time on the open market in accordance with Rule 10b-18 of the Exchange Act of 1934, including pursuant to a pre-set trading plan adopted in accordance with Rule 10b5-1 under the Exchange Act.</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340" w:firstLine="305"/>
        <w:spacing w:after="0" w:line="266" w:lineRule="auto"/>
        <w:rPr>
          <w:sz w:val="20"/>
          <w:szCs w:val="20"/>
          <w:color w:val="auto"/>
        </w:rPr>
      </w:pPr>
      <w:r>
        <w:rPr>
          <w:rFonts w:ascii="Times New Roman" w:cs="Times New Roman" w:eastAsia="Times New Roman" w:hAnsi="Times New Roman"/>
          <w:sz w:val="18"/>
          <w:szCs w:val="18"/>
          <w:color w:val="auto"/>
        </w:rPr>
        <w:t>As of June 30, 2022, there have been no other material changes to our cash requirements for purchase commitments as described in “Part I, Item 2. Management’s Discussion and Analysis of Financial Condition and Results of Operations” of our Quarterly Report on Form 10-Q for the fiscal quarter ended March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See Note 1 to the unaudited condensed consolidated financial statements in Part I, Item 1 of this Quarterly Report on Form 10-Q for a discussion of recent accounting pronouncements.</w:t>
      </w:r>
    </w:p>
    <w:p>
      <w:pPr>
        <w:sectPr>
          <w:pgSz w:w="11900" w:h="16838" w:orient="portrait"/>
          <w:cols w:equalWidth="0" w:num="1">
            <w:col w:w="11240"/>
          </w:cols>
          <w:pgMar w:left="320" w:top="121" w:right="339" w:bottom="744"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44"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402"/>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as described in our Annual Report on Form 10-K for the fiscal year ended December 31, 2021.</w:t>
      </w:r>
    </w:p>
    <w:p>
      <w:pPr>
        <w:spacing w:after="0" w:line="3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results of operations and cash flows have been and will continue to be subject to fluctuations because of changes in foreign currency exchange rates, particularly changes in exchange rates between the U.S. dollar and the Euro, GBP, INR, Canadian Dollar and CHF, the currencies of countries where we currently have our most significant international operations. We enter into foreign currency forward contracts to reduce our exposure to foreign currency exchange rate fluctuations related to forecasted subscription revenue, operation expenses and foreign currency denominated assets or liabilities. As of June 30, 2022, we had designated cash flow hedge forward contracts with notional amounts of €29.4 million, £9.1 million and Rs.3,211.0 million and non-designated forward contracts with notional amounts of €38.1 million, £17.1 million, Rs.281.6 million, and C$1.1 million. With our hedging strategy applied, the effect of an immediate 10% adverse change in foreign exchange rates would not be material to our financial condition, operating results or cash flows.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had $499.2 million in cash, cash equivalents and short-term and long-term marketable securities as of June 30, 2022. Cash and cash equivalents include cash held in banks, highly liquid money market funds and commercial paper. Marketable securities consist of fixed-income U.S. Treasury and government agency securities, commercial paper corporate bonds, asset-backed securities and foreign government securities. The primary objectives of our investment activities are the preservation of principal and support of our liquidity requirements. We do not invest for trading or speculative purposes. Our marketable securities are subject to market risk due to changes in interest rates, which may affect the interest income we earn and the fair market value. As of June 30, 2022, a hypothetical 100 basis point increase in interest rate would result in a decrease in the fair value of our marketable securities by $2.2 million.</w:t>
      </w:r>
    </w:p>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June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period covered by this report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be subject to claims arising in the ordinary course of our business. As of June 30, 2022,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spacing w:after="0" w:line="17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continued spread of COVID-19, or any similar widespread infectious disease outbreak, could harm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2019, an outbreak of COVID-19 originated in Wuhan, China and has since spread to countries around the world. On March 11, 2020, the World Health Organization characterized COVID-19 as a pandemic. The continued spread of COVID-19 and the resurgence of infection rates in certain regions has resulted in authorities imposing, and businesses and individuals implementing, numerous unprecedented measures to try to contain the virus, such as travel bans and restrictions, quarantines, shelter-in-place/stay-at-home and social distancing orders, and shutdowns. These measures have impacted and may further impact our workforce and operations, the operations of our customers, and those of our respective vendors, suppliers, and partners. The pandemic has significantly increased economic and demand uncertainty and disrupted the global supply chain. The pandemic has caused, and will likely continue to contribute to, an economic slowdown, and it is possible that it could cause a global recession, which could decrease demand for our solutions and negatively impact our operating results. There is a significant degree of uncertainty and lack of visibility as to the extent and duration of any such slowdown or recession.</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ultimate extent of the impact of COVID-19 on our business, financial position, results of operations and cash flows will depend on future developments, which are highly uncertain and cannot be predicted at this time, including but not limited to, the duration and geographic spread of the pandemic, its severity, the actions to contain the virus or treat its impact, future spikes of COVID-19 infections resulting in additional preventative measures to contain or mitigate the spread of the virus, the effectiveness, distribution and acceptance of COVID-19 vaccines, including the vaccines’ efficacy against emerging COVID-19 variants, and how quickly and to what extent normal economic and operating conditions can resume. These impacts, individually or in the aggregate, could have a material and adverse effect on our business, financial position, results of operations and cash flows. Such effect may be exacerbated in the event the pandemic and the measures taken in response to it continue to persist for an extended period of time. Under any of these circumstances, the resumption of normal business operations may be delayed or hampered by lingering effects of COVID-19 on our operations, partners, and customers.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vary from period to period, which could result in our failure to meet expectations with respect to operating results and cause the trading price of our stock to decline.</w:t>
      </w:r>
    </w:p>
    <w:p>
      <w:pPr>
        <w:spacing w:after="0" w:line="15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including:</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solutions;</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security breaches generally and the level of perceived threats to IT security;</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our existing and new products and services;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renewals of our solutions;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customers subscribe for additional solutions;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customers;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security breaches, technical difficulties or interruptions with our service;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IT, security and compliance market;</w:t>
      </w:r>
    </w:p>
    <w:p>
      <w:pPr>
        <w:spacing w:after="0" w:line="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or service introductions by us or our competitors or any other changes in the competitive landscape of our</w:t>
      </w:r>
    </w:p>
    <w:p>
      <w:pPr>
        <w:spacing w:after="0" w:line="27" w:lineRule="exact"/>
        <w:rPr>
          <w:rFonts w:ascii="Times New Roman" w:cs="Times New Roman" w:eastAsia="Times New Roman" w:hAnsi="Times New Roman"/>
          <w:sz w:val="18"/>
          <w:szCs w:val="18"/>
          <w:color w:val="auto"/>
        </w:rPr>
      </w:pPr>
    </w:p>
    <w:p>
      <w:pPr>
        <w:ind w:left="660" w:hanging="328"/>
        <w:spacing w:after="0" w:line="180" w:lineRule="auto"/>
        <w:tabs>
          <w:tab w:leader="none" w:pos="66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industry, including consolidation among our competitors;</w:t>
      </w:r>
    </w:p>
    <w:p>
      <w:pPr>
        <w:spacing w:after="0" w:line="69" w:lineRule="exact"/>
        <w:rPr>
          <w:rFonts w:ascii="Times New Roman" w:cs="Times New Roman" w:eastAsia="Times New Roman" w:hAnsi="Times New Roman"/>
          <w:sz w:val="25"/>
          <w:szCs w:val="25"/>
          <w:color w:val="auto"/>
          <w:vertAlign w:val="superscript"/>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or adoption of new technologies that compete with our solutions;</w:t>
      </w:r>
    </w:p>
    <w:p>
      <w:pPr>
        <w:spacing w:after="0" w:line="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customers to purchase IT, security and compliance products or services from other vendors;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related to the operations and expansion of our business;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sales commissions relative to the recognition of revenues;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adoption of new regulations and policy mandates or changes to existing regulations and policy mandates;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products and services to operate as designed;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our sales cycle for our products and services;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affecting their ability to purchase or pay for our solutions;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invoicing or changes in billing terms of customers;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deals signed within the quarter;</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and cost of hiring employees;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 the foreign markets in which we sell our solutions;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any products or services that we may acquire in the future into our product suite or migrate existing customers of any</w:t>
      </w:r>
    </w:p>
    <w:p>
      <w:pPr>
        <w:spacing w:after="0" w:line="27" w:lineRule="exact"/>
        <w:rPr>
          <w:rFonts w:ascii="Times New Roman" w:cs="Times New Roman" w:eastAsia="Times New Roman" w:hAnsi="Times New Roman"/>
          <w:sz w:val="18"/>
          <w:szCs w:val="18"/>
          <w:color w:val="auto"/>
        </w:rPr>
      </w:pPr>
    </w:p>
    <w:p>
      <w:pPr>
        <w:ind w:left="660" w:hanging="328"/>
        <w:spacing w:after="0" w:line="180" w:lineRule="auto"/>
        <w:tabs>
          <w:tab w:leader="none" w:pos="66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companies that we may acquire in the future to our products and services;</w:t>
      </w:r>
    </w:p>
    <w:p>
      <w:pPr>
        <w:spacing w:after="0" w:line="69" w:lineRule="exact"/>
        <w:rPr>
          <w:rFonts w:ascii="Times New Roman" w:cs="Times New Roman" w:eastAsia="Times New Roman" w:hAnsi="Times New Roman"/>
          <w:sz w:val="25"/>
          <w:szCs w:val="25"/>
          <w:color w:val="auto"/>
          <w:vertAlign w:val="superscript"/>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effective tax rate, changes in tax rules, tax effects of infrequent or unusual transactions, and tax audit settlements;</w:t>
      </w:r>
    </w:p>
    <w:p>
      <w:pPr>
        <w:spacing w:after="0" w:line="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income tax that we recognize resulting from stock-based compensation;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technologies, services or businesses;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goodwill and intangible asset impairment charges associated with acquired businesses.</w:t>
      </w:r>
    </w:p>
    <w:p>
      <w:pPr>
        <w:spacing w:after="0" w:line="29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shared cloud platform infrastructures, programming tools and computer language technology.</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solution enhancements or new solutions could fail to attain sufficient market acceptance for many reasons, including:</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timely meet market demand for product functionality;</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identify and provide intelligence regarding the attacks or techniques used by cyber-attackers;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database technologies, file systems or web applications of our prospective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errors or failures;</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enhancements or new solutions;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products by our competitors;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causing customers to delay IT, security and compliance purchases;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easing or changing of external regulations related to IT, security and compliance;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cloud solutions for IT, security and compliance.</w:t>
      </w:r>
    </w:p>
    <w:p>
      <w:pPr>
        <w:spacing w:after="0" w:line="29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effectively scale and adapt our platform to meet the performance and other requirements of our customers, our operating results and our business would be harmed.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future growth depends to a significant extent 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renew existing subscriptions for our IT, security and compliance solutions, sell additional subscriptions for our solutions and attract new customers, our operating results would be harmed.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operating results would be harmed.</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operating results would be harmed.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for cloud solutions for IT, security and compliance does not evolve as we anticipate, our revenues may not grow and our operating results would be harmed.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on the willingness of organizations to increase their use of cloud solutions for their IT, security and compliance.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website and internal systems may be subject to intentional disruption or other security incidents that could result in liability and adversely impact our reputation and future sales.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and our service providers face threats from a variety of sources, including attacks on our networks and systems from numerous sources, including traditional “hackers,” sophisticated nation-state and nation-state supported actors, other sources of malicious code (such as viruses and worms), ransomware, social engineering, denial of service attacks,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We and our service providers have experienced and may continue to experience security incidents and attacks of varying degrees from time to time. For example, in December 2020, we were notified by a service provider, Accellion, of a zero-day vulnerability affecting an Accellion FTA server that we deployed to transfer information as part of our customer support system. In response to this incident, we engaged third-party forensic experts to investigate and determined that attackers illegally obtained certain information from the Accellion FTA server. We notified affected customers, as we deemed was required or appropriate. We have incurred costs to respond to this incident and may continue to incur costs to support our efforts to enhance our security measures. Additionally, due to political uncertainty and military actions associated with Russia’s invasion of Ukraine, we and our service providers are vulnerable to heightened risks of cybersecurity incidents and security and privacy breaches from or affiliated with nation-state actors, including attacks that could materially disrupt our systems, operations and services.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solutions, platforms, and system, and those of our service providers, may also suffer security incidents as a result of non-technical issues, including intentional or inadvertent acts or omissions by our employees or service providers. With the increase in personnel working remotely during the current COVID-19 pandemic, we and our service providers are at increased risk for security breaches. We have taken and intend to continue to take steps to monitor and enhance the security of our solutions, cloud platform, and other relevant systems, IT infrastructure, networks, and data; however, the unprecedented scale of remote work may require additional personnel and resources, which nevertheless cannot be guaranteed to fully safeguard our solutions, our cloud platform, or any systems, IT infrastructure networks, or data upon which we rely. Further, because our operations involve providing IT security solutions to our customers, we may be targeted for cyber-attacks and other security incidents. A breach in our data security or an attack against our service availability, or that of our third-party service providers, could impact our networks or networks secured by our solutions, creating system disruptions or slowdowns and exploiting security vulnerabilities of our solutions, and the information stored on our networks or those of our third-party service providers could be accessed, used, publicly disclosed, altered, lost, or stolen, which could subject us to liability and cause us financial harm. If an actual or perceived disruption in the availability of our solutions or the breach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or alteration of information, litigation, regulatory actions and investigations and possible liability. Any such actual or perceived security breach or disruption could also divert the efforts of our technical and management personnel. We also may incur significant costs and operational consequences of investigating, remediating, eliminating and putting in place additional tools and devices designed to prevent actual or perceived security incidents, as well as the costs to comply with any notification obligations resulting from any security incidents.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timing of sales of subscriptions for our solutions can be difficult to forecast because of the length and unpredictability of our sales cycle, particularly with large transactions.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or reduced IT spending may adversely impact our business.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depends to a significant extent on the overall demand for IT and on the economic health of our current and prospective customers. Economic weakness, customer financial difficulties, inflationary pressures and potential for a recession,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inflationary pressures and potential for a recession, and geopolitical turmoil in many parts of the world, including the ongoing military conflict between Russia and Ukraine, and other disruptions to global and regional economies and markets in many parts of the world, as well as uncertainties related to changes in public policies such as domestic and international regulations, taxes or international trade agreements, have and may continue to put pressure on global economic conditions and overall spending on IT security and may further increase inflation, both in the U.S. and globally, which could increase our operating costs in the future and reduce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European operations, as well as our current and potential customers' available budgetary spending, which could lead to delays or reductions in planned purchases of our solutions.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IT, security and compliance solutions are delivered from 11 shared cloud platforms, and any disruption of service at these facilities would interrupt or delay our ability to deliver our solutions to our customers which could reduce our revenues and harm our operating results.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host substantially all of our solutions from third-party shared cloud platforms located in the United States, Canada, Switzerland, the Netherlands, United Arab Emirates, Australia, United Kingdom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of our shared cloud platforms are not currently redundant and we may not be able to rapidly move our customers from one shared cloud platform to another, which may increase delays in the restoration of our service for our customers if an adverse event occurs. We have added shared cloud platforms to provide additional capacity and to enable disaster recovery. We continue to build out these facilities; however, these additional facilities may not be operational in the anticipated time-frame and we may incur unplanned expenses.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our existing shared cloud platform providers have no obligations to renew their agreements with us on commercially reasonable terms, or at all. If we are unable to renew our agreements with the facilities providers on commercially reasonable terms or if in the future we add additional shared cloud platform providers, we may experience costs or downtime in connection with the loss of an existing facility or the transfer to, or addition of, new facilities.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in our markets, and we may lack sufficient financial or other resources to maintain or improve our competitive position.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compete with large and small public companies, such as Belden (Tripwire), Broadcom (Symantec Enterprise Security), CrowdStrike, Palo Alto Networks, Rapid7, Tenable Holdings, as well as privately held security providers including Axonius, Checkmarx, Flexera, Invicti, Ivanti, Tanium, Trustwave Holdings and Veracode.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brand name recognition;</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networks and more established relationships with distributors and customers;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develop and introduce products that compete with our solutions;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meet relevant regulatory requirements;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Canadian Dollars, Japanese Yen and Indian Rupee,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solutions fail to help our customers achieve and maintain compliance with regulations and industry standards, our revenues and operating results could be harmed.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solutions fail to detect vulnerabilities or incorrectly detect vulnerabilities, our brand and reputation could be harmed, which could have an adverse effect on our business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our solutions do not currently extend to cover all mobile and personal devices that employees may bring into an organization. As such, our solutions would not identify or address vulnerabilities in all mobile and personal devices, and our customers’ IT infrastructures may be compromised by attacks that infiltrate their networks through such devices.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continue the expansion of our sales force, sales of our solutions and the growth of our business would be harmed.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a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to generate a substantial amount of our revenues, and if we fail to expand and manage our distribution channels, our revenues could decline and our growth prospects could suffer.</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success significantly depends to a significant extent on establishing and maintaining relationships with a variety of channel partners and we anticipate that we will continue to depend on these partners in order to grow our business. For the six months ended June 30, 2022, we derived approximately 41%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foreign markets, including as a result of increasing tensions between India and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accounts receivable collection and longer collection periods;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(including U.S. taxes on foreign subsidiaries);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and limitation of protection for intellectual property rights in some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laws and regulations and the risks and costs of non-compliance with such laws and regulations;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political unrest, acts of terrorism, hostilities or war;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and possibly overlapping tax structures.</w:t>
      </w:r>
    </w:p>
    <w:p>
      <w:pPr>
        <w:spacing w:after="0" w:line="207"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Some of our business partners also have international operations and are subject to the risks described above. Even if we are able to successfully manage the risks of international operations, our business may be adversely affected if our business partners are not able to successfully manage these risks.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as of June 30, 2022, approximately 75% of our employees were located outside of the United States, with 67% of our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reporting currency is the U.S. dollar and we generate a majority of our revenues in U.S. dollars. However, for the six months ended June 30, 2022, we incurred approximately 29% of our expenses in foreign currencies, primarily Euros, British Pounds, and Indian Rupee, principally with respect to salaries and related personnel expenses associated with our European and Indian operations. Additionally, for the six months ended June 30, 2022, approximately 24%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results of our operations may be adversely affected by foreign exchange fluctuations.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have experienced significant growth, and if we do not appropriately manage any future growth, or are unable to improve our systems and processes, our operating results may be negatively affected.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significant growth over the last several years. Our revenues grew from $321.6 million in 2019 to $411.2 million in 2021, and our headcount increased from 1,194 employees at the beginning of 2019 to 1,962 employees as of June 30, 2022.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87"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continued services and performance of our senior management and other key employees, the loss of any of whom could adversely affect our business, operating results and financial condition.</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future performance depends to a significant extent on the continued services and continuing contributions of our senior management and other key employees, to execute on our business plan and to identify and pursue new opportunities and product innovations. We do not maintain key-man insurance for any member of our senior management team. Our senior management and key employees are generally employed on an at-will basis, which means that they could terminate their employment with us at any time. From time to time, there may be changes in our senior management team resulting from the termination or departure of executives. The loss of the services of our senior management or other key employees for any reason could significantly delay or prevent the achievement of our development and strategic objectives and harm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may suffer.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within our industry, and we may not be able to compete for such personnel.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revenues are generated by sales to government entities, which are subject to a number of challenges and risks.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in acquiring and integrating other businesses, products or technologies could impact our financial position.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order to remain competitive, we have in the past and may in the future seek to acquire additional businesses, products, services or technologies. For example, we acquired certain intellectual property of Spell Security on July 24, 2020, and certain intellectual property of TotalCloud on August 19, 2021.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 and even if we achieve benefits from acquisitions, such acquisitions may still be viewed negatively by customers, financial markets or investors. The acquisition and integration process is complex, expensive and time-consuming, and may cause an interruption of, or loss of momentum in, product development and sales activities and operations of both companies, as well as divert the attention of management, and we may incur substantial cost and expense. We may issue equity securities which could dilute current stockholders’ ownership, incur debt, assume contingent or other liabilities and expend cash in acquisitions, which could negatively impact our financial position, stockholder equity and stock price.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software-as-a-service vendors to operate certain functions of our business and any failure of such vendors to provide services to us could adversely impact our business and operations.</w:t>
      </w:r>
    </w:p>
    <w:p>
      <w:pPr>
        <w:spacing w:after="0" w:line="159" w:lineRule="exact"/>
        <w:rPr>
          <w:sz w:val="20"/>
          <w:szCs w:val="20"/>
          <w:color w:val="auto"/>
        </w:rPr>
      </w:pPr>
    </w:p>
    <w:p>
      <w:pPr>
        <w:jc w:val="both"/>
        <w:ind w:left="40" w:firstLine="324"/>
        <w:spacing w:after="0" w:line="258" w:lineRule="auto"/>
        <w:rPr>
          <w:sz w:val="20"/>
          <w:szCs w:val="20"/>
          <w:color w:val="auto"/>
        </w:rPr>
      </w:pPr>
      <w:r>
        <w:rPr>
          <w:rFonts w:ascii="Times New Roman" w:cs="Times New Roman" w:eastAsia="Times New Roman" w:hAnsi="Times New Roman"/>
          <w:sz w:val="18"/>
          <w:szCs w:val="18"/>
          <w:color w:val="auto"/>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Delays or interruptions in the manufacturing and delivery of our physical scanner appliances by our sole source manufacturer may harm our business.</w:t>
      </w:r>
    </w:p>
    <w:p>
      <w:pPr>
        <w:spacing w:after="0" w:line="229" w:lineRule="exact"/>
        <w:rPr>
          <w:sz w:val="20"/>
          <w:szCs w:val="20"/>
          <w:color w:val="auto"/>
        </w:rPr>
      </w:pPr>
    </w:p>
    <w:p>
      <w:pPr>
        <w:jc w:val="both"/>
        <w:ind w:left="40" w:firstLine="324"/>
        <w:spacing w:after="0" w:line="258" w:lineRule="auto"/>
        <w:rPr>
          <w:sz w:val="20"/>
          <w:szCs w:val="20"/>
          <w:color w:val="auto"/>
        </w:rPr>
      </w:pPr>
      <w:r>
        <w:rPr>
          <w:rFonts w:ascii="Times New Roman" w:cs="Times New Roman" w:eastAsia="Times New Roman" w:hAnsi="Times New Roman"/>
          <w:sz w:val="18"/>
          <w:szCs w:val="18"/>
          <w:color w:val="auto"/>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183" w:lineRule="exact"/>
        <w:rPr>
          <w:sz w:val="20"/>
          <w:szCs w:val="20"/>
          <w:color w:val="auto"/>
        </w:rPr>
      </w:pPr>
    </w:p>
    <w:p>
      <w:pPr>
        <w:jc w:val="both"/>
        <w:ind w:left="40" w:firstLine="324"/>
        <w:spacing w:after="0" w:line="258" w:lineRule="auto"/>
        <w:rPr>
          <w:sz w:val="20"/>
          <w:szCs w:val="20"/>
          <w:color w:val="auto"/>
        </w:rPr>
      </w:pPr>
      <w:r>
        <w:rPr>
          <w:rFonts w:ascii="Times New Roman" w:cs="Times New Roman" w:eastAsia="Times New Roman" w:hAnsi="Times New Roman"/>
          <w:sz w:val="18"/>
          <w:szCs w:val="18"/>
          <w:color w:val="auto"/>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or use of our solutions could result in customer dissatisfaction and harm our business and reputation.</w:t>
      </w:r>
    </w:p>
    <w:p>
      <w:pPr>
        <w:spacing w:after="0" w:line="229" w:lineRule="exact"/>
        <w:rPr>
          <w:sz w:val="20"/>
          <w:szCs w:val="20"/>
          <w:color w:val="auto"/>
        </w:rPr>
      </w:pPr>
    </w:p>
    <w:p>
      <w:pPr>
        <w:jc w:val="both"/>
        <w:ind w:left="40" w:firstLine="324"/>
        <w:spacing w:after="0" w:line="254" w:lineRule="auto"/>
        <w:rPr>
          <w:sz w:val="20"/>
          <w:szCs w:val="20"/>
          <w:color w:val="auto"/>
        </w:rPr>
      </w:pPr>
      <w:r>
        <w:rPr>
          <w:rFonts w:ascii="Times New Roman" w:cs="Times New Roman" w:eastAsia="Times New Roman" w:hAnsi="Times New Roman"/>
          <w:sz w:val="18"/>
          <w:szCs w:val="18"/>
          <w:color w:val="auto"/>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188" w:lineRule="exact"/>
        <w:rPr>
          <w:sz w:val="20"/>
          <w:szCs w:val="20"/>
          <w:color w:val="auto"/>
        </w:rPr>
      </w:pPr>
    </w:p>
    <w:p>
      <w:pPr>
        <w:jc w:val="both"/>
        <w:ind w:lef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recognize revenues from subscriptions over the term of the relevant service period, and therefore any decreases or increases in bookings are not immediately reflected in our operating results.</w:t>
      </w:r>
    </w:p>
    <w:p>
      <w:pPr>
        <w:spacing w:after="0" w:line="159" w:lineRule="exact"/>
        <w:rPr>
          <w:sz w:val="20"/>
          <w:szCs w:val="20"/>
          <w:color w:val="auto"/>
        </w:rPr>
      </w:pPr>
    </w:p>
    <w:p>
      <w:pPr>
        <w:jc w:val="both"/>
        <w:ind w:left="40" w:firstLine="324"/>
        <w:spacing w:after="0" w:line="256" w:lineRule="auto"/>
        <w:rPr>
          <w:sz w:val="20"/>
          <w:szCs w:val="20"/>
          <w:color w:val="auto"/>
        </w:rPr>
      </w:pPr>
      <w:r>
        <w:rPr>
          <w:rFonts w:ascii="Times New Roman" w:cs="Times New Roman" w:eastAsia="Times New Roman" w:hAnsi="Times New Roman"/>
          <w:sz w:val="18"/>
          <w:szCs w:val="18"/>
          <w:color w:val="auto"/>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3" w:lineRule="exact"/>
        <w:rPr>
          <w:sz w:val="20"/>
          <w:szCs w:val="20"/>
          <w:color w:val="auto"/>
        </w:rPr>
      </w:pPr>
    </w:p>
    <w:p>
      <w:pPr>
        <w:jc w:val="both"/>
        <w:ind w:lef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59" w:lineRule="exact"/>
        <w:rPr>
          <w:sz w:val="20"/>
          <w:szCs w:val="20"/>
          <w:color w:val="auto"/>
        </w:rPr>
      </w:pPr>
    </w:p>
    <w:p>
      <w:pPr>
        <w:jc w:val="both"/>
        <w:ind w:left="40" w:firstLine="324"/>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war, acts of terrorism, pandemics or other health emergencies, or responses to these events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 Russia and Belarus have been and may continue to be negatively affected by Russia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invasion of Ukraine and related sanctions imposed in response.</w:t>
      </w:r>
    </w:p>
    <w:p>
      <w:pPr>
        <w:spacing w:after="0" w:line="159" w:lineRule="exact"/>
        <w:rPr>
          <w:sz w:val="20"/>
          <w:szCs w:val="20"/>
          <w:color w:val="auto"/>
        </w:rPr>
      </w:pPr>
    </w:p>
    <w:p>
      <w:pPr>
        <w:jc w:val="both"/>
        <w:ind w:left="40" w:firstLine="324"/>
        <w:spacing w:after="0" w:line="258" w:lineRule="auto"/>
        <w:rPr>
          <w:sz w:val="20"/>
          <w:szCs w:val="20"/>
          <w:color w:val="auto"/>
        </w:rPr>
      </w:pPr>
      <w:r>
        <w:rPr>
          <w:rFonts w:ascii="Times New Roman" w:cs="Times New Roman" w:eastAsia="Times New Roman" w:hAnsi="Times New Roman"/>
          <w:sz w:val="18"/>
          <w:szCs w:val="18"/>
          <w:color w:val="auto"/>
        </w:rPr>
        <w:t>As a result of Russia's invasion of Ukraine in February 2022, we have suspended services to all customers in Russia and Belarus, effective March 2022, and we have made other adjustments to our operations in the region in light of U.S. and international sanctions. These sanctions continue in place and changes to them or additional measures implemented by the U.S. government or other applicable authorities could further affect our sales and operations in the region. Revenue from our operations in Russia and Belarus was not material during the six months ended June 30, 2022 and during the year ended December 31, 2021.</w:t>
      </w:r>
    </w:p>
    <w:p>
      <w:pPr>
        <w:sectPr>
          <w:pgSz w:w="11900" w:h="16838" w:orient="portrait"/>
          <w:cols w:equalWidth="0" w:num="1">
            <w:col w:w="11280"/>
          </w:cols>
          <w:pgMar w:left="280" w:top="121" w:right="339" w:bottom="825" w:gutter="0" w:footer="0" w:header="0"/>
        </w:sectPr>
      </w:pP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121" w:right="339" w:bottom="825"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Legal, Tax and Regulatory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Undetected software errors or flaws in our solutions could harm our reputation, decrease market acceptance of our solutions or result in liability.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could be used to collect and store personal information of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employees or customers, and therefore privacy and other data handling concerns could result in additional cost and liability to us or inhibit sales of our solutions.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Global Data Protection Regulation (“GDPR”). This regulation, which took effect in May of 2018, provides for substantial obligations relating to the handling, storage and other processing of data relating to individuals and administrative fines for violations, which can be up to four percent of the previous year’s annual revenue or €20 million, whichever is higher. The GDPR may be subject to new or changing interpretations by courts, and our interpretation of the law and efforts to comply with the rules and regulations of the law may be ruled invalid. Similarly, the California Consumer Privacy Act (“CCPA”) requires covered companies to, among other things, provide new disclosures to California consumers and affords such consumers new rights to opt-out of certain sales of personal information. The CCPA also creates a private right of action for statutory damages for certain breaches of information. Certain aspects of the CCPA and its interpretation remain uncertain and are likely to remain uncertain for an extended period. Additionally, a new privacy law, the California Privacy Rights Act (“CPRA”), was approved by voters in the November 3, 2020 election. The CPRA modifies the CCPA significantly, creating obligations relating to consumer data beginning on January 1, 2022, and enforcement is expected to commence on July 1, 2023. Passage of the CPRA has resulted in further uncertainty and may require us to incur additional costs and expenses in an effort to comply. In addition, other states have enacted or proposed legislation that regulates the collection, use, and sale of personal information, and such regimes might not be compatible with the GDPR, the CCPA or the CPRA or may require us to undertake additional practices. Accordingly, we cannot yet predict the impact of the CCPA, CRPA or other evolving privacy and data protection obligations on our business or operations, but it may require us to modify our data processing practices and policies and incur substantial costs and expenses in an effort to comply.</w:t>
      </w:r>
    </w:p>
    <w:p>
      <w:pPr>
        <w:spacing w:after="0" w:line="19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privacy, data protection, and information security laws and regulations we must comply with also are subject to change. For example, the United Kingdom enacted a Data Protection Act in May 2018 that substantially implements the GDPR, but the United Kingdom's exit from the European Union, commonly referred to as “Brexit,” could lead to further legislative and regulatory changes. It remains unclear how United Kingdom data protection laws or regulations will develop in the medium to longer term and how data transfers to and from the United Kingdom will be regulated. Additionally, we have joined the EU-U.S. Privacy Shield Framework and a related program, the Swiss-U.S. Privacy Shield Framework, and adopted certain standard contractual clauses approved by the European Commission (“SCCs”) as part of our data processing agreements with regard to certain transfers of personal data from the European Economic Area (“EEA”) to the U.S. to ensure that we work with vendors that have adopted the same, where appropriate. While both the EU-U.S. Privacy Shield Framework and SCCs have been subject to legal challenge, we continue to analyze the July 2020 “Schrems II” decision by the Court of Justice of the European Union (“CJEU”) and its impact on our data transfer mechanisms as well as subsequent guidance from data privacy regulators and new SCCs published by the European Commission in June 2021, and we may find it necessary or appropriate to take different or additional steps with respect to transfers of personal data, which may result in increased costs of compliance and limitations on our customers and us. We may be unsuccessful in maintaining legitimate means for our transfer and receipt of personal data from the EEA or Switzerland. We may experience reluctance or refusal by current or prospective European customers to use our products, and we and our customers may face a risk of enforcement actions by data protection authorities in the EEA relating to personal data transfers to us and by us from the EEA. Any such enforcement actions could result in substantial costs and diversion of resources, distract management and technical personnel and negatively affect our business, operating results and financial condition. Some countries also are considering or have passed legislation requiring local storage and processing of data, or similar requirements, which could increase the cost and complexity of delivering our services.</w:t>
      </w:r>
    </w:p>
    <w:p>
      <w:pPr>
        <w:sectPr>
          <w:pgSz w:w="11900" w:h="16838" w:orient="portrait"/>
          <w:cols w:equalWidth="0" w:num="1">
            <w:col w:w="11240"/>
          </w:cols>
          <w:pgMar w:left="320" w:top="121" w:right="339" w:bottom="393"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93"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contain third-party open source software components, and our failure to comply with the terms of the underlying open source software licenses could restrict our ability to sell our solutions.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third-party software and data that may be difficult to replace or cause errors or failures of our solutions that could lead to lost customers or harm to our reputation and our operating results.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proprietary technology and intellectual property rights could substantially harm our business and operating results.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violations by us of their intellectual property rights could result in significant costs and harm our business and operating results.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adverse outcome of a dispute may require us to:</w:t>
      </w:r>
    </w:p>
    <w:p>
      <w:pPr>
        <w:spacing w:after="0" w:line="27" w:lineRule="exact"/>
        <w:rPr>
          <w:sz w:val="20"/>
          <w:szCs w:val="20"/>
          <w:color w:val="auto"/>
        </w:rPr>
      </w:pPr>
    </w:p>
    <w:p>
      <w:pPr>
        <w:ind w:left="460" w:hanging="223"/>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including treble damages, if we are found to have willfully infringed a third party’s patents or copyrights;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making, licensing or using solutions that are alleged to infringe or misappropriate the intellectual property of others;</w:t>
      </w:r>
    </w:p>
    <w:p>
      <w:pPr>
        <w:spacing w:after="0" w:line="9" w:lineRule="exact"/>
        <w:rPr>
          <w:rFonts w:ascii="Times New Roman" w:cs="Times New Roman" w:eastAsia="Times New Roman" w:hAnsi="Times New Roman"/>
          <w:sz w:val="18"/>
          <w:szCs w:val="18"/>
          <w:color w:val="auto"/>
        </w:rPr>
      </w:pPr>
    </w:p>
    <w:p>
      <w:pPr>
        <w:ind w:left="460" w:hanging="223"/>
        <w:spacing w:after="0" w:line="25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additional development resources to attempt to redesign our solutions or otherwise develop non-infringing technology, which may not be successful;</w:t>
      </w:r>
    </w:p>
    <w:p>
      <w:pPr>
        <w:ind w:left="460" w:hanging="223"/>
        <w:spacing w:after="0" w:line="25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potentially unfavorable royalty or license agreements in order to obtain the right to use necessary technologies or intellectual property rights; and</w:t>
      </w:r>
    </w:p>
    <w:p>
      <w:pPr>
        <w:ind w:left="460" w:hanging="223"/>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our partners and other third parties.</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w:t>
      </w:r>
    </w:p>
    <w:p>
      <w:pPr>
        <w:sectPr>
          <w:pgSz w:w="11900" w:h="16838" w:orient="portrait"/>
          <w:cols w:equalWidth="0" w:num="1">
            <w:col w:w="11240"/>
          </w:cols>
          <w:pgMar w:left="320" w:top="121" w:right="339" w:bottom="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technology licensed to us. Any of the foregoing events could seriously harm our business, financial condition and results of operations.</w:t>
      </w:r>
    </w:p>
    <w:p>
      <w:pPr>
        <w:sectPr>
          <w:pgSz w:w="11900" w:h="16838" w:orient="portrait"/>
          <w:cols w:equalWidth="0" w:num="1">
            <w:col w:w="10139"/>
          </w:cols>
          <w:pgMar w:left="320" w:top="121" w:right="1440" w:bottom="1440" w:gutter="0" w:footer="0" w:header="0"/>
        </w:sectPr>
      </w:pP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export or import controls could subject us to liability if we violate them or limit our ability to compete in foreign markets.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solutions are subject to U.S. export controls, specifically, the Export Administration Regulations and economic sanctions enforced by the Office of Foreign Assets Control.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collect higher sales and use or other taxes on the solutions we sell, we may be subject to liability for past sales and our future sales may decrease.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have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income tax provision or adverse outcomes resulting from examination of our income tax returns could adversely affect our operating results. We could be subject to additional taxes.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and excess tax benefits arising from stock-based compensation, other tax benefits and credits, and the valuation of deferred tax assets and liabilities. Increases in our effective tax rate could harm our operating results.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significant judgment is required in evaluating our tax positions and our worldwide tax provisions.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an investment in our common stock and could subject us to litigation.</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subject to significant fluctuations in response to a number of factors, most of which we cannot predict or control, including:</w:t>
      </w:r>
    </w:p>
    <w:p>
      <w:pPr>
        <w:ind w:left="460" w:hanging="223"/>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solutions, services or technologies, commercial relationships, acquisitions or other events by us or our competitors;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securities of similar companies;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 or the operating results of our competitors;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any of our key personnel;</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litigation;</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legal or regulatory developments in the United States and other countries; and</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financial press and in online investor communities.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June 30, 2022, we had approximately 38.5 million shares of our common stock outstanding.</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as of June 30, 2022, there were approximately 0.9 million restricted stock units and options to purchase approximately 1.8 million shares of our common stock outstanding. If such options are exercised and restricted stock units are released, these additional shares will become available for sale. As of June 30, 2022, we had an aggregate of 3.1 million shares of our common stock reserved for future issuance under our Restated 2012 Equity Incentive Plan and 0.6 million shares reserved for future purchase under our 2021 Employee Stock Purchase Plan, which can be freely sold in the public market upon issuance. If a large number of these shares are sold in the public market, the sales could reduce the trading price of our common stock.</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consummated or that it will enhance stockholder value, and any share repurchases we make could affect the price of our common stock.</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12, 2018, we announced that our board of directors had authorized a $100.0 million two-year share repurchase program. On each of October 30, 2018, October 30, 2019, May 7, 2020, and February 10, 2021, we announced that our board of directors had authorized an increase of $100.0 million, and on each of November 3, 2021 and May 4, 2022, we announced that our board of directors had authorized an increase of $200.0 million to the share repurchase program, resulting in an aggregate authorization of $900.0 million as of June 30, 2022. Although our board of directors authorized the share repurchase program, we are not obligated to repurchase any specific dollar amount or to acquire any specific number of shares. The share repurchase program could affect the price of our common stock, increase volatility and diminish our cash reserves. In addition, it may be suspended or terminated at any time, which may result in a decrease in the price of our common stock. During the six months ended June 30, 2022, we repurchased 0.9 million shares of our common stock for approximately $117.8 million. As of June 30, 2022, approximately $354.0 million remained available for share repurchases pursuant to our share repurchase program.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therefore any returns will be limited to the value of our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delay or prevent an acquisition of us or a change in our management. These provisions include:</w:t>
      </w:r>
    </w:p>
    <w:p>
      <w:pPr>
        <w:jc w:val="both"/>
        <w:ind w:left="460" w:hanging="223"/>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1"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whose members can only be dismissed for cause;</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actions by written consent of our stockholders;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on who may call a special meeting of stockholders;</w:t>
      </w:r>
    </w:p>
    <w:p>
      <w:pPr>
        <w:spacing w:after="0" w:line="9" w:lineRule="exact"/>
        <w:rPr>
          <w:rFonts w:ascii="Times New Roman" w:cs="Times New Roman" w:eastAsia="Times New Roman" w:hAnsi="Times New Roman"/>
          <w:sz w:val="18"/>
          <w:szCs w:val="18"/>
          <w:color w:val="auto"/>
        </w:rPr>
      </w:pPr>
    </w:p>
    <w:p>
      <w:pPr>
        <w:ind w:left="460" w:hanging="223"/>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advance notice requirements for nominations for election to our board of directors or for proposing matters that can be acted upon at stockholder meetings; and</w:t>
      </w: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at least two-thirds of the outstanding capital stock to amend any of the foregoing second through fifth provisions.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of directors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Disruptive technologies could gain wide adoption and supplant our cloud-based IT, security and compliance solutions, thereby weakening our sales and harming our results of operations.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maintain profitability in the future.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Forecasts of market growth may prove to be inaccurate, and even if the markets in which we compete achieve the forecasted growth, there can be no assurance that our business will grow at similar rates, or at all.</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“Part I,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and stock-based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and unexpected revenue fluctuations and impact our reported results of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reported results and may even retroactively affect previously reported transactions. New accounting pronouncements and varying interpretations of accounting pronouncements have occurred and may occur in the future. Changes to existing rules or the questioning of current practices may harm our operating results or require that we make significant changes to our systems, processes and controls or the way we conduct our business.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our ability to produce timely and accurate financial statements or comply with applicable regulations could be impaired.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2021,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ectPr>
          <w:pgSz w:w="11900" w:h="16838" w:orient="portrait"/>
          <w:cols w:equalWidth="0" w:num="1">
            <w:col w:w="11240"/>
          </w:cols>
          <w:pgMar w:left="320" w:top="121" w:right="339" w:bottom="825"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25" w:gutter="0" w:footer="0" w:header="0"/>
          <w:type w:val="continuous"/>
        </w:sectPr>
      </w:pPr>
    </w:p>
    <w:bookmarkStart w:id="56" w:name="page57"/>
    <w:bookmarkEnd w:id="56"/>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our repurchases of common stock during the three months ended June 30,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Dollar</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 of Shares</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that</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Plan or Program</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 the Plan or</w:t>
            </w: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100" w:type="dxa"/>
            <w:vAlign w:val="bottom"/>
          </w:tcPr>
          <w:p>
            <w:pPr>
              <w:spacing w:after="0"/>
              <w:rPr>
                <w:sz w:val="20"/>
                <w:szCs w:val="20"/>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 April 30, 2022</w:t>
            </w:r>
          </w:p>
        </w:tc>
        <w:tc>
          <w:tcPr>
            <w:tcW w:w="1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87,000</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141.98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212,891,819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May 1 - May 31, 2022</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251,997</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121.66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251,997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382,234,672</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 June 30, 2022</w:t>
            </w:r>
          </w:p>
        </w:tc>
        <w:tc>
          <w:tcPr>
            <w:tcW w:w="1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222,428</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126.89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222,428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354,011,284</w:t>
            </w: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561,425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32"/>
        <w:spacing w:after="0" w:line="255" w:lineRule="auto"/>
        <w:tabs>
          <w:tab w:leader="none" w:pos="5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2018, we announced that our board of directors authorized a $100.0 million share repurchase program. On each of October 30, 2018, October 30, 2019, May 7, 2020 and February 10, 2021, we announced that our board of directors had authorized an increase of $100.0 million, and on each of November 3, 2021 and May 4, 2022, we announced that our board of directors had authorized an increase of $200.0 million to the share repurchase program, resulting in an aggregate authorization of $900.0 million as of June 30, 2022. Shares may be repurchased from time to time on the open market in accordance with Rule 10b-18 of the Exchange Act of 1934. We have entered into a pre-set trading plan adopted in accordance with Rule 10b5-1 under the Exchange Act to effect repurchases under our share repurchase program. All share repurchases have been made using cash resources. Our share repurchase program does not have an expiration date.</w:t>
      </w:r>
    </w:p>
    <w:p>
      <w:pPr>
        <w:sectPr>
          <w:pgSz w:w="11900" w:h="16864"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Defaults upon Senior Securities</w:t>
      </w:r>
    </w:p>
    <w:p>
      <w:pPr>
        <w:spacing w:after="0" w:line="200" w:lineRule="exact"/>
        <w:rPr>
          <w:sz w:val="20"/>
          <w:szCs w:val="20"/>
          <w:color w:val="auto"/>
        </w:rPr>
      </w:pPr>
    </w:p>
    <w:p>
      <w:pPr>
        <w:sectPr>
          <w:pgSz w:w="11900" w:h="16864" w:orient="portrait"/>
          <w:cols w:equalWidth="0" w:num="2">
            <w:col w:w="540" w:space="380"/>
            <w:col w:w="10320"/>
          </w:cols>
          <w:pgMar w:left="320" w:top="121" w:right="339" w:bottom="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64" w:orient="portrait"/>
          <w:cols w:equalWidth="0" w:num="1">
            <w:col w:w="11240"/>
          </w:cols>
          <w:pgMar w:left="320" w:top="121" w:right="339"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Mine Safety Disclosures</w:t>
      </w:r>
    </w:p>
    <w:p>
      <w:pPr>
        <w:spacing w:after="0" w:line="200" w:lineRule="exact"/>
        <w:rPr>
          <w:sz w:val="20"/>
          <w:szCs w:val="20"/>
          <w:color w:val="auto"/>
        </w:rPr>
      </w:pPr>
    </w:p>
    <w:p>
      <w:pPr>
        <w:sectPr>
          <w:pgSz w:w="11900" w:h="16864" w:orient="portrait"/>
          <w:cols w:equalWidth="0" w:num="2">
            <w:col w:w="540" w:space="380"/>
            <w:col w:w="10320"/>
          </w:cols>
          <w:pgMar w:left="320" w:top="121" w:right="339" w:bottom="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64" w:orient="portrait"/>
          <w:cols w:equalWidth="0" w:num="1">
            <w:col w:w="11240"/>
          </w:cols>
          <w:pgMar w:left="320" w:top="121" w:right="339"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200" w:lineRule="exact"/>
        <w:rPr>
          <w:sz w:val="20"/>
          <w:szCs w:val="20"/>
          <w:color w:val="auto"/>
        </w:rPr>
      </w:pPr>
    </w:p>
    <w:p>
      <w:pPr>
        <w:sectPr>
          <w:pgSz w:w="11900" w:h="16864" w:orient="portrait"/>
          <w:cols w:equalWidth="0" w:num="2">
            <w:col w:w="540" w:space="380"/>
            <w:col w:w="10320"/>
          </w:cols>
          <w:pgMar w:left="320" w:top="121" w:right="339" w:bottom="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64" w:orient="portrait"/>
          <w:cols w:equalWidth="0" w:num="1">
            <w:col w:w="11240"/>
          </w:cols>
          <w:pgMar w:left="320" w:top="121" w:right="339"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ectPr>
          <w:pgSz w:w="11900" w:h="16864" w:orient="portrait"/>
          <w:cols w:equalWidth="0" w:num="2">
            <w:col w:w="540" w:space="380"/>
            <w:col w:w="10320"/>
          </w:cols>
          <w:pgMar w:left="320" w:top="121" w:right="339" w:bottom="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ectPr>
          <w:pgSz w:w="11900" w:h="16864" w:orient="portrait"/>
          <w:cols w:equalWidth="0" w:num="1">
            <w:col w:w="11240"/>
          </w:cols>
          <w:pgMar w:left="320" w:top="121" w:right="339" w:bottom="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20" w:type="dxa"/>
            <w:vAlign w:val="bottom"/>
          </w:tcPr>
          <w:p>
            <w:pPr>
              <w:spacing w:after="0"/>
              <w:rPr>
                <w:sz w:val="18"/>
                <w:szCs w:val="18"/>
                <w:color w:val="auto"/>
              </w:rPr>
            </w:pPr>
          </w:p>
        </w:tc>
        <w:tc>
          <w:tcPr>
            <w:tcW w:w="101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8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Qualys, Inc. 2012 Equity Incentive Plan, as amended, restated and extended (incorporated by reference to Exhibit 10.1 to the Registrant's</w:t>
              </w:r>
            </w:hyperlink>
          </w:p>
        </w:tc>
        <w:tc>
          <w:tcPr>
            <w:tcW w:w="22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7"/>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Current Report on Form 8-K filed with the SEC on June 10, 2022).</w:t>
              </w:r>
            </w:hyperlink>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31.1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 13a-14(a) or Rule 15d-14(a) of the Securities Exchange Act of 1934, as</w:t>
            </w:r>
          </w:p>
        </w:tc>
        <w:tc>
          <w:tcPr>
            <w:tcW w:w="600" w:type="dxa"/>
            <w:vAlign w:val="bottom"/>
            <w:gridSpan w:val="2"/>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31.2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13a-14(a) or Rule 15d-14(a) of the Securities Exchange Act of 1934, as</w:t>
            </w: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620" w:type="dxa"/>
            <w:vAlign w:val="bottom"/>
            <w:gridSpan w:val="3"/>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32.1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 13a-14(b) or Rule 15d-14(b) of the Securities Exchange Act of 1934 and</w:t>
            </w: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18 U.S.C. Section 1350 as adopted pursuant to Section 906 of The Sarbanes-Oxley Act of 2002.</w:t>
            </w:r>
          </w:p>
        </w:tc>
        <w:tc>
          <w:tcPr>
            <w:tcW w:w="620" w:type="dxa"/>
            <w:vAlign w:val="bottom"/>
            <w:gridSpan w:val="3"/>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gridSpan w:val="3"/>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32.2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13a-14(b) or Rule 15d-14(b) of the Securities Exchange Act of 1934 and</w:t>
            </w: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18 U.S.C. Section 1350 as adopted pursuant to Section 906 of The Sarbanes-Oxley Act of 2002.</w:t>
            </w:r>
          </w:p>
        </w:tc>
        <w:tc>
          <w:tcPr>
            <w:tcW w:w="620" w:type="dxa"/>
            <w:vAlign w:val="bottom"/>
            <w:gridSpan w:val="3"/>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gridSpan w:val="3"/>
            <w:shd w:val="clear" w:color="auto" w:fill="0000EE"/>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r>
      <w:tr>
        <w:trPr>
          <w:trHeight w:val="4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INS</w:t>
            </w:r>
          </w:p>
        </w:tc>
        <w:tc>
          <w:tcPr>
            <w:tcW w:w="1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SCH</w:t>
            </w:r>
          </w:p>
        </w:tc>
        <w:tc>
          <w:tcPr>
            <w:tcW w:w="1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CAL</w:t>
            </w:r>
          </w:p>
        </w:tc>
        <w:tc>
          <w:tcPr>
            <w:tcW w:w="1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DEF</w:t>
            </w:r>
          </w:p>
        </w:tc>
        <w:tc>
          <w:tcPr>
            <w:tcW w:w="1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LAB</w:t>
            </w:r>
          </w:p>
        </w:tc>
        <w:tc>
          <w:tcPr>
            <w:tcW w:w="1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PRE</w:t>
            </w:r>
          </w:p>
        </w:tc>
        <w:tc>
          <w:tcPr>
            <w:tcW w:w="1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is embedded within the Inline XBRL document or included</w:t>
            </w:r>
          </w:p>
        </w:tc>
      </w:tr>
    </w:tbl>
    <w:p>
      <w:pPr>
        <w:sectPr>
          <w:pgSz w:w="11900" w:h="16864" w:orient="portrait"/>
          <w:cols w:equalWidth="0" w:num="1">
            <w:col w:w="11240"/>
          </w:cols>
          <w:pgMar w:left="320" w:top="121" w:right="339" w:bottom="0" w:gutter="0" w:footer="0" w:header="0"/>
          <w:type w:val="continuous"/>
        </w:sectPr>
      </w:pPr>
    </w:p>
    <w:bookmarkStart w:id="57" w:name="page58"/>
    <w:bookmarkEnd w:id="57"/>
    <w:p>
      <w:pPr>
        <w:ind w:left="1452"/>
        <w:spacing w:after="0"/>
        <w:rPr>
          <w:sz w:val="20"/>
          <w:szCs w:val="20"/>
          <w:color w:val="auto"/>
        </w:rPr>
      </w:pPr>
      <w:r>
        <w:rPr>
          <w:rFonts w:ascii="Times New Roman" w:cs="Times New Roman" w:eastAsia="Times New Roman" w:hAnsi="Times New Roman"/>
          <w:sz w:val="18"/>
          <w:szCs w:val="18"/>
          <w:color w:val="auto"/>
        </w:rPr>
        <w:t>within Exhibit 101 attachments.</w:t>
      </w:r>
    </w:p>
    <w:p>
      <w:pPr>
        <w:spacing w:after="0" w:line="225" w:lineRule="exact"/>
        <w:rPr>
          <w:sz w:val="20"/>
          <w:szCs w:val="20"/>
          <w:color w:val="auto"/>
        </w:rPr>
      </w:pPr>
    </w:p>
    <w:p>
      <w:pPr>
        <w:ind w:left="492" w:hanging="492"/>
        <w:spacing w:after="0"/>
        <w:tabs>
          <w:tab w:leader="none" w:pos="4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25" w:lineRule="exact"/>
        <w:rPr>
          <w:rFonts w:ascii="Times New Roman" w:cs="Times New Roman" w:eastAsia="Times New Roman" w:hAnsi="Times New Roman"/>
          <w:sz w:val="18"/>
          <w:szCs w:val="18"/>
          <w:color w:val="auto"/>
        </w:rPr>
      </w:pPr>
    </w:p>
    <w:p>
      <w:pPr>
        <w:jc w:val="both"/>
        <w:ind w:left="49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80"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32"/>
          </w:cols>
          <w:pgMar w:left="328" w:top="121" w:right="5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8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the City of Foster City, State of California on August 8, 2022.</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229"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Joo Mi Kim</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60"/>
          </w:cols>
          <w:pgMar w:left="320" w:top="121" w:right="4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Sumedh Thakar, certify that:</w:t>
      </w:r>
    </w:p>
    <w:p>
      <w:pPr>
        <w:spacing w:after="0" w:line="225"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Qualys,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hanging="482"/>
        <w:spacing w:after="0" w:line="266" w:lineRule="auto"/>
        <w:tabs>
          <w:tab w:leader="none" w:pos="113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hanging="482"/>
        <w:spacing w:after="0" w:line="266" w:lineRule="auto"/>
        <w:tabs>
          <w:tab w:leader="none" w:pos="113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482"/>
        <w:spacing w:after="0" w:line="282" w:lineRule="auto"/>
        <w:tabs>
          <w:tab w:leader="none" w:pos="113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hanging="482"/>
        <w:spacing w:after="0" w:line="266" w:lineRule="auto"/>
        <w:tabs>
          <w:tab w:leader="none" w:pos="113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482"/>
        <w:spacing w:after="0" w:line="282" w:lineRule="auto"/>
        <w:tabs>
          <w:tab w:leader="none" w:pos="113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482"/>
        <w:spacing w:after="0" w:line="282" w:lineRule="auto"/>
        <w:tabs>
          <w:tab w:leader="none" w:pos="113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August 8, 2022</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SUMEDH THAKAR</w:t>
            </w:r>
          </w:p>
        </w:tc>
      </w:tr>
      <w:tr>
        <w:trPr>
          <w:trHeight w:val="191"/>
        </w:trPr>
        <w:tc>
          <w:tcPr>
            <w:tcW w:w="920" w:type="dxa"/>
            <w:vAlign w:val="bottom"/>
          </w:tcPr>
          <w:p>
            <w:pPr>
              <w:spacing w:after="0"/>
              <w:rPr>
                <w:sz w:val="16"/>
                <w:szCs w:val="16"/>
                <w:color w:val="auto"/>
              </w:rPr>
            </w:pP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Sumedh Thakar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Qualys, Inc.</w:t>
            </w:r>
          </w:p>
        </w:tc>
      </w:tr>
    </w:tbl>
    <w:p>
      <w:pPr>
        <w:sectPr>
          <w:pgSz w:w="11900" w:h="16838" w:orient="portrait"/>
          <w:cols w:equalWidth="0" w:num="1">
            <w:col w:w="11240"/>
          </w:cols>
          <w:pgMar w:left="320" w:top="33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Joo Mi Kim, certify that:</w:t>
      </w:r>
    </w:p>
    <w:p>
      <w:pPr>
        <w:spacing w:after="0" w:line="225"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Qualys,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hanging="482"/>
        <w:spacing w:after="0" w:line="266" w:lineRule="auto"/>
        <w:tabs>
          <w:tab w:leader="none" w:pos="113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hanging="482"/>
        <w:spacing w:after="0" w:line="266" w:lineRule="auto"/>
        <w:tabs>
          <w:tab w:leader="none" w:pos="113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482"/>
        <w:spacing w:after="0" w:line="282" w:lineRule="auto"/>
        <w:tabs>
          <w:tab w:leader="none" w:pos="113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hanging="482"/>
        <w:spacing w:after="0" w:line="266" w:lineRule="auto"/>
        <w:tabs>
          <w:tab w:leader="none" w:pos="113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482"/>
        <w:spacing w:after="0" w:line="282" w:lineRule="auto"/>
        <w:tabs>
          <w:tab w:leader="none" w:pos="113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482"/>
        <w:spacing w:after="0" w:line="282" w:lineRule="auto"/>
        <w:tabs>
          <w:tab w:leader="none" w:pos="113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August 8, 2022</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JOO MI KIM</w:t>
            </w:r>
          </w:p>
        </w:tc>
      </w:tr>
      <w:tr>
        <w:trPr>
          <w:trHeight w:val="191"/>
        </w:trPr>
        <w:tc>
          <w:tcPr>
            <w:tcW w:w="920" w:type="dxa"/>
            <w:vAlign w:val="bottom"/>
          </w:tcPr>
          <w:p>
            <w:pPr>
              <w:spacing w:after="0"/>
              <w:rPr>
                <w:sz w:val="16"/>
                <w:szCs w:val="16"/>
                <w:color w:val="auto"/>
              </w:rPr>
            </w:pP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Joo Mi Kim</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34"/>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Qualys, Inc.</w:t>
            </w:r>
          </w:p>
        </w:tc>
      </w:tr>
    </w:tbl>
    <w:p>
      <w:pPr>
        <w:sectPr>
          <w:pgSz w:w="11900" w:h="16838" w:orient="portrait"/>
          <w:cols w:equalWidth="0" w:num="1">
            <w:col w:w="11240"/>
          </w:cols>
          <w:pgMar w:left="320" w:top="333"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13a-14(b) OR RULE 15d-14(b) OF THE SECURITIES EXCHANGE ACT OF 1934 AND 18 U.S.C. SECTION 1350</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Qualys, Inc. (the “Company”) on Form 10-Q for the quarter ended June 30, 2022, as filed with the Securities and Exchange Commission on the date hereof (the “Report”), I, Sumedh Thakar, President and Chief Executive Officer of the Company, certify, pursuant to 18 U.S.C. § 1350, as adopted pursuant to § 906 of the Sarbanes-Oxley Act of 2002, that, to the best of my knowledge:</w:t>
      </w:r>
    </w:p>
    <w:p>
      <w:pPr>
        <w:spacing w:after="0" w:line="157" w:lineRule="exact"/>
        <w:rPr>
          <w:sz w:val="20"/>
          <w:szCs w:val="20"/>
          <w:color w:val="auto"/>
        </w:rPr>
      </w:pPr>
    </w:p>
    <w:p>
      <w:pPr>
        <w:ind w:left="820" w:hanging="326"/>
        <w:spacing w:after="0"/>
        <w:tabs>
          <w:tab w:leader="none" w:pos="8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22"/>
          <w:szCs w:val="22"/>
          <w:color w:val="auto"/>
        </w:rPr>
      </w:pPr>
    </w:p>
    <w:p>
      <w:pPr>
        <w:ind w:left="820" w:hanging="326"/>
        <w:spacing w:after="0" w:line="234" w:lineRule="auto"/>
        <w:tabs>
          <w:tab w:leader="none" w:pos="8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August 8, 2022</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SUMEDH THAKAR</w:t>
            </w:r>
          </w:p>
        </w:tc>
      </w:tr>
      <w:tr>
        <w:trPr>
          <w:trHeight w:val="191"/>
        </w:trPr>
        <w:tc>
          <w:tcPr>
            <w:tcW w:w="920" w:type="dxa"/>
            <w:vAlign w:val="bottom"/>
          </w:tcPr>
          <w:p>
            <w:pPr>
              <w:spacing w:after="0"/>
              <w:rPr>
                <w:sz w:val="16"/>
                <w:szCs w:val="16"/>
                <w:color w:val="auto"/>
              </w:rPr>
            </w:pP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Sumedh Thakar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Qualys, Inc.</w:t>
            </w:r>
          </w:p>
        </w:tc>
      </w:tr>
    </w:tbl>
    <w:p>
      <w:pPr>
        <w:sectPr>
          <w:pgSz w:w="11900" w:h="16838" w:orient="portrait"/>
          <w:cols w:equalWidth="0" w:num="1">
            <w:col w:w="11240"/>
          </w:cols>
          <w:pgMar w:left="320" w:top="333" w:right="339" w:bottom="1440" w:gutter="0" w:footer="0" w:header="0"/>
        </w:sectPr>
      </w:pPr>
    </w:p>
    <w:bookmarkStart w:id="62" w:name="page63"/>
    <w:bookmarkEnd w:id="62"/>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13a-14(b) OR RULE 15d-14(b) OF THE SECURITIES EXCHANGE ACT OF 1934 AND 18 U.S.C. SECTION 1350</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Qualys, Inc. (the “Company”) on Form 10-Q for the quarter ended June 30, 2022,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spacing w:after="0" w:line="157" w:lineRule="exact"/>
        <w:rPr>
          <w:sz w:val="20"/>
          <w:szCs w:val="20"/>
          <w:color w:val="auto"/>
        </w:rPr>
      </w:pPr>
    </w:p>
    <w:p>
      <w:pPr>
        <w:ind w:left="820" w:hanging="326"/>
        <w:spacing w:after="0"/>
        <w:tabs>
          <w:tab w:leader="none" w:pos="8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22"/>
          <w:szCs w:val="22"/>
          <w:color w:val="auto"/>
        </w:rPr>
      </w:pPr>
    </w:p>
    <w:p>
      <w:pPr>
        <w:ind w:left="820" w:hanging="326"/>
        <w:spacing w:after="0" w:line="234" w:lineRule="auto"/>
        <w:tabs>
          <w:tab w:leader="none" w:pos="8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August 8, 2022</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JOO MI KIM</w:t>
            </w:r>
          </w:p>
        </w:tc>
      </w:tr>
      <w:tr>
        <w:trPr>
          <w:trHeight w:val="191"/>
        </w:trPr>
        <w:tc>
          <w:tcPr>
            <w:tcW w:w="920" w:type="dxa"/>
            <w:vAlign w:val="bottom"/>
          </w:tcPr>
          <w:p>
            <w:pPr>
              <w:spacing w:after="0"/>
              <w:rPr>
                <w:sz w:val="16"/>
                <w:szCs w:val="16"/>
                <w:color w:val="auto"/>
              </w:rPr>
            </w:pP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Joo Mi Kim</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34"/>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Qualys, Inc.</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1" Type="http://schemas.openxmlformats.org/officeDocument/2006/relationships/hyperlink" Target="http://www.sec.gov/Archives/edgar/data/1107843/000119312522171918/d28658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2022-08-09T03:14:43Z</dcterms:created>
  <dcterms:modified xsi:type="dcterms:W3CDTF">2022-08-09T03:14:43Z</dcterms:modified>
</cp:coreProperties>
</file>