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0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39"/>
        <w:spacing w:after="0"/>
        <w:tabs>
          <w:tab w:leader="none" w:pos="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001-35662</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QUALYS, INC.</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000"/>
          </w:cols>
          <w:pgMar w:left="320" w:top="719" w:right="579" w:bottom="1440" w:gutter="0" w:footer="0" w:header="0"/>
        </w:sectPr>
      </w:pPr>
    </w:p>
    <w:p>
      <w:pPr>
        <w:spacing w:after="0" w:line="20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77-0534145</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60"/>
          </w:cols>
          <w:pgMar w:left="320" w:top="719" w:right="579" w:bottom="1440" w:gutter="0" w:footer="0" w:header="0"/>
          <w:type w:val="continuous"/>
        </w:sectPr>
      </w:pPr>
    </w:p>
    <w:p>
      <w:pPr>
        <w:spacing w:after="0" w:line="30"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919 E. Hillsdale Boulevard, 4th Floor, Foster City, California 94404</w:t>
      </w:r>
    </w:p>
    <w:p>
      <w:pPr>
        <w:spacing w:after="0" w:line="50" w:lineRule="exact"/>
        <w:rPr>
          <w:sz w:val="24"/>
          <w:szCs w:val="24"/>
          <w:color w:val="auto"/>
        </w:rPr>
      </w:pPr>
    </w:p>
    <w:p>
      <w:pPr>
        <w:ind w:left="3400"/>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(650) 801-6100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00"/>
          </w:cols>
          <w:pgMar w:left="320" w:top="719" w:right="579" w:bottom="1440" w:gutter="0" w:footer="0" w:header="0"/>
          <w:type w:val="continuous"/>
        </w:sectPr>
      </w:pPr>
    </w:p>
    <w:p>
      <w:pPr>
        <w:spacing w:after="0" w:line="20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QLYS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340"/>
          </w:cols>
          <w:pgMar w:left="320" w:top="719" w:right="579" w:bottom="1440" w:gutter="0" w:footer="0" w:header="0"/>
          <w:type w:val="continuous"/>
        </w:sectPr>
      </w:pPr>
    </w:p>
    <w:p>
      <w:pPr>
        <w:spacing w:after="0" w:line="1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3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right="14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October 28, 2021 was 38,824,104.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19" w:right="5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93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4"/>
          </w:tcPr>
          <w:p>
            <w:pPr>
              <w:jc w:val="center"/>
              <w:ind w:right="2880"/>
              <w:spacing w:after="0"/>
              <w:rPr>
                <w:sz w:val="20"/>
                <w:szCs w:val="20"/>
                <w:color w:val="auto"/>
              </w:rPr>
            </w:pPr>
            <w:r>
              <w:rPr>
                <w:rFonts w:ascii="Arial" w:cs="Arial" w:eastAsia="Arial" w:hAnsi="Arial"/>
                <w:sz w:val="18"/>
                <w:szCs w:val="18"/>
                <w:b w:val="1"/>
                <w:bCs w:val="1"/>
                <w:color w:val="auto"/>
                <w:w w:val="90"/>
              </w:rPr>
              <w:t>Qualys, Inc.</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gridSpan w:val="5"/>
          </w:tcPr>
          <w:p>
            <w:pPr>
              <w:ind w:left="1720"/>
              <w:spacing w:after="0"/>
              <w:rPr>
                <w:sz w:val="20"/>
                <w:szCs w:val="20"/>
                <w:color w:val="auto"/>
              </w:rPr>
            </w:pPr>
            <w:r>
              <w:rPr>
                <w:rFonts w:ascii="Arial" w:cs="Arial" w:eastAsia="Arial" w:hAnsi="Arial"/>
                <w:sz w:val="18"/>
                <w:szCs w:val="18"/>
                <w:color w:val="auto"/>
              </w:rPr>
              <w:t>Page</w:t>
            </w:r>
          </w:p>
        </w:tc>
      </w:tr>
      <w:tr>
        <w:trPr>
          <w:trHeight w:val="190"/>
        </w:trPr>
        <w:tc>
          <w:tcPr>
            <w:tcW w:w="8960" w:type="dxa"/>
            <w:vAlign w:val="bottom"/>
            <w:gridSpan w:val="19"/>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Risk Factor Summary</w:t>
              </w:r>
            </w:hyperlink>
          </w:p>
        </w:tc>
        <w:tc>
          <w:tcPr>
            <w:tcW w:w="1980" w:type="dxa"/>
            <w:vAlign w:val="bottom"/>
            <w:gridSpan w:val="4"/>
          </w:tcPr>
          <w:p>
            <w:pPr>
              <w:jc w:val="center"/>
              <w:ind w:left="1710"/>
              <w:spacing w:after="0" w:line="19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00" w:type="dxa"/>
            <w:vAlign w:val="bottom"/>
          </w:tcPr>
          <w:p>
            <w:pPr>
              <w:spacing w:after="0"/>
              <w:rPr>
                <w:sz w:val="16"/>
                <w:szCs w:val="16"/>
                <w:color w:val="auto"/>
              </w:rPr>
            </w:pPr>
          </w:p>
        </w:tc>
      </w:tr>
      <w:tr>
        <w:trPr>
          <w:trHeight w:val="222"/>
        </w:trPr>
        <w:tc>
          <w:tcPr>
            <w:tcW w:w="8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rPr>
              <w:t>PART I – FINANCIAL INFORMATION</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8160" w:type="dxa"/>
            <w:vAlign w:val="bottom"/>
            <w:gridSpan w:val="18"/>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220" w:type="dxa"/>
            <w:vAlign w:val="bottom"/>
            <w:gridSpan w:val="8"/>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1980" w:type="dxa"/>
            <w:vAlign w:val="bottom"/>
            <w:gridSpan w:val="4"/>
          </w:tcPr>
          <w:p>
            <w:pPr>
              <w:jc w:val="center"/>
              <w:ind w:left="171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3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w:t>
              </w:r>
            </w:hyperlink>
          </w:p>
        </w:tc>
        <w:tc>
          <w:tcPr>
            <w:tcW w:w="1980" w:type="dxa"/>
            <w:vAlign w:val="bottom"/>
            <w:gridSpan w:val="4"/>
          </w:tcPr>
          <w:p>
            <w:pPr>
              <w:jc w:val="center"/>
              <w:ind w:left="1710"/>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860" w:type="dxa"/>
            <w:vAlign w:val="bottom"/>
            <w:tcBorders>
              <w:top w:val="single" w:sz="8" w:color="0000EE"/>
            </w:tcBorders>
            <w:gridSpan w:val="4"/>
          </w:tcPr>
          <w:p>
            <w:pPr>
              <w:spacing w:after="0"/>
              <w:rPr>
                <w:sz w:val="17"/>
                <w:szCs w:val="17"/>
                <w:color w:val="auto"/>
              </w:rPr>
            </w:pPr>
          </w:p>
        </w:tc>
        <w:tc>
          <w:tcPr>
            <w:tcW w:w="358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Stockholders' Equity</w:t>
              </w:r>
            </w:hyperlink>
          </w:p>
        </w:tc>
        <w:tc>
          <w:tcPr>
            <w:tcW w:w="3760" w:type="dxa"/>
            <w:vAlign w:val="bottom"/>
            <w:gridSpan w:val="3"/>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160" w:type="dxa"/>
            <w:vAlign w:val="bottom"/>
            <w:gridSpan w:val="5"/>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16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4"/>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0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tcBorders>
              <w:left w:val="single" w:sz="8" w:color="0000EE"/>
            </w:tcBorders>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60" w:type="dxa"/>
            <w:vAlign w:val="bottom"/>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22"/>
        </w:trPr>
        <w:tc>
          <w:tcPr>
            <w:tcW w:w="80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ind w:left="540"/>
              <w:spacing w:after="0"/>
              <w:rPr>
                <w:sz w:val="20"/>
                <w:szCs w:val="20"/>
                <w:color w:val="auto"/>
              </w:rPr>
            </w:pPr>
            <w:r>
              <w:rPr>
                <w:rFonts w:ascii="Arial" w:cs="Arial" w:eastAsia="Arial" w:hAnsi="Arial"/>
                <w:sz w:val="18"/>
                <w:szCs w:val="18"/>
                <w:b w:val="1"/>
                <w:bCs w:val="1"/>
                <w:color w:val="auto"/>
              </w:rPr>
              <w:t>PART II – OTHER INFORMATION</w:t>
            </w:r>
          </w:p>
        </w:tc>
        <w:tc>
          <w:tcPr>
            <w:tcW w:w="180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1320" w:type="dxa"/>
            <w:vAlign w:val="bottom"/>
            <w:gridSpan w:val="6"/>
          </w:tcPr>
          <w:p>
            <w:pPr>
              <w:spacing w:after="0" w:line="190"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6840" w:type="dxa"/>
            <w:vAlign w:val="bottom"/>
            <w:gridSpan w:val="12"/>
          </w:tcPr>
          <w:p>
            <w:pPr>
              <w:spacing w:after="0"/>
              <w:rPr>
                <w:sz w:val="16"/>
                <w:szCs w:val="16"/>
                <w:color w:val="auto"/>
              </w:rPr>
            </w:pPr>
          </w:p>
        </w:tc>
        <w:tc>
          <w:tcPr>
            <w:tcW w:w="2280" w:type="dxa"/>
            <w:vAlign w:val="bottom"/>
            <w:gridSpan w:val="5"/>
          </w:tcPr>
          <w:p>
            <w:pPr>
              <w:jc w:val="center"/>
              <w:ind w:left="1410"/>
              <w:spacing w:after="0" w:line="190"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20" w:type="dxa"/>
            <w:vAlign w:val="bottom"/>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gridSpan w:val="14"/>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Unregistered Sales of Equity Securities and Use of Proceeds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Mine Safety Disclosures</w:t>
              </w:r>
            </w:hyperlink>
          </w:p>
        </w:tc>
        <w:tc>
          <w:tcPr>
            <w:tcW w:w="500" w:type="dxa"/>
            <w:vAlign w:val="bottom"/>
          </w:tcPr>
          <w:p>
            <w:pPr>
              <w:spacing w:after="0"/>
              <w:rPr>
                <w:sz w:val="17"/>
                <w:szCs w:val="17"/>
                <w:color w:val="auto"/>
              </w:rPr>
            </w:pPr>
          </w:p>
        </w:tc>
        <w:tc>
          <w:tcPr>
            <w:tcW w:w="5880" w:type="dxa"/>
            <w:vAlign w:val="bottom"/>
            <w:gridSpan w:val="9"/>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gridSpan w:val="6"/>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6380" w:type="dxa"/>
            <w:vAlign w:val="bottom"/>
            <w:gridSpan w:val="10"/>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r>
      <w:tr>
        <w:trPr>
          <w:trHeight w:val="453"/>
        </w:trPr>
        <w:tc>
          <w:tcPr>
            <w:tcW w:w="80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5700" w:type="dxa"/>
            <w:vAlign w:val="bottom"/>
            <w:gridSpan w:val="14"/>
          </w:tcPr>
          <w:p>
            <w:pPr>
              <w:jc w:val="center"/>
              <w:ind w:left="2330"/>
              <w:spacing w:after="0"/>
              <w:rPr>
                <w:sz w:val="20"/>
                <w:szCs w:val="20"/>
                <w:color w:val="auto"/>
              </w:rPr>
            </w:pPr>
            <w:r>
              <w:rPr>
                <w:rFonts w:ascii="Arial" w:cs="Arial" w:eastAsia="Arial" w:hAnsi="Arial"/>
                <w:sz w:val="18"/>
                <w:szCs w:val="18"/>
                <w:color w:val="auto"/>
                <w:w w:val="79"/>
              </w:rPr>
              <w:t>2</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 w:lineRule="exact"/>
        <w:rPr>
          <w:sz w:val="20"/>
          <w:szCs w:val="20"/>
          <w:color w:val="auto"/>
        </w:rPr>
      </w:pP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The continued spread of COVID-19, or any similar widespread infectious disease outbreak, could harm our business, financial condition and results of operations.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quarterly operating results may vary from period to period, which could result in our failure to meet expectations with respect to operating results and cause the trading price of our stock to decline.</w:t>
      </w:r>
    </w:p>
    <w:p>
      <w:pPr>
        <w:jc w:val="both"/>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we fail to continue to effectively scale and adapt our platform to meet the performance and other requirements of our customers, our operating results and our business would be harmed.</w:t>
      </w: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we are unable to renew existing subscriptions for our IT, security and compliance solutions, sell additional subscriptions for our solutions and attract new customers, our operating results would be harmed.</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the market for cloud solutions for IT, security and compliance does not evolve as we anticipate, our revenues may not grow and our operating results would be harmed.</w:t>
      </w: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current research and development efforts may not produce successful products or enhancements to our platform that result in significant revenue, cost savings or other benefits in the near future.</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platform, website and internal systems may be subject to intentional disruption or other security incidents that could result in liability and adversely impact our reputation and future sales.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reduced IT spending may adversely impact our business.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IT, security and compliance solutions are delivered fromseven data centers, and any disruption of service at these facilities would interrupt or delay our ability to deliver our solutions to our customers which could reduce our revenues and harm our operating results.</w:t>
      </w:r>
    </w:p>
    <w:p>
      <w:pPr>
        <w:ind w:left="460" w:hanging="223"/>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competition in our markets, and we may lack sufficient financial or other resources to maintain or improve our competitive position.</w:t>
      </w:r>
    </w:p>
    <w:p>
      <w:pPr>
        <w:spacing w:after="0" w:line="20" w:lineRule="exact"/>
        <w:rPr>
          <w:rFonts w:ascii="Arial" w:cs="Arial" w:eastAsia="Arial" w:hAnsi="Arial"/>
          <w:sz w:val="17"/>
          <w:szCs w:val="17"/>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our solutions fail to detect vulnerabilities or incorrectly detect vulnerabilities, our brand and reputation could be harmed, which could have an adverse effect on our business and results of operations.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the expansion of our sales force, sales of our solutions and the growth of our business would be harmed.</w:t>
      </w:r>
    </w:p>
    <w:p>
      <w:pPr>
        <w:spacing w:after="0" w:line="9"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We rely on third-party channel partners to generate a substantial amount of our revenues, and if we fail to expand and manage our distribution channels, our revenues could decline and our growth prospects could suffer.</w:t>
      </w:r>
    </w:p>
    <w:p>
      <w:pPr>
        <w:jc w:val="both"/>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business and operations have experienced significant growth, and if we do not appropriately manage any future growth, or are unable to improve our systems and processes, our operating results may be negatively affected.</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Undetected software errors or flaws in our solutions could harm our reputation, decrease market acceptance of our solutions or result in liability.</w:t>
      </w:r>
    </w:p>
    <w:p>
      <w:pPr>
        <w:spacing w:after="0" w:line="32" w:lineRule="exact"/>
        <w:rPr>
          <w:rFonts w:ascii="Arial" w:cs="Arial" w:eastAsia="Arial" w:hAnsi="Arial"/>
          <w:sz w:val="16"/>
          <w:szCs w:val="16"/>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solutions contain third-party open source software components, and our failure to comply with the terms of the underlying open source software licenses could restrict our ability to sell our solutions.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We use third-party software and data that may be difficult to replace or cause errors or failures of our solutions that could lead to lost customers or harm to our reputation and our operating results.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proprietary technology and intellectual property rights could substantially harm our business and operating results.</w:t>
      </w:r>
    </w:p>
    <w:p>
      <w:pPr>
        <w:spacing w:after="0" w:line="9"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Assertions by third parties of infringement or other violations by us of their intellectual property rights could result in significant costs and harm our business and operating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ind w:left="3860"/>
              <w:spacing w:after="0"/>
              <w:rPr>
                <w:sz w:val="20"/>
                <w:szCs w:val="20"/>
                <w:color w:val="auto"/>
              </w:rPr>
            </w:pPr>
            <w:r>
              <w:rPr>
                <w:rFonts w:ascii="Arial" w:cs="Arial" w:eastAsia="Arial" w:hAnsi="Arial"/>
                <w:sz w:val="18"/>
                <w:szCs w:val="18"/>
                <w:b w:val="1"/>
                <w:bCs w:val="1"/>
                <w:color w:val="auto"/>
              </w:rPr>
              <w:t>Qualys,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145,740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199,947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281,892</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of $680 and $725 as of September 30, 2021 and December 31,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2020, respectively</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84,267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100,179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22,899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19,142</w:t>
            </w:r>
          </w:p>
        </w:tc>
      </w:tr>
      <w:tr>
        <w:trPr>
          <w:trHeight w:val="209"/>
        </w:trPr>
        <w:tc>
          <w:tcPr>
            <w:tcW w:w="80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452,853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136,124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98,458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37,795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44,838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16,864</w:t>
            </w: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756,180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736,819</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33,878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29,833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 current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213,494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11,672</w:t>
            </w:r>
          </w:p>
        </w:tc>
      </w:tr>
      <w:tr>
        <w:trPr>
          <w:trHeight w:val="210"/>
        </w:trPr>
        <w:tc>
          <w:tcPr>
            <w:tcW w:w="80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284,692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27,528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30,540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10"/>
        </w:trPr>
        <w:tc>
          <w:tcPr>
            <w:tcW w:w="80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353,194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Preferred stock, $0.001 par value; 20,000 shares authorized, no shares issued and outstanding at</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September 30, 2021 and December 31, 2020</w:t>
            </w:r>
          </w:p>
        </w:tc>
        <w:tc>
          <w:tcPr>
            <w:tcW w:w="1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$0.001 par value; 1,000,000 shares authorized; 38,864 and 39,253 shares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433,814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401,359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(31,695)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r>
      <w:tr>
        <w:trPr>
          <w:trHeight w:val="210"/>
        </w:trPr>
        <w:tc>
          <w:tcPr>
            <w:tcW w:w="800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756,180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736,819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3600" w:type="dxa"/>
            <w:vAlign w:val="bottom"/>
            <w:gridSpan w:val="2"/>
          </w:tcPr>
          <w:p>
            <w:pPr>
              <w:jc w:val="center"/>
              <w:ind w:left="2190"/>
              <w:spacing w:after="0"/>
              <w:rPr>
                <w:sz w:val="20"/>
                <w:szCs w:val="20"/>
                <w:color w:val="auto"/>
              </w:rPr>
            </w:pPr>
            <w:r>
              <w:rPr>
                <w:rFonts w:ascii="Arial" w:cs="Arial" w:eastAsia="Arial" w:hAnsi="Arial"/>
                <w:sz w:val="18"/>
                <w:szCs w:val="18"/>
                <w:b w:val="1"/>
                <w:bCs w:val="1"/>
                <w:color w:val="auto"/>
                <w:w w:val="90"/>
              </w:rPr>
              <w:t>Qualys, Inc.</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2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0" w:type="dxa"/>
            <w:vAlign w:val="bottom"/>
            <w:gridSpan w:val="2"/>
          </w:tcPr>
          <w:p>
            <w:pPr>
              <w:jc w:val="center"/>
              <w:ind w:left="2210"/>
              <w:spacing w:after="0"/>
              <w:rPr>
                <w:sz w:val="20"/>
                <w:szCs w:val="20"/>
                <w:color w:val="auto"/>
              </w:rPr>
            </w:pPr>
            <w:r>
              <w:rPr>
                <w:rFonts w:ascii="Arial" w:cs="Arial" w:eastAsia="Arial" w:hAnsi="Arial"/>
                <w:sz w:val="18"/>
                <w:szCs w:val="18"/>
                <w:b w:val="1"/>
                <w:bCs w:val="1"/>
                <w:color w:val="auto"/>
                <w:w w:val="91"/>
              </w:rPr>
              <w:t>(unaudited)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70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301,392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268,162</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22,479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20,619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65,711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58,005</w:t>
            </w:r>
          </w:p>
        </w:tc>
        <w:tc>
          <w:tcPr>
            <w:tcW w:w="0" w:type="dxa"/>
            <w:vAlign w:val="bottom"/>
          </w:tcPr>
          <w:p>
            <w:pPr>
              <w:spacing w:after="0"/>
              <w:rPr>
                <w:sz w:val="1"/>
                <w:szCs w:val="1"/>
                <w:color w:val="auto"/>
              </w:rPr>
            </w:pPr>
          </w:p>
        </w:tc>
      </w:tr>
      <w:tr>
        <w:trPr>
          <w:trHeight w:val="209"/>
        </w:trPr>
        <w:tc>
          <w:tcPr>
            <w:tcW w:w="2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235,681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53,905</w:t>
            </w:r>
          </w:p>
        </w:tc>
        <w:tc>
          <w:tcPr>
            <w:tcW w:w="0" w:type="dxa"/>
            <w:vAlign w:val="bottom"/>
          </w:tcPr>
          <w:p>
            <w:pPr>
              <w:spacing w:after="0"/>
              <w:rPr>
                <w:sz w:val="1"/>
                <w:szCs w:val="1"/>
                <w:color w:val="auto"/>
              </w:rPr>
            </w:pPr>
          </w:p>
        </w:tc>
      </w:tr>
      <w:tr>
        <w:trPr>
          <w:trHeight w:val="216"/>
        </w:trPr>
        <w:tc>
          <w:tcPr>
            <w:tcW w:w="268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16,060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54,328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50,073</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33,937</w:t>
            </w:r>
          </w:p>
        </w:tc>
        <w:tc>
          <w:tcPr>
            <w:tcW w:w="0" w:type="dxa"/>
            <w:vAlign w:val="bottom"/>
          </w:tcPr>
          <w:p>
            <w:pPr>
              <w:spacing w:after="0"/>
              <w:rPr>
                <w:sz w:val="1"/>
                <w:szCs w:val="1"/>
                <w:color w:val="auto"/>
              </w:rPr>
            </w:pPr>
          </w:p>
        </w:tc>
      </w:tr>
      <w:tr>
        <w:trPr>
          <w:trHeight w:val="209"/>
        </w:trPr>
        <w:tc>
          <w:tcPr>
            <w:tcW w:w="2680" w:type="dxa"/>
            <w:vAlign w:val="bottom"/>
            <w:gridSpan w:val="2"/>
          </w:tcPr>
          <w:p>
            <w:pPr>
              <w:ind w:left="660"/>
              <w:spacing w:after="0"/>
              <w:rPr>
                <w:sz w:val="20"/>
                <w:szCs w:val="20"/>
                <w:color w:val="auto"/>
              </w:rPr>
            </w:pPr>
            <w:r>
              <w:rPr>
                <w:rFonts w:ascii="Arial" w:cs="Arial" w:eastAsia="Arial" w:hAnsi="Arial"/>
                <w:sz w:val="18"/>
                <w:szCs w:val="18"/>
                <w:color w:val="auto"/>
                <w:w w:val="98"/>
              </w:rPr>
              <w:t>Total operating expenses</w:t>
            </w:r>
          </w:p>
        </w:tc>
        <w:tc>
          <w:tcPr>
            <w:tcW w:w="33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50,478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177,047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72,242</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68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680" w:type="dxa"/>
            <w:vAlign w:val="bottom"/>
            <w:gridSpan w:val="2"/>
          </w:tcPr>
          <w:p>
            <w:pPr>
              <w:ind w:left="660"/>
              <w:spacing w:after="0"/>
              <w:rPr>
                <w:sz w:val="20"/>
                <w:szCs w:val="20"/>
                <w:color w:val="auto"/>
              </w:rPr>
            </w:pPr>
            <w:r>
              <w:rPr>
                <w:rFonts w:ascii="Arial" w:cs="Arial" w:eastAsia="Arial" w:hAnsi="Arial"/>
                <w:sz w:val="18"/>
                <w:szCs w:val="18"/>
                <w:color w:val="auto"/>
              </w:rPr>
              <w:t>Total other income, net</w:t>
            </w:r>
          </w:p>
        </w:tc>
        <w:tc>
          <w:tcPr>
            <w:tcW w:w="33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76,945</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49"/>
        </w:trPr>
        <w:tc>
          <w:tcPr>
            <w:tcW w:w="2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3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680" w:type="dxa"/>
            <w:vAlign w:val="bottom"/>
            <w:gridSpan w:val="2"/>
          </w:tcPr>
          <w:p>
            <w:pPr>
              <w:spacing w:after="0" w:line="196" w:lineRule="exact"/>
              <w:rPr>
                <w:sz w:val="20"/>
                <w:szCs w:val="20"/>
                <w:color w:val="auto"/>
              </w:rPr>
            </w:pPr>
            <w:r>
              <w:rPr>
                <w:rFonts w:ascii="Arial" w:cs="Arial" w:eastAsia="Arial" w:hAnsi="Arial"/>
                <w:sz w:val="18"/>
                <w:szCs w:val="18"/>
                <w:color w:val="auto"/>
              </w:rPr>
              <w:t>Net income per share:</w:t>
            </w: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8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33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0.70</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0.56</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in computing net income per share: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38,925</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39,238</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39,077</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39,171</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33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7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Qualys, Inc.</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10"/>
          </w:tcPr>
          <w:p>
            <w:pPr>
              <w:jc w:val="center"/>
              <w:ind w:left="8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7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7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8"/>
              </w:rPr>
              <w:t>(in thousands)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8"/>
              </w:rPr>
              <w:t>Three Months Ended</w:t>
            </w:r>
          </w:p>
        </w:tc>
        <w:tc>
          <w:tcPr>
            <w:tcW w:w="300" w:type="dxa"/>
            <w:vAlign w:val="bottom"/>
          </w:tcPr>
          <w:p>
            <w:pPr>
              <w:spacing w:after="0"/>
              <w:rPr>
                <w:sz w:val="24"/>
                <w:szCs w:val="24"/>
                <w:color w:val="auto"/>
              </w:rPr>
            </w:pPr>
          </w:p>
        </w:tc>
        <w:tc>
          <w:tcPr>
            <w:tcW w:w="22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67,756</w:t>
            </w: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260" w:type="dxa"/>
            <w:vAlign w:val="bottom"/>
            <w:gridSpan w:val="4"/>
            <w:shd w:val="clear" w:color="auto" w:fill="CCEEFF"/>
          </w:tcPr>
          <w:p>
            <w:pPr>
              <w:ind w:left="660"/>
              <w:spacing w:after="0" w:line="201" w:lineRule="exact"/>
              <w:rPr>
                <w:sz w:val="20"/>
                <w:szCs w:val="20"/>
                <w:color w:val="auto"/>
              </w:rPr>
            </w:pPr>
            <w:r>
              <w:rPr>
                <w:rFonts w:ascii="Arial" w:cs="Arial" w:eastAsia="Arial" w:hAnsi="Arial"/>
                <w:sz w:val="18"/>
                <w:szCs w:val="18"/>
                <w:color w:val="auto"/>
              </w:rPr>
              <w:t>Net change in unrealized gains (losses) on available-for-sale debt</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securities, net of tax</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r>
      <w:tr>
        <w:trPr>
          <w:trHeight w:val="216"/>
        </w:trPr>
        <w:tc>
          <w:tcPr>
            <w:tcW w:w="6260" w:type="dxa"/>
            <w:vAlign w:val="bottom"/>
            <w:gridSpan w:val="4"/>
          </w:tcPr>
          <w:p>
            <w:pPr>
              <w:ind w:left="660"/>
              <w:spacing w:after="0"/>
              <w:rPr>
                <w:sz w:val="20"/>
                <w:szCs w:val="20"/>
                <w:color w:val="auto"/>
              </w:rPr>
            </w:pPr>
            <w:r>
              <w:rPr>
                <w:rFonts w:ascii="Arial" w:cs="Arial" w:eastAsia="Arial" w:hAnsi="Arial"/>
                <w:sz w:val="18"/>
                <w:szCs w:val="18"/>
                <w:color w:val="auto"/>
                <w:w w:val="98"/>
              </w:rPr>
              <w:t>Net change in unrealized gains (losses) on cash flow hedges, net of tax</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(920)</w:t>
            </w:r>
          </w:p>
        </w:tc>
      </w:tr>
      <w:tr>
        <w:trPr>
          <w:trHeight w:val="210"/>
        </w:trPr>
        <w:tc>
          <w:tcPr>
            <w:tcW w:w="454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Other comprehensive income (loss), net of tax</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4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28,862</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21,383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50,451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67,669</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49,139</w:t>
            </w:r>
          </w:p>
        </w:tc>
        <w:tc>
          <w:tcPr>
            <w:tcW w:w="10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67,756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26,752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23,975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premiums on marketable securities</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13,351</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(5,460)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(6,071)</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9,912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Deferred revenues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w:t>
            </w: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(255,051)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(290,534)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295,336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263,296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(20,089)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(22,742)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property and equipment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intangible assets</w:t>
            </w:r>
          </w:p>
        </w:tc>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(1,500)</w:t>
            </w:r>
          </w:p>
        </w:tc>
      </w:tr>
      <w:tr>
        <w:trPr>
          <w:trHeight w:val="210"/>
        </w:trPr>
        <w:tc>
          <w:tcPr>
            <w:tcW w:w="800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(94,919)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(91,881)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23,962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Principal payments under finance lease obligations</w:t>
            </w:r>
          </w:p>
        </w:tc>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10"/>
        </w:trPr>
        <w:tc>
          <w:tcPr>
            <w:tcW w:w="800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71,608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5,468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146,940</w:t>
            </w:r>
          </w:p>
        </w:tc>
        <w:tc>
          <w:tcPr>
            <w:tcW w:w="10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94,227</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2140" w:type="dxa"/>
            <w:vAlign w:val="bottom"/>
            <w:gridSpan w:val="8"/>
            <w:vMerge w:val="restart"/>
          </w:tcPr>
          <w:p>
            <w:pPr>
              <w:jc w:val="right"/>
              <w:ind w:right="68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2140" w:type="dxa"/>
            <w:vAlign w:val="bottom"/>
            <w:gridSpan w:val="8"/>
            <w:vMerge w:val="continue"/>
          </w:tcPr>
          <w:p>
            <w:pPr>
              <w:spacing w:after="0"/>
              <w:rPr>
                <w:sz w:val="18"/>
                <w:szCs w:val="18"/>
                <w:color w:val="auto"/>
              </w:rPr>
            </w:pPr>
          </w:p>
        </w:tc>
        <w:tc>
          <w:tcPr>
            <w:tcW w:w="1100" w:type="dxa"/>
            <w:vAlign w:val="bottom"/>
            <w:gridSpan w:val="5"/>
          </w:tcPr>
          <w:p>
            <w:pPr>
              <w:ind w:left="8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400"/>
              <w:spacing w:after="0" w:line="182" w:lineRule="exact"/>
              <w:rPr>
                <w:sz w:val="20"/>
                <w:szCs w:val="20"/>
                <w:color w:val="auto"/>
              </w:rPr>
            </w:pPr>
            <w:r>
              <w:rPr>
                <w:rFonts w:ascii="Arial" w:cs="Arial" w:eastAsia="Arial" w:hAnsi="Arial"/>
                <w:sz w:val="16"/>
                <w:szCs w:val="16"/>
                <w:b w:val="1"/>
                <w:bCs w:val="1"/>
                <w:color w:val="auto"/>
                <w:w w:val="97"/>
              </w:rPr>
              <w:t>Paid-In</w:t>
            </w:r>
          </w:p>
        </w:tc>
        <w:tc>
          <w:tcPr>
            <w:tcW w:w="1300" w:type="dxa"/>
            <w:vAlign w:val="bottom"/>
            <w:gridSpan w:val="5"/>
          </w:tcPr>
          <w:p>
            <w:pPr>
              <w:spacing w:after="0" w:line="182" w:lineRule="exact"/>
              <w:rPr>
                <w:sz w:val="20"/>
                <w:szCs w:val="20"/>
                <w:color w:val="auto"/>
              </w:rPr>
            </w:pPr>
            <w:r>
              <w:rPr>
                <w:rFonts w:ascii="Arial" w:cs="Arial" w:eastAsia="Arial" w:hAnsi="Arial"/>
                <w:sz w:val="16"/>
                <w:szCs w:val="16"/>
                <w:b w:val="1"/>
                <w:bCs w:val="1"/>
                <w:color w:val="auto"/>
              </w:rPr>
              <w:t>Comprehensive</w:t>
            </w:r>
          </w:p>
        </w:tc>
        <w:tc>
          <w:tcPr>
            <w:tcW w:w="118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Amount</w:t>
            </w:r>
          </w:p>
        </w:tc>
        <w:tc>
          <w:tcPr>
            <w:tcW w:w="2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gridSpan w:val="2"/>
          </w:tcPr>
          <w:p>
            <w:pPr>
              <w:spacing w:after="0"/>
              <w:rPr>
                <w:sz w:val="18"/>
                <w:szCs w:val="18"/>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2"/>
              </w:rPr>
              <w:t>Income (Loss)</w:t>
            </w:r>
          </w:p>
        </w:tc>
        <w:tc>
          <w:tcPr>
            <w:tcW w:w="2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39,253</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401,359</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(484)</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3,568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404,482</w:t>
            </w:r>
          </w:p>
        </w:tc>
        <w:tc>
          <w:tcPr>
            <w:tcW w:w="0" w:type="dxa"/>
            <w:vAlign w:val="bottom"/>
          </w:tcPr>
          <w:p>
            <w:pPr>
              <w:spacing w:after="0"/>
              <w:rPr>
                <w:sz w:val="1"/>
                <w:szCs w:val="1"/>
                <w:color w:val="auto"/>
              </w:rPr>
            </w:pPr>
          </w:p>
        </w:tc>
      </w:tr>
      <w:tr>
        <w:trPr>
          <w:trHeight w:val="20"/>
        </w:trPr>
        <w:tc>
          <w:tcPr>
            <w:tcW w:w="446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(27,797)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(31,029)</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500"/>
              <w:spacing w:after="0"/>
              <w:rPr>
                <w:sz w:val="20"/>
                <w:szCs w:val="20"/>
                <w:color w:val="auto"/>
              </w:rPr>
            </w:pPr>
            <w:r>
              <w:rPr>
                <w:rFonts w:ascii="Arial" w:cs="Arial" w:eastAsia="Arial" w:hAnsi="Arial"/>
                <w:sz w:val="16"/>
                <w:szCs w:val="16"/>
                <w:color w:val="auto"/>
              </w:rPr>
              <w:t>units</w:t>
            </w:r>
          </w:p>
        </w:tc>
        <w:tc>
          <w:tcPr>
            <w:tcW w:w="820" w:type="dxa"/>
            <w:vAlign w:val="bottom"/>
          </w:tcPr>
          <w:p>
            <w:pPr>
              <w:jc w:val="right"/>
              <w:spacing w:after="0"/>
              <w:rPr>
                <w:sz w:val="20"/>
                <w:szCs w:val="20"/>
                <w:color w:val="auto"/>
              </w:rPr>
            </w:pPr>
            <w:r>
              <w:rPr>
                <w:rFonts w:ascii="Arial" w:cs="Arial" w:eastAsia="Arial" w:hAnsi="Arial"/>
                <w:sz w:val="16"/>
                <w:szCs w:val="16"/>
                <w:color w:val="auto"/>
              </w:rPr>
              <w:t>305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(17,643)</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38,202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38,202</w:t>
            </w:r>
          </w:p>
        </w:tc>
        <w:tc>
          <w:tcPr>
            <w:tcW w:w="0" w:type="dxa"/>
            <w:vAlign w:val="bottom"/>
          </w:tcPr>
          <w:p>
            <w:pPr>
              <w:spacing w:after="0"/>
              <w:rPr>
                <w:sz w:val="1"/>
                <w:szCs w:val="1"/>
                <w:color w:val="auto"/>
              </w:rPr>
            </w:pPr>
          </w:p>
        </w:tc>
      </w:tr>
      <w:tr>
        <w:trPr>
          <w:trHeight w:val="236"/>
        </w:trPr>
        <w:tc>
          <w:tcPr>
            <w:tcW w:w="44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420,950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(24,001)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397,108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21,142</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21,142</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(28,427)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(32,223)</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40"/>
              <w:spacing w:after="0"/>
              <w:rPr>
                <w:sz w:val="20"/>
                <w:szCs w:val="20"/>
                <w:color w:val="auto"/>
              </w:rPr>
            </w:pPr>
            <w:r>
              <w:rPr>
                <w:rFonts w:ascii="Arial" w:cs="Arial" w:eastAsia="Arial" w:hAnsi="Arial"/>
                <w:sz w:val="16"/>
                <w:szCs w:val="16"/>
                <w:color w:val="auto"/>
              </w:rPr>
              <w:t>units</w:t>
            </w:r>
          </w:p>
        </w:tc>
        <w:tc>
          <w:tcPr>
            <w:tcW w:w="8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8,553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8,553</w:t>
            </w:r>
          </w:p>
        </w:tc>
        <w:tc>
          <w:tcPr>
            <w:tcW w:w="0" w:type="dxa"/>
            <w:vAlign w:val="bottom"/>
          </w:tcPr>
          <w:p>
            <w:pPr>
              <w:spacing w:after="0"/>
              <w:rPr>
                <w:sz w:val="1"/>
                <w:szCs w:val="1"/>
                <w:color w:val="auto"/>
              </w:rPr>
            </w:pPr>
          </w:p>
        </w:tc>
      </w:tr>
      <w:tr>
        <w:trPr>
          <w:trHeight w:val="236"/>
        </w:trPr>
        <w:tc>
          <w:tcPr>
            <w:tcW w:w="44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424,507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(31,286)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392,995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27,769</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27,769</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6,510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6,510</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(28,178)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(31,667)</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40"/>
              <w:spacing w:after="0"/>
              <w:rPr>
                <w:sz w:val="20"/>
                <w:szCs w:val="20"/>
                <w:color w:val="auto"/>
              </w:rPr>
            </w:pPr>
            <w:r>
              <w:rPr>
                <w:rFonts w:ascii="Arial" w:cs="Arial" w:eastAsia="Arial" w:hAnsi="Arial"/>
                <w:sz w:val="16"/>
                <w:szCs w:val="16"/>
                <w:color w:val="auto"/>
              </w:rPr>
              <w:t>units</w:t>
            </w: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(3,177)</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9,463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9,463</w:t>
            </w:r>
          </w:p>
        </w:tc>
        <w:tc>
          <w:tcPr>
            <w:tcW w:w="0" w:type="dxa"/>
            <w:vAlign w:val="bottom"/>
          </w:tcPr>
          <w:p>
            <w:pPr>
              <w:spacing w:after="0"/>
              <w:rPr>
                <w:sz w:val="1"/>
                <w:szCs w:val="1"/>
                <w:color w:val="auto"/>
              </w:rPr>
            </w:pPr>
          </w:p>
        </w:tc>
      </w:tr>
      <w:tr>
        <w:trPr>
          <w:trHeight w:val="20"/>
        </w:trPr>
        <w:tc>
          <w:tcPr>
            <w:tcW w:w="44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September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38,864</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433,814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828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(31,695)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402,986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460" w:type="dxa"/>
            <w:vAlign w:val="bottom"/>
          </w:tcPr>
          <w:p>
            <w:pPr>
              <w:spacing w:after="0"/>
              <w:rPr>
                <w:sz w:val="24"/>
                <w:szCs w:val="24"/>
                <w:color w:val="auto"/>
              </w:rPr>
            </w:pPr>
          </w:p>
        </w:tc>
        <w:tc>
          <w:tcPr>
            <w:tcW w:w="2140" w:type="dxa"/>
            <w:vAlign w:val="bottom"/>
            <w:gridSpan w:val="8"/>
            <w:vMerge w:val="restart"/>
          </w:tcPr>
          <w:p>
            <w:pPr>
              <w:jc w:val="right"/>
              <w:ind w:right="60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2140" w:type="dxa"/>
            <w:vAlign w:val="bottom"/>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320"/>
              <w:spacing w:after="0" w:line="18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5"/>
                <w:szCs w:val="15"/>
                <w:color w:val="auto"/>
              </w:rPr>
            </w:pPr>
          </w:p>
        </w:tc>
        <w:tc>
          <w:tcPr>
            <w:tcW w:w="12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w w:val="99"/>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40"/>
              <w:spacing w:after="0" w:line="182" w:lineRule="exact"/>
              <w:rPr>
                <w:sz w:val="20"/>
                <w:szCs w:val="20"/>
                <w:color w:val="auto"/>
              </w:rPr>
            </w:pPr>
            <w:r>
              <w:rPr>
                <w:rFonts w:ascii="Arial" w:cs="Arial" w:eastAsia="Arial" w:hAnsi="Arial"/>
                <w:sz w:val="16"/>
                <w:szCs w:val="16"/>
                <w:b w:val="1"/>
                <w:bCs w:val="1"/>
                <w:color w:val="auto"/>
                <w:w w:val="97"/>
              </w:rPr>
              <w:t>Retained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2"/>
              </w:rPr>
              <w:t>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Earnings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39,146</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362,408</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1,162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23,194</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386,803</w:t>
            </w:r>
          </w:p>
        </w:tc>
        <w:tc>
          <w:tcPr>
            <w:tcW w:w="0" w:type="dxa"/>
            <w:vAlign w:val="bottom"/>
          </w:tcPr>
          <w:p>
            <w:pPr>
              <w:spacing w:after="0"/>
              <w:rPr>
                <w:sz w:val="1"/>
                <w:szCs w:val="1"/>
                <w:color w:val="auto"/>
              </w:rPr>
            </w:pPr>
          </w:p>
        </w:tc>
      </w:tr>
      <w:tr>
        <w:trPr>
          <w:trHeight w:val="20"/>
        </w:trPr>
        <w:tc>
          <w:tcPr>
            <w:tcW w:w="44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18,694</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18,694</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145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4,714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(4,160)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(24,766)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(28,926)</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500"/>
              <w:spacing w:after="0"/>
              <w:rPr>
                <w:sz w:val="20"/>
                <w:szCs w:val="20"/>
                <w:color w:val="auto"/>
              </w:rPr>
            </w:pPr>
            <w:r>
              <w:rPr>
                <w:rFonts w:ascii="Arial" w:cs="Arial" w:eastAsia="Arial" w:hAnsi="Arial"/>
                <w:sz w:val="16"/>
                <w:szCs w:val="16"/>
                <w:color w:val="auto"/>
              </w:rPr>
              <w:t>units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138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10,054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10,054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39,025</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368,016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1,553</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17,122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386,730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26,319</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26,319</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448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15,715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15,716</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(22,343)</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(25,256)</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500"/>
              <w:spacing w:after="0"/>
              <w:rPr>
                <w:sz w:val="20"/>
                <w:szCs w:val="20"/>
                <w:color w:val="auto"/>
              </w:rPr>
            </w:pPr>
            <w:r>
              <w:rPr>
                <w:rFonts w:ascii="Arial" w:cs="Arial" w:eastAsia="Arial" w:hAnsi="Arial"/>
                <w:sz w:val="16"/>
                <w:szCs w:val="16"/>
                <w:color w:val="auto"/>
              </w:rPr>
              <w:t>units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146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(6,115)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(6,115)</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9,498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9,498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June 30, 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39,315</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384,202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2,435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21,098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407,774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22,743</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22,743</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3,532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3,532</w:t>
            </w:r>
          </w:p>
        </w:tc>
        <w:tc>
          <w:tcPr>
            <w:tcW w:w="0" w:type="dxa"/>
            <w:vAlign w:val="bottom"/>
          </w:tcPr>
          <w:p>
            <w:pPr>
              <w:spacing w:after="0"/>
              <w:rPr>
                <w:sz w:val="1"/>
                <w:szCs w:val="1"/>
                <w:color w:val="auto"/>
              </w:rPr>
            </w:pPr>
          </w:p>
        </w:tc>
      </w:tr>
      <w:tr>
        <w:trPr>
          <w:trHeight w:val="202"/>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(352)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(4,229)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(33,470)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(37,699)</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40"/>
              <w:spacing w:after="0"/>
              <w:rPr>
                <w:sz w:val="20"/>
                <w:szCs w:val="20"/>
                <w:color w:val="auto"/>
              </w:rPr>
            </w:pPr>
            <w:r>
              <w:rPr>
                <w:rFonts w:ascii="Arial" w:cs="Arial" w:eastAsia="Arial" w:hAnsi="Arial"/>
                <w:sz w:val="16"/>
                <w:szCs w:val="16"/>
                <w:color w:val="auto"/>
              </w:rPr>
              <w:t>units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(5,223)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(5,223)</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10,532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10,532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September 30, 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39,119</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388,814</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1,075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10,371</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400,299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5"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5000"/>
        <w:spacing w:after="0" w:line="282" w:lineRule="auto"/>
        <w:rPr>
          <w:sz w:val="20"/>
          <w:szCs w:val="20"/>
          <w:color w:val="auto"/>
        </w:rPr>
      </w:pPr>
      <w:r>
        <w:rPr>
          <w:rFonts w:ascii="Arial" w:cs="Arial" w:eastAsia="Arial" w:hAnsi="Arial"/>
          <w:sz w:val="18"/>
          <w:szCs w:val="18"/>
          <w:b w:val="1"/>
          <w:bCs w:val="1"/>
          <w:color w:val="auto"/>
        </w:rPr>
        <w:t>NOTE Description of Business and Summary of Significant Accounting Policies 1.</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2020,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three and nine months ended September 30, 2021 are not necessarily indicative of the results of operations expected for the entire year ending December 31, 2021 or for any other future annual or interim periods. These condensed consolidated financial statements should be read in conjunction with the consolidated financial statements and related notes included in the Company’s Annual Report on Form 10-K for the year ended December 31, 2020.</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March 2020, the World Health Organization declared the outbreak of a novel strain of coronavirus ("COVID-19") as a pandemic. As a result of COVID-19, the Company has modified certain aspects of its business, including restricting employee travel, requiring employees to work from home, and canceling certain events and meetings, among other modifications. The Company will continue to actively monitor the situation and may take further actions that alter its business operations as may be required by federal, state or local authorities or that the Company determines are in the best interests of its employees, customers, partners, suppliers and stockholders. While the Company has not incurred significant disruptions from the COVID-19 pandemic, the Company is unable to accurately predict the full impact that the pandemic will have due to numerous uncertainties, including the availability and acceptance of COVID-19 vaccines as well as the effectiveness of the vaccines to new variants of the disease, future actions that may be taken by governmental authorities and the impact of the pandemic on the businesses of the Company's customers and partners. The Company will continue to evaluate the nature and extent of the impact to its business, financial position, results of operations and cash flows.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unaudited condensed consolidated financial statements.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derives revenues from subscriptions that require customers to pay a fee in order to access the Company’s cloud solutions. Contract period with customers generally ranges from less than a year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its Qualys Cloud Platform into its customers’ private cloud environment. Customers are required to return physical scanner appliances and computer equipment if they do not renew their subscriptions.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3"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ectPr>
          <w:pgSz w:w="11900" w:h="16838" w:orient="portrait"/>
          <w:cols w:equalWidth="0" w:num="1">
            <w:col w:w="11240"/>
          </w:cols>
          <w:pgMar w:left="320" w:top="125" w:right="339" w:bottom="6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9"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the inception of a customer contract, the Company makes an assessment as to that customer's ability to pay for the services provided. The Company assesses collectability based on several factors, including credit worthiness of the customer along with past transaction history. In addition, the Company performs periodic evaluations of its customers’ financial condition.</w:t>
      </w:r>
    </w:p>
    <w:p>
      <w:pPr>
        <w:spacing w:after="0" w:line="18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Most of the Company’s revenue contracts are subscription based and contain a single performance obligation. The subscription contracts typically do not offer to the customers any future rights that would constitute material rights under ASC 606. Contract prices are generally composed of fixed consideration for a specific period of time as the Company in general does not offer refunds, volume rebates, customer loyalty programs or other forms of customer incentive payments. In limited situations, contract prices are contingent on future events, such as actual usage during the contract terms, which are accounted for as variable consideration and estimated based on the most likely amount of consideration that the Company is expected to be entitled to. Estimates are included in the contract price to the extent that it is considered probable that a significant reversal in the amount of cumulative revenue recognized will not occur when the uncertainty associated with the variable consideration is subsequently resolved. Such estimates are made at contract inception and updated periodically when additional information becomes available.</w:t>
      </w:r>
    </w:p>
    <w:p>
      <w:pPr>
        <w:spacing w:after="0" w:line="17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the Company's cloud-based subscription services are delivered to customers electronically and over time, revenue is generally recognized ratably over the contract terms. A cumulative catch-up adjustment is made when there is a change in the estimate of variable consideration. In addition, the Company recognizes revenues for certain limited scan arrangements on an as-used basis. When physical equipment is provided to the customers as part of the subscription service contract, the Company applies the practical expedient allowed under ASC 842 Leases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spacing w:after="0" w:line="16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8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fiscal year ended December 31, 2018, the Company invested $2.5 million in preferred stock of a privately-held company. The fair value of the investment is not readily available, and there are no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carrying amount may not be recoverable. No impairment has been incurred related to the investment. The investment is included in other noncurrent assets on the condensed consolidated balance sheets. The Company has not received any dividends from the investment.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December 2019, the Financial Accounting Standards Board ("FASB") issued Accounting Standard Update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Company adopted ASU 2019-12 in the first quarter of 2021 with no material impact on the Company's condensed consolidated financial statements.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does not believe any other new accounting pronouncements issued by the FASB that have not become effective will have a material impact on its condensed consolidated financial statements.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other material changes to the Company’s significant accounting policies set forth in "Note 1" of Notes to Consolidated Financial Statements included in the Company’s Annual Report on Form 10-K for the year ended December 31, 2020.</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Fair Value of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and liabilities, including quoted prices for identical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Cash</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48,721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48,721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95,819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95,819</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145,740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20,542</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31,013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31,185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U.S. Treasury and government agencies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144,420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144,465</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vMerge w:val="continue"/>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199,727</w:t>
            </w: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199,947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marketable securities:</w:t>
            </w: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14,749</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U.S. Treasury and government agencies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62,969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62,959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government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57,048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57,394</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135,766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481,233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481,811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33,105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33,105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24,368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24,538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244,568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244,926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281,892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38,613</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51,068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97,414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98,458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452,892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454,482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September 30, 2021 and December 31, 2020, there were no marketable securities that had been in a continuous unrealized loss position for 12 months or longer. 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Level 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95,819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paper</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21,742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21,742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207,424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207,424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Foreign government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18,504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18,504</w:t>
            </w:r>
          </w:p>
        </w:tc>
      </w:tr>
      <w:tr>
        <w:trPr>
          <w:trHeight w:val="25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6"/>
              </w:rPr>
              <w:t>December 31, 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9,146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251,827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Foreign government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44,894</w:t>
            </w:r>
          </w:p>
        </w:tc>
      </w:tr>
      <w:tr>
        <w:trPr>
          <w:trHeight w:val="20"/>
        </w:trPr>
        <w:tc>
          <w:tcPr>
            <w:tcW w:w="4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421,377</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fair value of marketable securities by contractual maturity as of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41"/>
              <w:spacing w:after="0" w:line="191" w:lineRule="exact"/>
              <w:rPr>
                <w:sz w:val="20"/>
                <w:szCs w:val="20"/>
                <w:color w:val="auto"/>
              </w:rPr>
            </w:pPr>
            <w:r>
              <w:rPr>
                <w:rFonts w:ascii="Arial" w:cs="Arial" w:eastAsia="Arial" w:hAnsi="Arial"/>
                <w:sz w:val="18"/>
                <w:szCs w:val="18"/>
                <w:b w:val="1"/>
                <w:bCs w:val="1"/>
                <w:color w:val="auto"/>
                <w:w w:val="95"/>
              </w:rPr>
              <w:t>Mature after One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Mature within</w:t>
            </w:r>
          </w:p>
        </w:tc>
        <w:tc>
          <w:tcPr>
            <w:tcW w:w="10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Mature over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One Year</w:t>
            </w:r>
          </w:p>
        </w:tc>
        <w:tc>
          <w:tcPr>
            <w:tcW w:w="220" w:type="dxa"/>
            <w:vAlign w:val="bottom"/>
            <w:gridSpan w:val="2"/>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through Two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Two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8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U.S. Treasury and government agencies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144,465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62,959</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207,424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31,185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34,574</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22,820</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88,579</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5,736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9,013</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18,504</w:t>
            </w: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201,147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104,291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31,833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337,271</w:t>
            </w: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39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399"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Designated cash flow hedges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foreign currency forward contracts to reduce the risk of variability in future cash flow due to foreign currency exchange rate fluctuation from certain forecasted subscription revenue orders billed in British Pound ("GBP") and Euro and operation expenses incurred in Indian Rupee ("INR"), which are designated as cash flow hedges.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hit earnings.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September 30, 2021, the Company had designated cash flow hedge forward contracts with notional amounts of €25.6 million, £9.3 million and Rs.2,730.7 million. As of December 31, 2020, the Company had designated cash flow hedge forward contracts with notional amounts of €25.9 million, £8.7 million and Rs.1,933.5 million. As of September 30, 2021, a net amount of unrealized losses of $0.2 million before tax on the foreign currency forward contracts for GBP and Euro reported in AOCI is expected to be reclassified into revenue within the next 12 months. As of September 30, 2021, a net amount of unrealized gains of $0.2 million before tax on the foreign currency forward contracts for INR reported in AOCI is expected to be reclassified into operating expenses within the next 12 months.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Non-designated forward contracts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also uses foreign currency forward contracts to hedge certain foreign currency denominated assets or liabilities, which are not designated as cashflow hedges.</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2021, the Company had non-designated forward contracts with notional amounts of €21.9 million, £9.5 million, Rs.31.0 million and Swiss Franc ("CHF") 2.0 million. As of December 31, 2020, the Company had non-designated forward contracts with notional amounts of €17.7 million, £6.5 million and Rs.32.8 million.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derivative financial instruments as of September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9"/>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(2,200)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w w:val="98"/>
              </w:rPr>
              <w:t>(1,677)</w:t>
            </w:r>
          </w:p>
        </w:tc>
      </w:tr>
      <w:tr>
        <w:trPr>
          <w:trHeight w:val="249"/>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0"/>
              </w:rPr>
              <w:t>(3,877)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foreign currency forward contracts were valued at fair value using Level 2 inputs.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(expense), net on the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non-designated forward contracts</w:t>
            </w:r>
          </w:p>
        </w:tc>
        <w:tc>
          <w:tcPr>
            <w:tcW w:w="1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foreign currency transactions gains (losses)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r>
      <w:tr>
        <w:trPr>
          <w:trHeight w:val="209"/>
        </w:trPr>
        <w:tc>
          <w:tcPr>
            <w:tcW w:w="4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foreign exchange gains (losses), net</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Other expenses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49"/>
        </w:trPr>
        <w:tc>
          <w:tcPr>
            <w:tcW w:w="4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3"/>
        </w:trPr>
        <w:tc>
          <w:tcPr>
            <w:tcW w:w="4840" w:type="dxa"/>
            <w:vAlign w:val="bottom"/>
          </w:tcPr>
          <w:p>
            <w:pPr>
              <w:spacing w:after="0"/>
              <w:rPr>
                <w:sz w:val="24"/>
                <w:szCs w:val="24"/>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and changes in accumulated other comprehensive income (loss) for the three and nine months ended September 30, 2021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2020 were as follows: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9"/>
        </w:trPr>
        <w:tc>
          <w:tcPr>
            <w:tcW w:w="5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gridSpan w:val="3"/>
          </w:tcPr>
          <w:p>
            <w:pPr>
              <w:jc w:val="right"/>
              <w:ind w:right="221"/>
              <w:spacing w:after="0"/>
              <w:rPr>
                <w:sz w:val="20"/>
                <w:szCs w:val="20"/>
                <w:color w:val="auto"/>
              </w:rPr>
            </w:pPr>
            <w:r>
              <w:rPr>
                <w:rFonts w:ascii="Arial" w:cs="Arial" w:eastAsia="Arial" w:hAnsi="Arial"/>
                <w:sz w:val="18"/>
                <w:szCs w:val="18"/>
                <w:b w:val="1"/>
                <w:bCs w:val="1"/>
                <w:color w:val="auto"/>
                <w:w w:val="91"/>
              </w:rPr>
              <w:t>Available-for-sale</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89"/>
              </w:rPr>
              <w:t>debt securities</w:t>
            </w:r>
          </w:p>
        </w:tc>
        <w:tc>
          <w:tcPr>
            <w:tcW w:w="158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w w:val="90"/>
              </w:rPr>
              <w:t>Cash flow hedges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261"/>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1,224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(1,708)</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(484)</w:t>
            </w:r>
          </w:p>
        </w:tc>
      </w:tr>
      <w:tr>
        <w:trPr>
          <w:trHeight w:val="20"/>
        </w:trPr>
        <w:tc>
          <w:tcPr>
            <w:tcW w:w="54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80" w:type="dxa"/>
            <w:vAlign w:val="bottom"/>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color w:val="auto"/>
              </w:rPr>
              <w:t>Income tax benefit (provision)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09"/>
        </w:trPr>
        <w:tc>
          <w:tcPr>
            <w:tcW w:w="54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8"/>
                <w:szCs w:val="18"/>
                <w:b w:val="1"/>
                <w:bCs w:val="1"/>
                <w:color w:val="auto"/>
              </w:rPr>
              <w:t>Balances at March 31, 2021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835</w:t>
            </w:r>
          </w:p>
        </w:tc>
        <w:tc>
          <w:tcPr>
            <w:tcW w:w="120" w:type="dxa"/>
            <w:vAlign w:val="bottom"/>
          </w:tcPr>
          <w:p>
            <w:pPr>
              <w:spacing w:after="0"/>
              <w:rPr>
                <w:sz w:val="18"/>
                <w:szCs w:val="18"/>
                <w:color w:val="auto"/>
              </w:rPr>
            </w:pPr>
          </w:p>
        </w:tc>
        <w:tc>
          <w:tcPr>
            <w:tcW w:w="1460" w:type="dxa"/>
            <w:vAlign w:val="bottom"/>
            <w:gridSpan w:val="2"/>
          </w:tcPr>
          <w:p>
            <w:pPr>
              <w:jc w:val="right"/>
              <w:spacing w:after="0" w:line="210" w:lineRule="exact"/>
              <w:rPr>
                <w:sz w:val="20"/>
                <w:szCs w:val="20"/>
                <w:color w:val="auto"/>
              </w:rPr>
            </w:pPr>
            <w:r>
              <w:rPr>
                <w:rFonts w:ascii="Arial" w:cs="Arial" w:eastAsia="Arial" w:hAnsi="Arial"/>
                <w:sz w:val="14"/>
                <w:szCs w:val="14"/>
                <w:b w:val="1"/>
                <w:bCs w:val="1"/>
                <w:color w:val="auto"/>
              </w:rPr>
              <w:t>(715</w:t>
            </w:r>
            <w:r>
              <w:rPr>
                <w:rFonts w:ascii="Arial" w:cs="Arial" w:eastAsia="Arial" w:hAnsi="Arial"/>
                <w:sz w:val="24"/>
                <w:szCs w:val="24"/>
                <w:b w:val="1"/>
                <w:bCs w:val="1"/>
                <w:color w:val="auto"/>
                <w:vertAlign w:val="subscript"/>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w:t>
            </w: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Change in unrealized losses during the period</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1"/>
              <w:spacing w:after="0" w:line="196" w:lineRule="exact"/>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(667)</w:t>
            </w: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0"/>
        </w:trPr>
        <w:tc>
          <w:tcPr>
            <w:tcW w:w="548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8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r>
      <w:tr>
        <w:trPr>
          <w:trHeight w:val="229"/>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633</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14"/>
                <w:szCs w:val="14"/>
                <w:b w:val="1"/>
                <w:bCs w:val="1"/>
                <w:color w:val="auto"/>
              </w:rPr>
              <w:t>(898</w:t>
            </w:r>
            <w:r>
              <w:rPr>
                <w:rFonts w:ascii="Arial" w:cs="Arial" w:eastAsia="Arial" w:hAnsi="Arial"/>
                <w:sz w:val="24"/>
                <w:szCs w:val="24"/>
                <w:b w:val="1"/>
                <w:bCs w:val="1"/>
                <w:color w:val="auto"/>
                <w:vertAlign w:val="subscript"/>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line="210" w:lineRule="exact"/>
              <w:rPr>
                <w:sz w:val="20"/>
                <w:szCs w:val="20"/>
                <w:color w:val="auto"/>
              </w:rPr>
            </w:pPr>
            <w:r>
              <w:rPr>
                <w:rFonts w:ascii="Arial" w:cs="Arial" w:eastAsia="Arial" w:hAnsi="Arial"/>
                <w:sz w:val="14"/>
                <w:szCs w:val="14"/>
                <w:b w:val="1"/>
                <w:bCs w:val="1"/>
                <w:color w:val="auto"/>
              </w:rPr>
              <w:t>(265</w:t>
            </w:r>
            <w:r>
              <w:rPr>
                <w:rFonts w:ascii="Arial" w:cs="Arial" w:eastAsia="Arial" w:hAnsi="Arial"/>
                <w:sz w:val="24"/>
                <w:szCs w:val="24"/>
                <w:b w:val="1"/>
                <w:bCs w:val="1"/>
                <w:color w:val="auto"/>
                <w:vertAlign w:val="subscript"/>
              </w:rPr>
              <w:t>)</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480" w:type="dxa"/>
            <w:vAlign w:val="bottom"/>
          </w:tcPr>
          <w:p>
            <w:pPr>
              <w:ind w:left="340"/>
              <w:spacing w:after="0" w:line="196" w:lineRule="exact"/>
              <w:rPr>
                <w:sz w:val="20"/>
                <w:szCs w:val="20"/>
                <w:color w:val="auto"/>
              </w:rPr>
            </w:pPr>
            <w:r>
              <w:rPr>
                <w:rFonts w:ascii="Arial" w:cs="Arial" w:eastAsia="Arial" w:hAnsi="Arial"/>
                <w:sz w:val="18"/>
                <w:szCs w:val="18"/>
                <w:color w:val="auto"/>
              </w:rPr>
              <w:t>Change in unrealized gains (losses) during the period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(257)</w:t>
            </w:r>
          </w:p>
        </w:tc>
        <w:tc>
          <w:tcPr>
            <w:tcW w:w="120" w:type="dxa"/>
            <w:vAlign w:val="bottom"/>
          </w:tcPr>
          <w:p>
            <w:pPr>
              <w:spacing w:after="0"/>
              <w:rPr>
                <w:sz w:val="17"/>
                <w:szCs w:val="17"/>
                <w:color w:val="auto"/>
              </w:rPr>
            </w:pPr>
          </w:p>
        </w:tc>
        <w:tc>
          <w:tcPr>
            <w:tcW w:w="146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1,367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1,110</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color w:val="auto"/>
              </w:rPr>
              <w:t>Income tax benefit (provision)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r>
      <w:tr>
        <w:trPr>
          <w:trHeight w:val="210"/>
        </w:trPr>
        <w:tc>
          <w:tcPr>
            <w:tcW w:w="54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8"/>
                <w:szCs w:val="18"/>
                <w:b w:val="1"/>
                <w:bCs w:val="1"/>
                <w:color w:val="auto"/>
              </w:rPr>
              <w:t>Balances at September 30, 2021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441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387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828</w:t>
            </w: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Balances at December 31, 2019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822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340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1,162</w:t>
            </w: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during the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color w:val="auto"/>
              </w:rPr>
              <w:t>Net gains reclassified into income during the period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09"/>
        </w:trPr>
        <w:tc>
          <w:tcPr>
            <w:tcW w:w="5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change during the period</w:t>
            </w:r>
          </w:p>
        </w:tc>
        <w:tc>
          <w:tcPr>
            <w:tcW w:w="8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tcPr>
          <w:p>
            <w:pPr>
              <w:spacing w:after="0"/>
              <w:rPr>
                <w:sz w:val="18"/>
                <w:szCs w:val="18"/>
                <w:color w:val="auto"/>
              </w:rPr>
            </w:pPr>
          </w:p>
        </w:tc>
      </w:tr>
      <w:tr>
        <w:trPr>
          <w:trHeight w:val="250"/>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2020</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480" w:type="dxa"/>
            <w:vAlign w:val="bottom"/>
          </w:tcPr>
          <w:p>
            <w:pPr>
              <w:ind w:left="340"/>
              <w:spacing w:after="0" w:line="196" w:lineRule="exact"/>
              <w:rPr>
                <w:sz w:val="20"/>
                <w:szCs w:val="20"/>
                <w:color w:val="auto"/>
              </w:rPr>
            </w:pPr>
            <w:r>
              <w:rPr>
                <w:rFonts w:ascii="Arial" w:cs="Arial" w:eastAsia="Arial" w:hAnsi="Arial"/>
                <w:sz w:val="18"/>
                <w:szCs w:val="18"/>
                <w:color w:val="auto"/>
              </w:rPr>
              <w:t>Change in unrealized gains (losses) during the period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61"/>
              <w:spacing w:after="0" w:line="196" w:lineRule="exact"/>
              <w:rPr>
                <w:sz w:val="20"/>
                <w:szCs w:val="20"/>
                <w:color w:val="auto"/>
              </w:rPr>
            </w:pPr>
            <w:r>
              <w:rPr>
                <w:rFonts w:ascii="Arial" w:cs="Arial" w:eastAsia="Arial" w:hAnsi="Arial"/>
                <w:sz w:val="18"/>
                <w:szCs w:val="18"/>
                <w:color w:val="auto"/>
              </w:rPr>
              <w:t>1,417</w:t>
            </w:r>
          </w:p>
        </w:tc>
        <w:tc>
          <w:tcPr>
            <w:tcW w:w="120" w:type="dxa"/>
            <w:vAlign w:val="bottom"/>
          </w:tcPr>
          <w:p>
            <w:pPr>
              <w:spacing w:after="0"/>
              <w:rPr>
                <w:sz w:val="17"/>
                <w:szCs w:val="17"/>
                <w:color w:val="auto"/>
              </w:rPr>
            </w:pP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1,300</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gains reclassified into income during the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color w:val="auto"/>
              </w:rPr>
              <w:t>Income tax benefit (provision)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1"/>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r>
      <w:tr>
        <w:trPr>
          <w:trHeight w:val="210"/>
        </w:trPr>
        <w:tc>
          <w:tcPr>
            <w:tcW w:w="54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b w:val="1"/>
                <w:bCs w:val="1"/>
                <w:color w:val="auto"/>
              </w:rPr>
              <w:t>Balances at June 30, 2020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2,166</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269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2,435</w:t>
            </w: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Change in unrealized losses during the period</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1"/>
              <w:spacing w:after="0" w:line="196" w:lineRule="exact"/>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(1,733)</w:t>
            </w: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color w:val="auto"/>
              </w:rPr>
              <w:t>Net losses (gains) reclassified into income during the period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r>
      <w:tr>
        <w:trPr>
          <w:trHeight w:val="210"/>
        </w:trPr>
        <w:tc>
          <w:tcPr>
            <w:tcW w:w="5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change during the period</w:t>
            </w:r>
          </w:p>
        </w:tc>
        <w:tc>
          <w:tcPr>
            <w:tcW w:w="8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tcPr>
          <w:p>
            <w:pPr>
              <w:spacing w:after="0"/>
              <w:rPr>
                <w:sz w:val="18"/>
                <w:szCs w:val="18"/>
                <w:color w:val="auto"/>
              </w:rPr>
            </w:pPr>
          </w:p>
        </w:tc>
      </w:tr>
      <w:tr>
        <w:trPr>
          <w:trHeight w:val="250"/>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2020</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effects on income before income taxes of amounts reclassified from AOCI to the condensed consolidated statements of operations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1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AOCI - Available-for-sale debt securities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78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line="216" w:lineRule="exact"/>
              <w:rPr>
                <w:sz w:val="20"/>
                <w:szCs w:val="20"/>
                <w:color w:val="auto"/>
              </w:rPr>
            </w:pPr>
            <w:r>
              <w:rPr>
                <w:rFonts w:ascii="Arial" w:cs="Arial" w:eastAsia="Arial" w:hAnsi="Arial"/>
                <w:sz w:val="14"/>
                <w:szCs w:val="14"/>
                <w:color w:val="auto"/>
              </w:rPr>
              <w:t>(5</w:t>
            </w:r>
            <w:r>
              <w:rPr>
                <w:rFonts w:ascii="Arial" w:cs="Arial" w:eastAsia="Arial" w:hAnsi="Arial"/>
                <w:sz w:val="25"/>
                <w:szCs w:val="25"/>
                <w:color w:val="auto"/>
                <w:vertAlign w:val="subscript"/>
              </w:rPr>
              <w:t>)</w:t>
            </w: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(140</w:t>
            </w:r>
            <w:r>
              <w:rPr>
                <w:rFonts w:ascii="Arial" w:cs="Arial" w:eastAsia="Arial" w:hAnsi="Arial"/>
                <w:sz w:val="25"/>
                <w:szCs w:val="25"/>
                <w:color w:val="auto"/>
                <w:vertAlign w:val="sub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(21</w:t>
            </w:r>
            <w:r>
              <w:rPr>
                <w:rFonts w:ascii="Arial" w:cs="Arial" w:eastAsia="Arial" w:hAnsi="Arial"/>
                <w:sz w:val="25"/>
                <w:szCs w:val="25"/>
                <w:color w:val="auto"/>
                <w:vertAlign w:val="sub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16" w:lineRule="exact"/>
              <w:rPr>
                <w:sz w:val="20"/>
                <w:szCs w:val="20"/>
                <w:color w:val="auto"/>
              </w:rPr>
            </w:pPr>
            <w:r>
              <w:rPr>
                <w:rFonts w:ascii="Arial" w:cs="Arial" w:eastAsia="Arial" w:hAnsi="Arial"/>
                <w:sz w:val="14"/>
                <w:szCs w:val="14"/>
                <w:color w:val="auto"/>
              </w:rPr>
              <w:t>(10</w:t>
            </w:r>
            <w:r>
              <w:rPr>
                <w:rFonts w:ascii="Arial" w:cs="Arial" w:eastAsia="Arial" w:hAnsi="Arial"/>
                <w:sz w:val="25"/>
                <w:szCs w:val="25"/>
                <w:color w:val="auto"/>
                <w:vertAlign w:val="subscript"/>
              </w:rPr>
              <w:t>)</w:t>
            </w:r>
          </w:p>
        </w:tc>
      </w:tr>
      <w:tr>
        <w:trPr>
          <w:trHeight w:val="20"/>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Reclassification of AOCI - Cash flow hedges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(570)</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Cost of revenues</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(318)</w:t>
            </w:r>
          </w:p>
        </w:tc>
        <w:tc>
          <w:tcPr>
            <w:tcW w:w="2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Property and Equipment,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which includes assets under finance leases, consists of the following:</w:t>
      </w:r>
    </w:p>
    <w:p>
      <w:pPr>
        <w:sectPr>
          <w:pgSz w:w="11900" w:h="16838" w:orient="portrait"/>
          <w:cols w:equalWidth="0" w:num="1">
            <w:col w:w="11240"/>
          </w:cols>
          <w:pgMar w:left="320" w:top="125" w:right="339" w:bottom="0" w:gutter="0" w:footer="0" w:header="0"/>
        </w:sectPr>
      </w:pP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September 30,</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5715</wp:posOffset>
            </wp:positionV>
            <wp:extent cx="917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December 31,</w:t>
      </w:r>
    </w:p>
    <w:p>
      <w:pPr>
        <w:spacing w:after="0" w:line="50"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5715</wp:posOffset>
            </wp:positionV>
            <wp:extent cx="916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9300" w:space="580"/>
            <w:col w:w="1360"/>
          </w:cols>
          <w:pgMar w:left="320" w:top="125" w:right="339" w:bottom="0" w:gutter="0" w:footer="0" w:header="0"/>
          <w:type w:val="continuous"/>
        </w:sectPr>
      </w:pPr>
    </w:p>
    <w:p>
      <w:pPr>
        <w:ind w:left="9040"/>
        <w:spacing w:after="0"/>
        <w:rPr>
          <w:sz w:val="20"/>
          <w:szCs w:val="20"/>
          <w:color w:val="auto"/>
        </w:rPr>
      </w:pPr>
      <w:r>
        <w:rPr>
          <w:rFonts w:ascii="Arial" w:cs="Arial" w:eastAsia="Arial" w:hAnsi="Arial"/>
          <w:sz w:val="15"/>
          <w:szCs w:val="15"/>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156,042</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136,286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Computer software</w:t>
            </w:r>
          </w:p>
        </w:tc>
        <w:tc>
          <w:tcPr>
            <w:tcW w:w="4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25,806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26,164</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21,092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Scanner appliances</w:t>
            </w:r>
          </w:p>
        </w:tc>
        <w:tc>
          <w:tcPr>
            <w:tcW w:w="4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16,855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16,749</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Finance leases - right of use asset</w:t>
            </w:r>
          </w:p>
        </w:tc>
        <w:tc>
          <w:tcPr>
            <w:tcW w:w="4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09"/>
        </w:trPr>
        <w:tc>
          <w:tcPr>
            <w:tcW w:w="8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property and equipment</w:t>
            </w: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226,250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(162,993)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(145,558)</w:t>
            </w:r>
          </w:p>
        </w:tc>
      </w:tr>
      <w:tr>
        <w:trPr>
          <w:trHeight w:val="250"/>
        </w:trPr>
        <w:tc>
          <w:tcPr>
            <w:tcW w:w="8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of September 30, 2021 and December 31, 2020, physical scanner appliances and other computer equipment that are or will be subject to leases by customers had a net carrying value of $5.7 million and $7.5 million, respectively, including assets that had not been placed in service of $1.1 million and $1.9 million, respectively. Depreciation and amortization expenses relating to property and equipment were $7.0 million and $6.7 million for the three months ended September 30, 2021 and 2020, respectively, and $21.2 million and $19.3 million for the nine months ended September 30, 2021 and 2020, respectively. Assets under finance leases were acquired upon completion of lease term and placed within computer equipment as of September 30,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Revenue from Contracts with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obligations offset by revenue recognized in the period. Revenues of $42.1 million and $38.3 million were recognized during the three months ended September 30, 2021 and 2020, respectively, which amounts were included in the deferred revenue balances as of December 31, 2020 and 2019, respectively. Revenues of $189.1 million and $168.0 million were recognized during the nine months ended September 30, 2021 and 2020, respectively, which amounts were included in the deferred revenue balances as of December 31, 2020 and 2019, respectively.</w:t>
      </w:r>
    </w:p>
    <w:p>
      <w:pPr>
        <w:spacing w:after="0" w:line="18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9060" w:type="dxa"/>
            <w:vAlign w:val="bottom"/>
          </w:tcPr>
          <w:p>
            <w:pPr>
              <w:ind w:left="20"/>
              <w:spacing w:after="0"/>
              <w:rPr>
                <w:sz w:val="20"/>
                <w:szCs w:val="20"/>
                <w:color w:val="auto"/>
              </w:rPr>
            </w:pPr>
            <w:r>
              <w:rPr>
                <w:rFonts w:ascii="Arial" w:cs="Arial" w:eastAsia="Arial" w:hAnsi="Arial"/>
                <w:sz w:val="18"/>
                <w:szCs w:val="18"/>
                <w:color w:val="auto"/>
                <w:w w:val="93"/>
              </w:rPr>
              <w:t>The following table sets forth the expected revenue from all remaining performance obligations as of September 30, 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2021</w:t>
            </w:r>
          </w:p>
        </w:tc>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2022</w:t>
            </w:r>
          </w:p>
        </w:tc>
        <w:tc>
          <w:tcPr>
            <w:tcW w:w="9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116,982</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2023</w:t>
            </w:r>
          </w:p>
        </w:tc>
        <w:tc>
          <w:tcPr>
            <w:tcW w:w="9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76,774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2024</w:t>
            </w:r>
          </w:p>
        </w:tc>
        <w:tc>
          <w:tcPr>
            <w:tcW w:w="9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16,870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2025</w:t>
            </w:r>
          </w:p>
        </w:tc>
        <w:tc>
          <w:tcPr>
            <w:tcW w:w="9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2026 and thereafter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49"/>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90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its contracts did not contain a financing component.</w:t>
      </w:r>
    </w:p>
    <w:p>
      <w:pPr>
        <w:sectPr>
          <w:pgSz w:w="11900" w:h="16838" w:orient="portrait"/>
          <w:cols w:equalWidth="0" w:num="1">
            <w:col w:w="11240"/>
          </w:cols>
          <w:pgMar w:left="320" w:top="125" w:right="339" w:bottom="426" w:gutter="0" w:footer="0" w:header="0"/>
        </w:sectPr>
      </w:pPr>
    </w:p>
    <w:p>
      <w:pPr>
        <w:spacing w:after="0" w:line="184"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Revenues by sales channel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20" w:type="dxa"/>
            <w:vAlign w:val="bottom"/>
          </w:tcPr>
          <w:p>
            <w:pPr>
              <w:spacing w:after="0"/>
              <w:rPr>
                <w:sz w:val="20"/>
                <w:szCs w:val="20"/>
                <w:color w:val="auto"/>
              </w:rPr>
            </w:pPr>
          </w:p>
        </w:tc>
        <w:tc>
          <w:tcPr>
            <w:tcW w:w="242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195"/>
        </w:trPr>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61,554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54,821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178,288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156,631</w:t>
            </w:r>
          </w:p>
        </w:tc>
      </w:tr>
      <w:tr>
        <w:trPr>
          <w:trHeight w:val="230"/>
        </w:trPr>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43,380</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38,248</w:t>
            </w:r>
          </w:p>
        </w:tc>
        <w:tc>
          <w:tcPr>
            <w:tcW w:w="240" w:type="dxa"/>
            <w:vAlign w:val="bottom"/>
          </w:tcPr>
          <w:p>
            <w:pPr>
              <w:spacing w:after="0"/>
              <w:rPr>
                <w:sz w:val="20"/>
                <w:szCs w:val="20"/>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123,104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111,531</w:t>
            </w:r>
          </w:p>
        </w:tc>
      </w:tr>
      <w:tr>
        <w:trPr>
          <w:trHeight w:val="210"/>
        </w:trPr>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104,934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93,069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301,392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268,162</w:t>
            </w:r>
          </w:p>
        </w:tc>
        <w:tc>
          <w:tcPr>
            <w:tcW w:w="2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-445135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-170815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25" w:right="339" w:bottom="426" w:gutter="0" w:footer="0" w:header="0"/>
          <w:type w:val="continuous"/>
        </w:sectPr>
      </w:pPr>
    </w:p>
    <w:p>
      <w:pPr>
        <w:spacing w:after="0" w:line="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Deferred costs to obtain contracts are as follows: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7,296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6,906</w:t>
            </w:r>
          </w:p>
        </w:tc>
      </w:tr>
    </w:tbl>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September 30, 2021 and 2020, the Company recognized $1.0 million and $0.8 million, respectively, of amortization expense relating to deferred costs to obtain contracts. For the nine months ended September 30, 2021 and 2020, the Company recognized $2.8 million and $2.2 million, respectively, of amortization expense relating to deferred costs to obtain contracts. During the same periods, there was no impairment loss related to the deferred costs to obtain contracts.</w:t>
      </w:r>
    </w:p>
    <w:p>
      <w:pPr>
        <w:sectPr>
          <w:pgSz w:w="11900" w:h="16838" w:orient="portrait"/>
          <w:cols w:equalWidth="0" w:num="1">
            <w:col w:w="11240"/>
          </w:cols>
          <w:pgMar w:left="320" w:top="125" w:right="339" w:bottom="426"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26"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Intangible Assets,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19, 2021, the Company acquired certain developed technology intangible assets of Kandor Soft Labs Private Ltd. ("TotalCloud"), a privately held company incorporated in India, for total cash consideration of $1.2 million, of which $1.1 million was paid on the acquisition date and the remaining $0.1 million will be due one year from the acquisition date, subject to potential adjustment from possible indemnity claims. The acquired intangible assets will be amortized over five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ind w:left="420"/>
              <w:spacing w:after="0"/>
              <w:rPr>
                <w:sz w:val="20"/>
                <w:szCs w:val="20"/>
                <w:color w:val="auto"/>
              </w:rPr>
            </w:pPr>
            <w:r>
              <w:rPr>
                <w:rFonts w:ascii="Arial" w:cs="Arial" w:eastAsia="Arial" w:hAnsi="Arial"/>
                <w:sz w:val="18"/>
                <w:szCs w:val="18"/>
                <w:color w:val="auto"/>
                <w:w w:val="95"/>
              </w:rPr>
              <w:t>The carrying values of intangible assets are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88"/>
              </w:rPr>
              <w:t>September 30, 2021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0"/>
                <w:szCs w:val="2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4.5</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28,556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(20,845)</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December 31, 2020</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0"/>
                <w:szCs w:val="2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4.4</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1.8</w:t>
            </w: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27,356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(16,152)</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(17,277)</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Intangible asset amortization expense was $1.7 million and $1.6 million for the three months ended September 30, 2021 and 2020, respectively, and $5.0 million and $4.6 million for the nine months ended September 30, 2021 and 2020, respectively. Intangible asset amortization expenses were primarily recorded in cost of revenues in the condensed consolidated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9280" w:type="dxa"/>
            <w:vAlign w:val="bottom"/>
          </w:tcPr>
          <w:p>
            <w:pPr>
              <w:ind w:left="20"/>
              <w:spacing w:after="0"/>
              <w:rPr>
                <w:sz w:val="20"/>
                <w:szCs w:val="20"/>
                <w:color w:val="auto"/>
              </w:rPr>
            </w:pPr>
            <w:r>
              <w:rPr>
                <w:rFonts w:ascii="Arial" w:cs="Arial" w:eastAsia="Arial" w:hAnsi="Arial"/>
                <w:sz w:val="18"/>
                <w:szCs w:val="18"/>
                <w:color w:val="auto"/>
              </w:rPr>
              <w:t>As of September 30, 2021, the Company expects amortization expense in future periods to be as follows: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40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2021</w:t>
            </w:r>
          </w:p>
        </w:tc>
        <w:tc>
          <w:tcPr>
            <w:tcW w:w="9280" w:type="dxa"/>
            <w:vAlign w:val="bottom"/>
          </w:tcPr>
          <w:p>
            <w:pPr>
              <w:ind w:left="20"/>
              <w:spacing w:after="0"/>
              <w:rPr>
                <w:sz w:val="20"/>
                <w:szCs w:val="20"/>
                <w:color w:val="auto"/>
              </w:rPr>
            </w:pPr>
            <w:r>
              <w:rPr>
                <w:rFonts w:ascii="Arial" w:cs="Arial" w:eastAsia="Arial" w:hAnsi="Arial"/>
                <w:sz w:val="18"/>
                <w:szCs w:val="18"/>
                <w:color w:val="auto"/>
              </w:rPr>
              <w:t>(remaining three months)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20"/>
                <w:szCs w:val="20"/>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2022</w:t>
            </w: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5,063</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2023</w:t>
            </w:r>
          </w:p>
        </w:tc>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590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2024</w:t>
            </w: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2025</w:t>
            </w:r>
          </w:p>
        </w:tc>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240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2026</w:t>
            </w: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0"/>
        </w:trPr>
        <w:tc>
          <w:tcPr>
            <w:tcW w:w="9680" w:type="dxa"/>
            <w:vAlign w:val="bottom"/>
            <w:gridSpan w:val="2"/>
          </w:tcPr>
          <w:p>
            <w:pPr>
              <w:spacing w:after="0"/>
              <w:rPr>
                <w:sz w:val="20"/>
                <w:szCs w:val="20"/>
                <w:color w:val="auto"/>
              </w:rPr>
            </w:pPr>
            <w:r>
              <w:rPr>
                <w:rFonts w:ascii="Arial" w:cs="Arial" w:eastAsia="Arial" w:hAnsi="Arial"/>
                <w:sz w:val="18"/>
                <w:szCs w:val="18"/>
                <w:color w:val="auto"/>
              </w:rPr>
              <w:t>Total expected future amortization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5"/>
          <w:szCs w:val="15"/>
          <w:b w:val="1"/>
          <w:bCs w:val="1"/>
          <w:color w:val="auto"/>
        </w:rPr>
        <w:t>Leases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offices, computer equipment and its data center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$4.2 million and $4.6 million for the three months ended September 30, 2021 and 2020, respectively, and $12.5 million and $13.5 million for the nine months ended September 30, 2021 and 2020,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48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10,776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1,739</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15,735</w:t>
            </w: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remaining lease term and the weighted average discount rate of the Company's operating leases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9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7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3.4</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4.1</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20" w:type="dxa"/>
            <w:vAlign w:val="bottom"/>
            <w:gridSpan w:val="2"/>
          </w:tcPr>
          <w:p>
            <w:pPr>
              <w:ind w:left="1220"/>
              <w:spacing w:after="0"/>
              <w:rPr>
                <w:sz w:val="20"/>
                <w:szCs w:val="20"/>
                <w:color w:val="auto"/>
              </w:rPr>
            </w:pPr>
            <w:r>
              <w:rPr>
                <w:rFonts w:ascii="Arial" w:cs="Arial" w:eastAsia="Arial" w:hAnsi="Arial"/>
                <w:sz w:val="18"/>
                <w:szCs w:val="18"/>
                <w:color w:val="auto"/>
              </w:rPr>
              <w:t>4.9%</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w w:val="87"/>
              </w:rPr>
              <w:t>4.8%</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00" w:lineRule="exact"/>
        <w:rPr>
          <w:sz w:val="20"/>
          <w:szCs w:val="20"/>
          <w:color w:val="auto"/>
        </w:rPr>
      </w:pPr>
    </w:p>
    <w:p>
      <w:pPr>
        <w:spacing w:after="0" w:line="2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Stockholders' Equity and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Equity Incentive Plan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17,662 thousand shares of common stock as of September 30, 2021, including 1,963 thousand shares authorized during the nine months ended September 30, 2021. Options may be granted with an exercise price that is at least equal to the fair market value of the Company's stock at the date of grant and are exercisable when vested. As of September 30, 2021, 8,418 thousand shares were available for grant under the 2012 Plan.</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2000 Equity Incentive Plan</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Employee Stock Purchase Plan</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June 9, 2021, the Company’s stockholders approved the 2021 Employee Stock Purchase Plan (the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 The first ESPP offering period commenced on August 16, 2021 and will end on February 15, 2022.</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a summary of the stock-based compensation expense included in the condensed consolidated statements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3,197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9,887</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4,112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5,295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41,640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13,776</w:t>
            </w:r>
          </w:p>
        </w:tc>
      </w:tr>
      <w:tr>
        <w:trPr>
          <w:trHeight w:val="249"/>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2021, the Company had unrecognized stock-based compensation expenses of $15.9 million, $52.5 million and $0.5 million related to options, RSUs and ESPP, respectively, which are expected to be recognized over weighted-average periods of 2.8 years, 2.7 years and 0.4 years, respectively.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Performance-Based Restricted Stock Units and Stock Options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April 27, 2021, the compensation committee of the Company's board of directors (Compensation Committee) granted to the Company’s President and Chief Executive Officer an equity award consisting of certain RSUs and a target number of 9,671 performance-based restricted stock units ("PSUs"). The PSUs are scheduled to vest at the end of the three-year performance period from January 2021 through December 2023. The actual number of PSUs eligible to vest range from 0% to 200% of the target number, depending on the level of achievement of goals related to revenue growth and free cash flow per share growth during the performance period. If the Company's President and Chief Executive Officer is terminated (a) by reason of death or disability or (b) by the Company for reasons other than cause or good reason within 12 months following a change in control, then 100% of any unvested portions of the award will vest, with any vesting in connection with terminations due to change in control conditioned upon the effectiveness of a release of claims in favor of the Company.</w:t>
      </w:r>
    </w:p>
    <w:p>
      <w:pPr>
        <w:spacing w:after="0" w:line="19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March 19, 2021, the Company’s former chief executive officer, Philippe Courtot, resigned from the Company due to health issues. The Compensation Committee determined that Mr. Courtot’s termination of employment was on account of disability. In accordance with the grant agreements of the equity awards for 2021, 2020 and 2019 for Mr. Courtot, all remaining outstanding RSUs, PSUs and performance stock options under these grants were subject to accelerated vesting and became fully vested at 100% of the target number of awards as of the date of his termination of employment, which consist of 127 thousand RSUs, 44 thousand PSUs and 348 thousand performance stock options. As a result, the Company recognized $27.3 million of stock-based compensation expense due to the accelerated vesting in the condensed consolidated statements of operations during the nine months ended September 30, 2021.</w:t>
      </w:r>
    </w:p>
    <w:p>
      <w:pPr>
        <w:spacing w:after="0" w:line="19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February 2021 and February 2020, 22 thousand shares (representing 200% of target number of awards) and 15 thousand shares (representing 135% of target number of awards) under the equity award for 2019 for Mr. Courtot, vested as a result of the Company achieving the corresponding level of performance goals for fiscal 2020 and 2019, respectively.</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Stock Option Activity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ind w:left="420"/>
              <w:spacing w:after="0"/>
              <w:rPr>
                <w:sz w:val="20"/>
                <w:szCs w:val="20"/>
                <w:color w:val="auto"/>
              </w:rPr>
            </w:pPr>
            <w:r>
              <w:rPr>
                <w:rFonts w:ascii="Arial" w:cs="Arial" w:eastAsia="Arial" w:hAnsi="Arial"/>
                <w:sz w:val="18"/>
                <w:szCs w:val="18"/>
                <w:color w:val="auto"/>
              </w:rPr>
              <w:t>A summary of the Company’s stock option activity is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Weighted</w:t>
            </w:r>
          </w:p>
        </w:tc>
        <w:tc>
          <w:tcPr>
            <w:tcW w:w="200" w:type="dxa"/>
            <w:vAlign w:val="bottom"/>
          </w:tcPr>
          <w:p>
            <w:pPr>
              <w:spacing w:after="0"/>
              <w:rPr>
                <w:sz w:val="18"/>
                <w:szCs w:val="18"/>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140" w:type="dxa"/>
            <w:vAlign w:val="bottom"/>
            <w:gridSpan w:val="4"/>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8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191"/>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12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(in</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59.07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6.5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139,121</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110.11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100.70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66.98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5.1</w:t>
            </w:r>
          </w:p>
        </w:tc>
        <w:tc>
          <w:tcPr>
            <w:tcW w:w="2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100,801</w:t>
            </w:r>
          </w:p>
        </w:tc>
      </w:tr>
      <w:tr>
        <w:trPr>
          <w:trHeight w:val="196"/>
        </w:trPr>
        <w:tc>
          <w:tcPr>
            <w:tcW w:w="5980" w:type="dxa"/>
            <w:vAlign w:val="bottom"/>
            <w:gridSpan w:val="2"/>
          </w:tcPr>
          <w:p>
            <w:pPr>
              <w:spacing w:after="0" w:line="196" w:lineRule="exact"/>
              <w:rPr>
                <w:sz w:val="20"/>
                <w:szCs w:val="20"/>
                <w:color w:val="auto"/>
              </w:rPr>
            </w:pPr>
            <w:r>
              <w:rPr>
                <w:rFonts w:ascii="Arial" w:cs="Arial" w:eastAsia="Arial" w:hAnsi="Arial"/>
                <w:sz w:val="18"/>
                <w:szCs w:val="18"/>
                <w:color w:val="auto"/>
              </w:rPr>
              <w:t>Vested and expected to vest - September 30, 2021</w:t>
            </w:r>
          </w:p>
        </w:tc>
        <w:tc>
          <w:tcPr>
            <w:tcW w:w="13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2,061</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63.77</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w w:val="79"/>
              </w:rPr>
              <w:t>4.8</w:t>
            </w:r>
          </w:p>
        </w:tc>
        <w:tc>
          <w:tcPr>
            <w:tcW w:w="2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99,394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 September 30,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52.09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3.6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94,325</w:t>
            </w:r>
          </w:p>
        </w:tc>
      </w:tr>
      <w:tr>
        <w:trPr>
          <w:trHeight w:val="432"/>
        </w:trPr>
        <w:tc>
          <w:tcPr>
            <w:tcW w:w="59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Restricted Stock Unit Activity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ind w:left="420"/>
              <w:spacing w:after="0"/>
              <w:rPr>
                <w:sz w:val="20"/>
                <w:szCs w:val="20"/>
                <w:color w:val="auto"/>
              </w:rPr>
            </w:pPr>
            <w:r>
              <w:rPr>
                <w:rFonts w:ascii="Arial" w:cs="Arial" w:eastAsia="Arial" w:hAnsi="Arial"/>
                <w:sz w:val="18"/>
                <w:szCs w:val="18"/>
                <w:color w:val="auto"/>
              </w:rPr>
              <w:t>A summary of the Company’s RSU activity is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Weighted Average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5"/>
          </w:tcPr>
          <w:p>
            <w:pPr>
              <w:ind w:left="2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Per Share</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Borders>
              <w:top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289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109.54</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Canceled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87.86</w:t>
            </w:r>
          </w:p>
        </w:tc>
      </w:tr>
      <w:tr>
        <w:trPr>
          <w:trHeight w:val="25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r>
      <w:tr>
        <w:trPr>
          <w:trHeight w:val="211"/>
        </w:trPr>
        <w:tc>
          <w:tcPr>
            <w:tcW w:w="5980" w:type="dxa"/>
            <w:vAlign w:val="bottom"/>
            <w:gridSpan w:val="2"/>
          </w:tcPr>
          <w:p>
            <w:pPr>
              <w:spacing w:after="0"/>
              <w:rPr>
                <w:sz w:val="20"/>
                <w:szCs w:val="20"/>
                <w:color w:val="auto"/>
              </w:rPr>
            </w:pPr>
            <w:r>
              <w:rPr>
                <w:rFonts w:ascii="Arial" w:cs="Arial" w:eastAsia="Arial" w:hAnsi="Arial"/>
                <w:sz w:val="18"/>
                <w:szCs w:val="18"/>
                <w:color w:val="auto"/>
              </w:rPr>
              <w:t>Outstanding and expected to vest - September 30, 2021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612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95.61</w:t>
            </w:r>
          </w:p>
        </w:tc>
      </w:tr>
    </w:tbl>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February 5, 2018, the Company's board of directors authorized a $100.0 million two-year share repurchase program, which was announced on February 12, 2018. On each of October 30, 2018, October 30, 2019, May 7, 2020 and February 10, 2021, the Company announced that its board of directors had authorized an increase of $100.0 million to the share repurchase program, resulting in an aggregate authorization of $500.0 million. 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w:t>
      </w:r>
    </w:p>
    <w:p>
      <w:pPr>
        <w:spacing w:after="0" w:line="16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retained earnings.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nine months ended September 30, 2021, the Company repurchased 875 thousand shares of its common stock for approximately $94.9 million. As of September 30, 2021, approximately $106.9 million remained available for share repurchases pursuant to the Company's share repurchase program.</w:t>
      </w:r>
    </w:p>
    <w:p>
      <w:pPr>
        <w:spacing w:after="0" w:line="1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November 3, 2021, the Company announced that its board of directors authorized an additional $200.0 million to the original share repurchase program authorization, increasing the total amount of authorized repurchase to $700.0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Net Income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computations for basic and diluted net income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(in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6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w w:val="88"/>
              </w:rPr>
              <w:t>thousands,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27,769</w:t>
            </w:r>
          </w:p>
        </w:tc>
        <w:tc>
          <w:tcPr>
            <w:tcW w:w="4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22,743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49,139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67,756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38,925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39,238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39,077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39,171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4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Potentially dilutive shares not included in the calculation of diluted net income per share because doing so would be anti-dilutive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100" w:type="dxa"/>
            <w:vAlign w:val="bottom"/>
            <w:gridSpan w:val="4"/>
          </w:tcPr>
          <w:p>
            <w:pPr>
              <w:ind w:left="400"/>
              <w:spacing w:after="0"/>
              <w:rPr>
                <w:sz w:val="20"/>
                <w:szCs w:val="20"/>
                <w:color w:val="auto"/>
              </w:rPr>
            </w:pPr>
            <w:r>
              <w:rPr>
                <w:rFonts w:ascii="Arial" w:cs="Arial" w:eastAsia="Arial" w:hAnsi="Arial"/>
                <w:sz w:val="18"/>
                <w:szCs w:val="18"/>
                <w:b w:val="1"/>
                <w:bCs w:val="1"/>
                <w:color w:val="auto"/>
                <w:w w:val="94"/>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10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99"/>
              </w:rPr>
              <w:t>2021</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543</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476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780" w:type="dxa"/>
            <w:vAlign w:val="bottom"/>
          </w:tcPr>
          <w:p>
            <w:pPr>
              <w:spacing w:after="0"/>
              <w:rPr>
                <w:sz w:val="18"/>
                <w:szCs w:val="18"/>
                <w:color w:val="auto"/>
              </w:rPr>
            </w:pPr>
          </w:p>
        </w:tc>
        <w:tc>
          <w:tcPr>
            <w:tcW w:w="540" w:type="dxa"/>
            <w:vAlign w:val="bottom"/>
            <w:gridSpan w:val="2"/>
          </w:tcPr>
          <w:p>
            <w:pPr>
              <w:jc w:val="right"/>
              <w:ind w:right="141"/>
              <w:spacing w:after="0"/>
              <w:rPr>
                <w:sz w:val="20"/>
                <w:szCs w:val="20"/>
                <w:color w:val="auto"/>
              </w:rPr>
            </w:pPr>
            <w:r>
              <w:rPr>
                <w:rFonts w:ascii="Arial" w:cs="Arial" w:eastAsia="Arial" w:hAnsi="Arial"/>
                <w:sz w:val="18"/>
                <w:szCs w:val="18"/>
                <w:color w:val="auto"/>
              </w:rPr>
              <w:t>60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7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594</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536</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5540"/>
              <w:spacing w:after="0"/>
              <w:rPr>
                <w:sz w:val="20"/>
                <w:szCs w:val="20"/>
                <w:color w:val="auto"/>
              </w:rPr>
            </w:pPr>
            <w:r>
              <w:rPr>
                <w:rFonts w:ascii="Arial" w:cs="Arial" w:eastAsia="Arial" w:hAnsi="Arial"/>
                <w:sz w:val="18"/>
                <w:szCs w:val="18"/>
                <w:color w:val="auto"/>
              </w:rPr>
              <w:t>20</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tax law developments and possible outcomes of audits. The Company's estimated effective tax rate for the year differs from the U.S. statutory rate of 21% primarily due to non-deductible stock-based compensation expense, state taxes, the benefit of U.S. federal income tax credits and the foreign-derived intangible income deduction.</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an income tax provision of $4.3 million and $4.9 million for the three months ended September 30, 2021 and 2020, respectively, resulting in an effective tax rate of 13.4% and 17.7%, respectively. The decrease in income tax provision for the three months ended September 30, 2021 compared to the three months ended September 30, 2020 was primarily due to the effects of a tax election to capitalize and amortize certain research and development expenses for U.S. income tax purposes.</w:t>
      </w:r>
    </w:p>
    <w:p>
      <w:pPr>
        <w:spacing w:after="0" w:line="18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recorded an income tax provision of $10.6 million and $9.2 million for the nine months ended September 30, 2021 and 2020, respectively, resulting in an effective tax rate of 17.7% and 11.9%, respectively. The increase in income tax provision for the nine months ended September 30, 2021 compared to the nine months ended September 30, 2020 was primarily due to a reduction in excess tax benefits from stock-based compensation offset by the effects of a tax election to capitalize and amortize certain research and development expenses for U.S. income tax purposes.</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2021, the Company had unrecognized tax benefits of $9.6 million, of which $4.9 million, if recognized, would favorably impact the Company's effective tax rate. As of December 31, 2020, the Company had unrecognized tax benefits of $8.9 million, of which $4.6 million, if recognized, would favorably impact the Company's effective tax rate. The Company does not anticipate a material change in its unrecognized tax benefits in the next 12 months.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 million annually for 2020, 2021 and 2022. The Company does not expect a material impact to the condensed consolidated financial statements as a result of the 2020 Budget Act.</w:t>
      </w:r>
    </w:p>
    <w:p>
      <w:pPr>
        <w:spacing w:after="0" w:line="200" w:lineRule="exact"/>
        <w:rPr>
          <w:sz w:val="20"/>
          <w:szCs w:val="20"/>
          <w:color w:val="auto"/>
        </w:rPr>
      </w:pP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Segment Information and Information about Geographic Area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geographic area, based on the customer's billing address, is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Foreign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20" w:type="dxa"/>
            <w:vAlign w:val="bottom"/>
          </w:tcPr>
          <w:p>
            <w:pPr>
              <w:spacing w:after="0"/>
              <w:rPr>
                <w:sz w:val="20"/>
                <w:szCs w:val="20"/>
                <w:color w:val="auto"/>
              </w:rPr>
            </w:pPr>
          </w:p>
        </w:tc>
        <w:tc>
          <w:tcPr>
            <w:tcW w:w="242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195"/>
        </w:trPr>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63,599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59,152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184,722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171,130</w:t>
            </w:r>
          </w:p>
        </w:tc>
      </w:tr>
      <w:tr>
        <w:trPr>
          <w:trHeight w:val="230"/>
        </w:trPr>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41,335</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33,917</w:t>
            </w:r>
          </w:p>
        </w:tc>
        <w:tc>
          <w:tcPr>
            <w:tcW w:w="24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116,670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97,032</w:t>
            </w:r>
          </w:p>
        </w:tc>
      </w:tr>
      <w:tr>
        <w:trPr>
          <w:trHeight w:val="209"/>
        </w:trPr>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104,934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93,069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301,392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268,162</w:t>
            </w:r>
          </w:p>
        </w:tc>
        <w:tc>
          <w:tcPr>
            <w:tcW w:w="2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-445135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-170815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25"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420"/>
              <w:spacing w:after="0"/>
              <w:rPr>
                <w:sz w:val="20"/>
                <w:szCs w:val="20"/>
                <w:color w:val="auto"/>
              </w:rPr>
            </w:pPr>
            <w:r>
              <w:rPr>
                <w:rFonts w:ascii="Arial" w:cs="Arial" w:eastAsia="Arial" w:hAnsi="Arial"/>
                <w:sz w:val="18"/>
                <w:szCs w:val="18"/>
                <w:color w:val="auto"/>
              </w:rPr>
              <w:t>Property and equipment, net, by geographic area, is as follows: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43,994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43,791</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India</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11,287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12,465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w:t>
            </w: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63,257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64,850</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2020.</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 w:lineRule="exact"/>
        <w:rPr>
          <w:sz w:val="20"/>
          <w:szCs w:val="20"/>
          <w:color w:val="auto"/>
        </w:rPr>
      </w:pP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to changing market conditions;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ongoing COVID-19 pandemic and related public health measures on our business;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increased competition in our market;</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investments in sales and marketing, our infrastructure, new solutions, and research and development, and acquisitions;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assumptions and conclusions related to our income tax provision, our deferred tax assets and our effective tax rate; and</w:t>
      </w:r>
    </w:p>
    <w:p>
      <w:pPr>
        <w:spacing w:after="0" w:line="20" w:lineRule="exact"/>
        <w:rPr>
          <w:rFonts w:ascii="Arial" w:cs="Arial" w:eastAsia="Arial" w:hAnsi="Arial"/>
          <w:sz w:val="17"/>
          <w:szCs w:val="17"/>
          <w:i w:val="1"/>
          <w:iCs w:val="1"/>
          <w:color w:val="auto"/>
        </w:rPr>
      </w:pPr>
    </w:p>
    <w:p>
      <w:pPr>
        <w:ind w:left="460" w:right="20" w:hanging="223"/>
        <w:spacing w:after="0" w:line="26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discussed in this Quarterly Report on Form 10-Q in the sections titled “Risk Factors” and “Management's Discussion and Analysis of Financial Condition and Results of Operations.”</w:t>
      </w:r>
    </w:p>
    <w:p>
      <w:pPr>
        <w:spacing w:after="0" w:line="1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pioneer and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jc w:val="both"/>
        <w:ind w:left="460" w:hanging="223"/>
        <w:spacing w:after="0" w:line="255"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Detection and Response (VMDR), Threat Protection (TP), Continuous Monitoring (CM), Patch</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(PM), Multi-Vector Endpoint Detection and Response (EDR), Certificate Assessment (CRA), SaaS Detection and Response (SaaSDR), Secure Enterprise Mobility (SEM);</w:t>
      </w:r>
    </w:p>
    <w:p>
      <w:pPr>
        <w:spacing w:after="0" w:line="2" w:lineRule="exact"/>
        <w:rPr>
          <w:rFonts w:ascii="Arial" w:cs="Arial" w:eastAsia="Arial" w:hAnsi="Arial"/>
          <w:sz w:val="18"/>
          <w:szCs w:val="18"/>
          <w:i w:val="1"/>
          <w:iCs w:val="1"/>
          <w:color w:val="auto"/>
        </w:rPr>
      </w:pPr>
    </w:p>
    <w:p>
      <w:pPr>
        <w:ind w:left="460" w:right="80" w:hanging="223"/>
        <w:spacing w:after="0" w:line="250"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Questionnaire (SAQ), Out-of-Band Configuration Assessment (OCA);</w:t>
      </w: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 View (AI), Cybersecurity Asset Management (CSAM), Certificate Inventory (CRI); and</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For the nine months ended September 30, 2021 and 2020, approximately 61% and 64%,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March 2020, the World Health Organization declared the outbreak of COVID-19 as a pandemic. As a result of COVID-19, we have modified certain aspects of our business, including restricting employee travel, requiring employees to work from home, and canceling certain events and meetings, among other modifications.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While we have not incurred significant disruptions from the COVID-19 pandemic, we are unable to accurately predict the full impact that the pandemic will have due to numerous uncertainties, including the availability and acceptance of COVID-19 vaccines as well as the effectiveness of the vaccines to new variants of the disease, future actions that may be taken by governmental authorities and the impact of the pandemic on the businesses of our customers and partners. We will continue to evaluate the nature and extent of the impact to our business, financial position, results of operations and cash flows.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physical scanner appliances and computer hardware provided to certain customers as part of their subscriptions, expenses related to the use of third-party data centers, amortization of software and license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other income (expense), net consists primarily of interest and investment income from our short-term and long-term marketable securities and foreign exchange gains and losses, the majority of which result from fluctuations between the U.S. Dollar and the Euro, GBP and INR.</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were generally similar to the U.S. statutory tax rate.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income tax provision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effective tax rate differs from the U.S. statutory rate of 21% primarily due to non-deductible stock-based compensation expense, state taxes, U.S. federal income tax credits and foreign-derived intangible income deduction.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selected condensed consolidated statements of operations data for each of the periods presented as a percentage of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7"/>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2"/>
              </w:rPr>
              <w:t>September 30,</w:t>
            </w:r>
          </w:p>
        </w:tc>
      </w:tr>
      <w:tr>
        <w:trPr>
          <w:trHeight w:val="209"/>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Research and development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23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General and administrative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0"/>
        </w:trPr>
        <w:tc>
          <w:tcPr>
            <w:tcW w:w="23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ind w:left="500"/>
              <w:spacing w:after="0"/>
              <w:rPr>
                <w:sz w:val="20"/>
                <w:szCs w:val="20"/>
                <w:color w:val="auto"/>
              </w:rPr>
            </w:pPr>
            <w:r>
              <w:rPr>
                <w:rFonts w:ascii="Arial" w:cs="Arial" w:eastAsia="Arial" w:hAnsi="Arial"/>
                <w:sz w:val="18"/>
                <w:szCs w:val="18"/>
                <w:color w:val="auto"/>
                <w:w w:val="92"/>
              </w:rPr>
              <w:t>Total 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24%</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80" w:type="dxa"/>
            <w:vAlign w:val="bottom"/>
            <w:gridSpan w:val="11"/>
          </w:tcPr>
          <w:p>
            <w:pPr>
              <w:spacing w:after="0"/>
              <w:rPr>
                <w:sz w:val="20"/>
                <w:szCs w:val="20"/>
                <w:color w:val="auto"/>
              </w:rPr>
            </w:pPr>
            <w:r>
              <w:rPr>
                <w:rFonts w:ascii="Arial" w:cs="Arial" w:eastAsia="Arial" w:hAnsi="Arial"/>
                <w:sz w:val="18"/>
                <w:szCs w:val="18"/>
                <w:b w:val="1"/>
                <w:bCs w:val="1"/>
                <w:color w:val="auto"/>
                <w:w w:val="92"/>
              </w:rPr>
              <w:t>Comparison of Three and Nine Months Ended September 30, 2021 and 2020</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3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380" w:type="dxa"/>
            <w:vAlign w:val="bottom"/>
          </w:tcPr>
          <w:p>
            <w:pPr>
              <w:spacing w:after="0"/>
              <w:rPr>
                <w:sz w:val="24"/>
                <w:szCs w:val="24"/>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22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4"/>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w w:val="99"/>
              </w:rPr>
              <w:t>Change</w:t>
            </w:r>
          </w:p>
        </w:tc>
      </w:tr>
      <w:tr>
        <w:trPr>
          <w:trHeight w:val="209"/>
        </w:trPr>
        <w:tc>
          <w:tcPr>
            <w:tcW w:w="23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12"/>
          </w:tcPr>
          <w:p>
            <w:pPr>
              <w:ind w:left="580"/>
              <w:spacing w:after="0"/>
              <w:rPr>
                <w:sz w:val="20"/>
                <w:szCs w:val="20"/>
                <w:color w:val="auto"/>
              </w:rPr>
            </w:pPr>
            <w:r>
              <w:rPr>
                <w:rFonts w:ascii="Arial" w:cs="Arial" w:eastAsia="Arial" w:hAnsi="Arial"/>
                <w:sz w:val="18"/>
                <w:szCs w:val="18"/>
                <w:b w:val="1"/>
                <w:bCs w:val="1"/>
                <w:color w:val="auto"/>
                <w:w w:val="88"/>
              </w:rPr>
              <w:t>(in thousands, except percentages)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   104,934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93,069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12.7%  $</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301,392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268,162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33,230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Revenues increased by $11.9 million for the three months ended September 30, 2021 compared to the same period in 2020, due to an increase in subscriptions from new and existing customers. Of the total increase of $11.9 million, $4.5 million was from customers in the United States and the remaining $7.4 million was from customers in foreign countries.</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Revenues increased by $33.2 million for the nine months ended September 30, 2021 compared to the same period in 2020, due to an increase in subscriptions from new and existing customers. Of the total increase of $33.2 million, $13.6 million was from customers in the United States and the remaining $19.6 million was from customers in foreign countries.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Cost of Revenues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Cost of revenues increased by $1.9 million for the three months ended September 30, 2021 compared to the same period in 2020, due to an increase in personnel costs of $1.5 million driven by additional employees hired to support the growth of our business and an increase in data center and cloud costs of $0.4 million to meet growing demand.</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Cost of revenues increased by $7.7 million for the nine months ended September 30, 2021 compared to the same period in 2020, due to an increase in personnel costs of $4.7 million driven by additional employees hired to support the growth of our business, an increase in data center and cloud costs of $1.8 million to meet growing demand and an increase in depreciation and amortization expense of $1.3 million as more computer equipment was placed in service.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3500" w:type="dxa"/>
            <w:vAlign w:val="bottom"/>
            <w:gridSpan w:val="5"/>
          </w:tcPr>
          <w:p>
            <w:pPr>
              <w:ind w:left="260"/>
              <w:spacing w:after="0"/>
              <w:rPr>
                <w:sz w:val="20"/>
                <w:szCs w:val="20"/>
                <w:color w:val="auto"/>
              </w:rPr>
            </w:pPr>
            <w:r>
              <w:rPr>
                <w:rFonts w:ascii="Arial" w:cs="Arial" w:eastAsia="Arial" w:hAnsi="Arial"/>
                <w:sz w:val="18"/>
                <w:szCs w:val="18"/>
                <w:b w:val="1"/>
                <w:bCs w:val="1"/>
                <w:i w:val="1"/>
                <w:iCs w:val="1"/>
                <w:color w:val="auto"/>
                <w:w w:val="99"/>
              </w:rPr>
              <w:t>Research and Development Expenses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3,472</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58,890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Research and development expenses increased by $3.5 million for the three months ended September 30, 2021 compared to the same period in 2020, due to an increase in personnel costs of $2.6 million primarily driven by additional employees hired to support the growth of our business, an increase in professional services fees of $0.3 million, an increase in software costs of $0.2 million and an increase in data center and cloud costs of $0.2 million for our ongoing research and development efforts.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Research and development expenses increased by $5.0 million for the nine months ended September 30, 2021 compared to the same period in 2020, due to an increase in personnel costs of $3.2 million primarily driven by additional employees hired to support the growth of our business, an increase in software costs of $0.8 million, an increase in data center and cloud costs of $0.6 million for our ongoing research and development efforts and an increase in depreciation and amortization expense of $0.6 million as more computer equipment was placed in service.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increased by $2.5 million for the three months ended September 30, 2021 compared to the same period in 2020, primarily due to an increase in personnel costs of $1.2 million primarily driven by additional employees hired to support the growth of our business, an increase in travel and trade show related costs of $1.0 million associated with the easing of COVID-19 related travel restrictions and an increase in miscellaneous expense of $0.3 million.</w:t>
      </w:r>
    </w:p>
    <w:p>
      <w:pPr>
        <w:spacing w:after="0" w:line="18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Sales and marketing expenses increased by $4.3 million for the nine months ended September 30, 2021 compared to the same period in 2020, primarily due to an increase in personnel costs of $5.0 million driven by additional employees hired to support the growth of our business and an increase in recruiting costs of $0.4 million, partially offset by decreases in travel and trade show related costs of $1.5 million driven by the COVID-19 pandemic.</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0"/>
              </w:rPr>
              <w:t>Change</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2"/>
              </w:rPr>
              <w:t>(in</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thousands,</w:t>
            </w:r>
          </w:p>
        </w:tc>
        <w:tc>
          <w:tcPr>
            <w:tcW w:w="1620" w:type="dxa"/>
            <w:vAlign w:val="bottom"/>
            <w:gridSpan w:val="5"/>
          </w:tcPr>
          <w:p>
            <w:pPr>
              <w:jc w:val="right"/>
              <w:ind w:right="67"/>
              <w:spacing w:after="0"/>
              <w:rPr>
                <w:sz w:val="20"/>
                <w:szCs w:val="20"/>
                <w:color w:val="auto"/>
              </w:rPr>
            </w:pPr>
            <w:r>
              <w:rPr>
                <w:rFonts w:ascii="Arial" w:cs="Arial" w:eastAsia="Arial" w:hAnsi="Arial"/>
                <w:sz w:val="18"/>
                <w:szCs w:val="18"/>
                <w:b w:val="1"/>
                <w:bCs w:val="1"/>
                <w:color w:val="auto"/>
                <w:w w:val="83"/>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(1,650)</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29,892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General and administrative expenses decreased by $1.7 million for the three months ended September 30, 2021 compared to the same period in 2020, due to a decrease in personnel costs of $1.0 million primarily related to the stock-based compensation expense of our former chief executive officer and a decrease in legal fees of $1.0 million, partially offset by an increase in miscellaneous expense of $0.3 million.</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increased by $29.9 million for the nine months ended September 30, 2021 compared to the same period in 2020, due to an increase in stock-based compensation expense of $27.9 million primarily driven by accelerated vesting relating to the resignation of our former chief executive officer, an increase in personnel costs of $1.1 million driven by additional employees hired to support the growth of our business, an increase in legal fees of $0.4 million and an increase in miscellaneous expense of $0.4 million.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2"/>
              </w:rPr>
              <w:t>Total other income, net</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1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7"/>
              </w:rPr>
              <w:t>Change</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(in</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thousands,</w:t>
            </w:r>
          </w:p>
        </w:tc>
        <w:tc>
          <w:tcPr>
            <w:tcW w:w="1620" w:type="dxa"/>
            <w:vAlign w:val="bottom"/>
            <w:gridSpan w:val="5"/>
          </w:tcPr>
          <w:p>
            <w:pPr>
              <w:jc w:val="right"/>
              <w:ind w:right="67"/>
              <w:spacing w:after="0"/>
              <w:rPr>
                <w:sz w:val="20"/>
                <w:szCs w:val="20"/>
                <w:color w:val="auto"/>
              </w:rPr>
            </w:pPr>
            <w:r>
              <w:rPr>
                <w:rFonts w:ascii="Arial" w:cs="Arial" w:eastAsia="Arial" w:hAnsi="Arial"/>
                <w:sz w:val="18"/>
                <w:szCs w:val="18"/>
                <w:b w:val="1"/>
                <w:bCs w:val="1"/>
                <w:color w:val="auto"/>
                <w:w w:val="83"/>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8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(1,257)</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(94.4)%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Total other income, net decreased by $1.3 million and $3.6 million for the three and nine months ended September 30, 2021, respectively, compared to the same periods in 2020, due to a decrease in interest income driven by lower yield and an increase in foreign exchange loss.</w:t>
      </w:r>
    </w:p>
    <w:p>
      <w:pPr>
        <w:sectPr>
          <w:pgSz w:w="11900" w:h="16838" w:orient="portrait"/>
          <w:cols w:equalWidth="0" w:num="1">
            <w:col w:w="11240"/>
          </w:cols>
          <w:pgMar w:left="320" w:top="108"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w w:val="96"/>
              </w:rPr>
              <w:t>Income tax provision</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120" w:type="dxa"/>
            <w:vAlign w:val="bottom"/>
            <w:gridSpan w:val="3"/>
          </w:tcPr>
          <w:p>
            <w:pPr>
              <w:ind w:left="440"/>
              <w:spacing w:after="0"/>
              <w:rPr>
                <w:sz w:val="20"/>
                <w:szCs w:val="20"/>
                <w:color w:val="auto"/>
              </w:rPr>
            </w:pPr>
            <w:r>
              <w:rPr>
                <w:rFonts w:ascii="Arial" w:cs="Arial" w:eastAsia="Arial" w:hAnsi="Arial"/>
                <w:sz w:val="18"/>
                <w:szCs w:val="18"/>
                <w:b w:val="1"/>
                <w:bCs w:val="1"/>
                <w:color w:val="auto"/>
                <w:w w:val="99"/>
              </w:rPr>
              <w:t>Change</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71"/>
              </w:rPr>
              <w:t>(in</w:t>
            </w: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81"/>
              </w:rPr>
              <w:t>thousands,</w:t>
            </w:r>
          </w:p>
        </w:tc>
        <w:tc>
          <w:tcPr>
            <w:tcW w:w="16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83"/>
              </w:rPr>
              <w:t>except percentages)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Income tax provision decreased by $0.6 million for the three months ended September 30, 2021 compared to the same period in 2020, primarily due to the effects of a tax election to capitalize and amortize certain research and development expenses for U.S. income tax purposes.</w:t>
      </w:r>
    </w:p>
    <w:p>
      <w:pPr>
        <w:spacing w:after="0" w:line="14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Income tax provision increased by $1.4 million for the nine months ended September 30, 2021 compared to the same period in 2020, primarily due to a reduction in excess tax benefits from stock-based compensation offset by the effects of a tax election to capitalize and amortize certain research and development expenses for U.S. income tax purposes.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non-GAAP key metric set forth below to help us evaluate growth trends, establish budgets, measure the effectiveness of our sales and marketing efforts and assess operational efficiencies.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and (5) stock-based compensation</w:t>
      </w:r>
    </w:p>
    <w:p>
      <w:pPr>
        <w:spacing w:after="0" w:line="18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ind w:left="660" w:right="8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and nine months ended September 30, 2021 and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70"/>
              </w:rPr>
              <w:t>thousands)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27,769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22,743</w:t>
            </w: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49,139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67,756</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7,218</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6,738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21,796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19,331</w:t>
            </w:r>
          </w:p>
        </w:tc>
      </w:tr>
      <w:tr>
        <w:trPr>
          <w:trHeight w:val="216"/>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4,644</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4,282</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4,891</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10,554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9,189</w:t>
            </w:r>
          </w:p>
        </w:tc>
      </w:tr>
      <w:tr>
        <w:trPr>
          <w:trHeight w:val="216"/>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9,463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10,489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56,218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29,930</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Total other income,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(4,703)</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50,323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45,134</w:t>
            </w: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141,604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126,147</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187"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2021, our principal source of liquidity was cash, cash equivalents and marketable securities of $481.8 million, including $45.3 million of cash held outside of the United States. We do not anticipate that we will need funds generated from foreign operations to fund our domestic operations. However, if we repatriate these funds, we could be subject to foreign withholding taxes.</w:t>
      </w:r>
    </w:p>
    <w:p>
      <w:pPr>
        <w:spacing w:after="0" w:line="18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generated positive cash flows from operations for the nine months ended September 30, 2021 and 2020. We believe our existing cash, cash equivalents, short-term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 While the COVID-19 pandemic has not had a material adverse financial impact on our operations to date, the future impact of the pandemic cannot be predicted with certainty and may increase our costs of capital and otherwise adversely affect our business, result of operations, financial condition and liquidity.</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141,297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(51,480)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(84,349)</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71,608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September 30, 2021, cash provided by operating activities of $160.7 million primarily resulted from our net income of $49.1 million, as adjusted for non-cash items including stock-based compensation of $56.2 million, depreciation and amortization expense of $26.8 million, partially offset by deferred tax benefit of $16.0 million; and cash flows from working capital of $41.4 million mainly due to the continued growth in our billing and stronger cash collections.</w:t>
      </w:r>
    </w:p>
    <w:p>
      <w:pPr>
        <w:spacing w:after="0" w:line="18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the nine months ended September 30, 2020, cash provided by operating activities of $141.3 million primarily resulted from our net income of approximately $67.8 million, as adjusted for non-cash items including stock-based compensation of $29.9 million, depreciation and amortization expense of $24.0 million and cash flows from working capital of $14.0 million mainly due to the continued growth in our billing and stronger cash collections.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For the nine months ended September 30, 2021, cash provided by investing activities of $19.1 million was mainly attributable to $40.3 million of cash provided by sales and maturities of marketable securities, net of purchases, partially offset by $20.0 million of cash used for capital expenditures mainly related to computer equipment to support our growth and development and $1.1 million of cash paid to acquire the intangible assets of TotalCloud.</w:t>
      </w:r>
    </w:p>
    <w:p>
      <w:pPr>
        <w:spacing w:after="0" w:line="1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September 30, 2020, cash used in investing activities of $51.5 million was mainly attributable to $27.2 million of cash used for purchases of marketable securities, net of sales and maturities and $22.7 million of cash used for capital expenditures, including computer equipment to support our growth and development. Additionally, we paid $1.5 million in connection with our acquisition of the assets of Spell Security and as deferred consideration in connection with our acquisition of Adya.</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2021, cash used in financing activities of $108.3 million was mainly attributable to share repurchases of $94.9 million and the payment of withholding employee income taxes of $24.2 million related to the vesting of restricted stock units, which were partially offset by the proceeds received from the exercise of stock options of $11.0 million.</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2020, cash used in financing activities of $84.3 million was attributable to share repurchases of $91.9 million and the payment of withholding employee income taxes of $16.3 million related to the vesting of restricted stock units, which were partially offset by the proceeds received from the exercise of stock options of $24.0 million.</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 and Commitments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presented our contractual obligations in our Annual Report on Form 10-K for the fiscal year ended December 31, 2020. Our contractual obligations consist of operating leases, purchase commitments and other contractual obligations. There have been no material changes to these obligations outside the ordinary course of business during the nine months ended September 30, 2021 as compared to the contractual obligations disclosed in the “Management’s Discussion and Analysis of Financial Condition and Results of Operations” section of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such as entities often referred to as structured finance or special purpose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 to the unaudited condensed consolidated financial statements in Part I, Item 1 of this Quarterly Report on Form 10-Q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believe that of our significant accounting policies, which are described in Note 1 to the unaudited condensed consolidated financial statements in Part I, Item 1 of this Quarterly Report on Form 10-Q and the notes to our consolidated financial statements in our Annual Report on Form 10-K for the fiscal year ended December 31, 2020, the accounting policies related to revenue recognition, leases, derivative instruments, income taxes and stock-based compensation involve the greatest degree of judgment and complexity and have the greatest potential impact on our condensed consolidated financial statements. A critical accounting policy is one that is material to the presentation of our condensed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INR, Canadian Dollar and CHF, the currencies of countries where we currently have our most significant international operations. We enter into foreign currency forward contracts to reduce our exposure to foreign currency exchange rate fluctuations related to forecasted subscription revenue, operation expenses and foreign currency denominated assets or liabilities. As of September 30, 2021, we had designated cash flow hedge forward contracts with notional amounts of €25.6 million, £9.3 million and Rs.2,730.7 million and non-designated forward contracts with notional amounts of €21.9 million, £9.5 million, Rs.31.0 million and CHF2.0 million. With our hedging strategy applied, the effect of an immediate 10% adverse change in foreign exchange rates would not be material to our financial condition, operating results or cash flows.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had $481.8 million in cash, cash equivalents and short-term and long-term marketable securities as of September 30, 2021. Cash and cash equivalents include cash held in banks, highly liquid money market funds and commercial paper. Marketable securities consist of fixed-income U.S. Treasury and government agency securities, commercial paper corporate bonds, asset-backed securities and foreign government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September 30, 2021, a hypothetical 100 basis point increase in interest rate would result in a decrease in the fair value of our marketable securities by $2.5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our business. As of September 30, 2021,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w:t>
      </w:r>
    </w:p>
    <w:p>
      <w:pPr>
        <w:spacing w:after="0" w:line="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1A.</w:t>
      </w:r>
      <w:r>
        <w:rPr>
          <w:sz w:val="20"/>
          <w:szCs w:val="20"/>
          <w:color w:val="auto"/>
        </w:rPr>
        <w:tab/>
      </w: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continued spread of COVID-19, or any similar widespread infectious disease outbreak, could harm our business, financial condition and results of operations.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December 2019, an outbreak of COVID-19 originated in Wuhan, China and has since spread to countries around the world. On March 11, 2020, the World Health Organization characterized COVID-19 as a pandemic. The continued spread of COVID-19 and the resurgence of infection rates in certain regions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and disrupted the global supply chain. It is likely that the pandemic will cause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ultimate extent of the impact of COVID-19 on our business, financial position, results of operations and cash flows will depend on future developments, which are highly uncertain and cannot be predicted at this time, including but not limited to, the duration and geographic spread of the pandemic, its severity, the actions to contain the virus or treat its impact, future spikes of COVID-19 infections resulting in additional preventative measures to contain or mitigate the spread of the virus, the effectiveness, distribution and acceptance of COVID-19 vaccines, including the vaccines’ efficacy against emerging COVID-19 variants, and how quickly and to what extent normal economic and operating conditions can resume. These impacts, individually or in the aggregate, could have a material and adverse effect on our business, financial position, results of operations and cash flows. Such effect may be exacerbated in the event the pandemic and the measures taken in response to it persist for an extended period of time. Under any of these circumstances, the resumption of normal business operations may be delayed or hampered by lingering effects of COVID-19 on our operations, partners, and customers.</w:t>
      </w:r>
    </w:p>
    <w:p>
      <w:pPr>
        <w:sectPr>
          <w:pgSz w:w="11900" w:h="16838" w:orient="portrait"/>
          <w:cols w:equalWidth="0" w:num="1">
            <w:col w:w="11240"/>
          </w:cols>
          <w:pgMar w:left="320" w:top="125" w:right="339" w:bottom="1033"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33"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70"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timing and success of new product or service introductions by us or our competitors or any other changes in the competitive landscape of our</w:t>
      </w:r>
    </w:p>
    <w:p>
      <w:pPr>
        <w:spacing w:after="0" w:line="46"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industry, including consolidation among our competitors;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our ability to integrate any products or services that we may acquire in the future into our product suite or migrate existing customers of any</w:t>
      </w:r>
    </w:p>
    <w:p>
      <w:pPr>
        <w:spacing w:after="0" w:line="34"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companies that we may acquire in the future to our products and services;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 changes in tax rules, tax effects of infrequent or unusual transactions, and tax audit settlements;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income tax that we recognize resulting from stock-based compensation;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w:t>
      </w:r>
    </w:p>
    <w:p>
      <w:pPr>
        <w:spacing w:after="0" w:line="16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ectPr>
          <w:pgSz w:w="11900" w:h="16838" w:orient="portrait"/>
          <w:cols w:equalWidth="0" w:num="1">
            <w:col w:w="11240"/>
          </w:cols>
          <w:pgMar w:left="320" w:top="125" w:right="339" w:bottom="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IT, security and compliance solutions are delivered from seven data centers, and any disruption of service at these facilities would interrupt or delay our ability to deliver our solutions to our customers which could reduce our revenues and harm our operating results.</w:t>
      </w:r>
    </w:p>
    <w:p>
      <w:pPr>
        <w:spacing w:after="0" w:line="14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currently host substantially all of our solutions from third-party data centers located in the United States, Canada,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our data centers are not currently redundant and we may not be able to rapidly move our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compete with large and small public companies, such as Belden (Tripwire), Broadcom (Symantec Enterprise Security), CrowdStrike, F5 Networks, International Business Machines, Mandiant, McAfee, Micro Focus International, Palo Alto Networks, Rapid7, SentinelOne, Sumo Logic, Tenable Holdings and VMware, as well as privately held security providers including Barracuda Networks, BeyondTrust Software, Flexera, Forescout Technologies, Imperva, Tanium, Trustwave Holdings, Venafi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7"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success significantly depends upon establishing and maintaining relationships with a variety of channel partners and we anticipate that we will continue to depend on these partners in order to grow our business. For the nine months ended September 30, 2021, we derived approximately 41%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w:t>
      </w:r>
    </w:p>
    <w:p>
      <w:pPr>
        <w:sectPr>
          <w:pgSz w:w="11900" w:h="16838" w:orient="portrait"/>
          <w:cols w:equalWidth="0" w:num="1">
            <w:col w:w="11240"/>
          </w:cols>
          <w:pgMar w:left="320" w:top="125" w:right="339" w:bottom="0" w:gutter="0" w:footer="0" w:header="0"/>
        </w:sectPr>
      </w:pPr>
    </w:p>
    <w:bookmarkStart w:id="40" w:name="page41"/>
    <w:bookmarkEnd w:id="40"/>
    <w:p>
      <w:pPr>
        <w:spacing w:after="0" w:line="342" w:lineRule="auto"/>
        <w:rPr>
          <w:sz w:val="20"/>
          <w:szCs w:val="20"/>
          <w:color w:val="auto"/>
        </w:rPr>
      </w:pPr>
      <w:r>
        <w:rPr>
          <w:rFonts w:ascii="Arial" w:cs="Arial" w:eastAsia="Arial" w:hAnsi="Arial"/>
          <w:sz w:val="16"/>
          <w:szCs w:val="16"/>
          <w:color w:val="auto"/>
        </w:rPr>
        <w:t>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as of September 30, 2021, approximately 74% of our employees were located outside of the United States, with 65%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reporting currency is the U.S. dollar and we generate a majority of our revenues in U.S. dollars. However, for the nine months ended September 30, 2021, we incurred approximately 26% of our expenses in foreign currencies, primarily Euros, British Pounds, and Indian Rupee, principally with respect to salaries and related personnel expenses associated with our European and Indian operations. Additionally, for the nine months ended September 30, 2021, approximately 22%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9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significant growth over the last several years. From 2018 to 2020, our revenues grew from $278.9 million to $363.0 million, and our headcount increased from 869 employees at the beginning of 2018 to 1,759 employees as of September 30, 2021.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For example, our former chief executive officer resigned for health reasons in March 2021, and our current chief executive officer was appointed to the role in April 2021.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remain competitive, we have in the past and may in the future seek to acquire additional businesses, products, services or technologies. For example, we acquired 1Mobility on April 1, 2018, Layered Insight on October 16, 2018, Adya on January 10, 2019, certain intellectual property of Spell Security on July 24, 2020, and certain intellectual property of TotalCloud on August 19, 2021.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ectPr>
          <w:pgSz w:w="11900" w:h="16838" w:orient="portrait"/>
          <w:cols w:equalWidth="0" w:num="1">
            <w:col w:w="11240"/>
          </w:cols>
          <w:pgMar w:left="320" w:top="125" w:right="339"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Delays or interruptions in the manufacturing and delivery of our physical scanner appliances by our sole source manufacturer may harm our business.</w:t>
      </w:r>
    </w:p>
    <w:p>
      <w:pPr>
        <w:spacing w:after="0" w:line="2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Tax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7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Certain aspects of the CCPA and its interpretation remain uncertain and are likely to remain uncertain for an extended period. Additionally, a new privacy law, the California Privacy Rights Act (“CPRA”), was approved by voters in the November 3, 2020 election. The CPRA modifies the CCPA significantly, creating obligations relating to consumer data beginning on January 1, 2022, with implementing regulations expected on or before July 1, 2022, and enforcement beginning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9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make use of certain standard contractual clauses approved by the European Commission (the “SCCs”), with regard to certain transfers of personal data from the European Economic Area (“EEA”) to the U.S. Both the EU-U.S. Privacy Shield Framework and SCCs have been subject to legal challenge. We continue to analyze the July 2020 “Schrems II” decision by the Court of Justice of the European Union (“CJEU”) and its impact on our data transfer mechanisms as well as subsequent guidance from data privacy regulators and new SCCs published by the European Commission in June 2021,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ectPr>
          <w:pgSz w:w="11900" w:h="16838" w:orient="portrait"/>
          <w:cols w:equalWidth="0" w:num="1">
            <w:col w:w="11240"/>
          </w:cols>
          <w:pgMar w:left="320" w:top="125" w:right="339" w:bottom="412"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12"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adverse outcome of a dispute may require us to:</w:t>
      </w:r>
    </w:p>
    <w:p>
      <w:pPr>
        <w:spacing w:after="0" w:line="23" w:lineRule="exact"/>
        <w:rPr>
          <w:sz w:val="20"/>
          <w:szCs w:val="20"/>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$1.4 million and $0.1 million, respectively, as of December 31, 2020. Increases in our effective tax rate could harm our operating results.</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1"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20" w:lineRule="exact"/>
        <w:rPr>
          <w:rFonts w:ascii="Arial" w:cs="Arial" w:eastAsia="Arial" w:hAnsi="Arial"/>
          <w:sz w:val="17"/>
          <w:szCs w:val="17"/>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executive officers, directors and holders of 10% or more of our outstanding common stock may prevent new investors from influencing significant corporate decisions.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September 30, 2021, our executive officers, directors and holders of 10% or more of our outstanding common stock beneficially owned, in the aggregate, approximately 24.5%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2021, we had approximately 38.9 million shares of our common stock outstanding.</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as of September 30, 2021, there were approximately 0.7 million restricted stock units and options to purchase approximately 2.2 million shares of our common stock outstanding. If such options are exercised and restricted stock units are released, these additional shares will become available for sale. As of September 30, 2021, we had an aggregate of 8.4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be fully consummated or that it will enhance stockholder value, and any stock repurchases we make could affect the price of our common stock.</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February 2018, we announced a $100.0 million stock repurchase program. On each of October 30, 2018, October 30, 2019, May 7, 2020, February 10, 2021, we announced that our board of directors had authorized an increase of $100.0 million, and on November 3, 2021, we announced that our board of directors had authorized an increase of $200.0 million to the share repurchase program, resulting in an aggregate authorization of $700.0 million.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During the nine months ended September 30, 2021, we repurchased 0.9 million shares of our common stock for approximately $94.9 million. As of September 30, 2021, approximately $106.9 million remained available for share repurchases pursuant to our share repurchase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1" w:lineRule="exact"/>
        <w:rPr>
          <w:sz w:val="20"/>
          <w:szCs w:val="20"/>
          <w:color w:val="auto"/>
        </w:rPr>
      </w:pPr>
    </w:p>
    <w:p>
      <w:pPr>
        <w:jc w:val="both"/>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1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fair value measurement and leases.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2020,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pgSz w:w="11900" w:h="16838" w:orient="portrait"/>
          <w:cols w:equalWidth="0" w:num="1">
            <w:col w:w="11240"/>
          </w:cols>
          <w:pgMar w:left="320" w:top="125" w:right="339" w:bottom="62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28"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repurchases of common stock during the three months ended September 30,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Dollar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 of 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that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Average Price Paid</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Plan or Program</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 or</w:t>
            </w: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per Share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Program (2)</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2021</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105,000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127,805,879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August 1 - August 31, 2021</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101,400</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109.15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101,400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116,738,373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2021</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84,000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106,883,467</w:t>
            </w: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32"/>
        <w:spacing w:after="0" w:line="254" w:lineRule="auto"/>
        <w:tabs>
          <w:tab w:leader="none" w:pos="5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5, 2018, our board of directors authorized a $100.0 million two-year share repurchase program, which was announced on February 12, 2018. On each of October 30, 2018, October 30, 2019, May 7, 2020 and February 10, 2021, we announced that our board of directors had authorized an increase of $100.0 million, and on November 3, 2021, we announced that our board of directors had authorized an increase of $200.0 million to the share repurchase program, resulting in an aggregate authorization of $700.0 million to date.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pacing w:after="0" w:line="194" w:lineRule="exact"/>
        <w:rPr>
          <w:rFonts w:ascii="Arial" w:cs="Arial" w:eastAsia="Arial" w:hAnsi="Arial"/>
          <w:sz w:val="18"/>
          <w:szCs w:val="18"/>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reflect the $200 million increase to our share repurchase program announced on November 3,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20"/>
                <w:szCs w:val="20"/>
                <w:color w:val="auto"/>
              </w:rPr>
            </w:pPr>
          </w:p>
        </w:tc>
        <w:tc>
          <w:tcPr>
            <w:tcW w:w="10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Description</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Certification of Chief Executive Officer pursuant to Rule 13a-14(a) or Rule 15d-14(a) of the Securities Exchange Act of 1934, as</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adopted pursuant to Section 302 of The Sarbanes-Oxley Act of 2002.</w:t>
              </w:r>
            </w:hyperlink>
          </w:p>
        </w:tc>
        <w:tc>
          <w:tcPr>
            <w:tcW w:w="80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of Chief Financial Officer pursuant to Rule 13a-14(a) or Rule 15d-14(a) of the Securities Exchange Act of 1934, as</w:t>
              </w:r>
            </w:hyperlink>
          </w:p>
        </w:tc>
        <w:tc>
          <w:tcPr>
            <w:tcW w:w="840" w:type="dxa"/>
            <w:vAlign w:val="bottom"/>
            <w:gridSpan w:val="4"/>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adopted pursuant to Section 302 of The Sarbanes-Oxley Act of 2002.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Certification of Chief Executive Officer pursuant to Rule 13a-14(b) or Rule 15d-14(b) of the Securities Exchange Act of 1934 and</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18 U.S.C. Section 1350 as adopted pursuant to Section 906 of The Sarbanes-Oxley Act of 2002.</w:t>
              </w:r>
            </w:hyperlink>
          </w:p>
        </w:tc>
        <w:tc>
          <w:tcPr>
            <w:tcW w:w="2440" w:type="dxa"/>
            <w:vAlign w:val="bottom"/>
            <w:tcBorders>
              <w:top w:val="single" w:sz="8" w:color="0000EE"/>
            </w:tcBorders>
            <w:gridSpan w:val="4"/>
          </w:tcPr>
          <w:p>
            <w:pPr>
              <w:spacing w:after="0"/>
              <w:rPr>
                <w:sz w:val="17"/>
                <w:szCs w:val="17"/>
                <w:color w:val="auto"/>
              </w:rPr>
            </w:pPr>
          </w:p>
        </w:tc>
        <w:tc>
          <w:tcPr>
            <w:tcW w:w="720" w:type="dxa"/>
            <w:vAlign w:val="bottom"/>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Certification of Chief Financial Officer pursuant to Rule 13a-14(b) or Rule 15d-14(b) of the Securities Exchange Act of 1934 and</w:t>
              </w:r>
            </w:hyperlink>
          </w:p>
        </w:tc>
        <w:tc>
          <w:tcPr>
            <w:tcW w:w="76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18 U.S.C. Section 1350 as adopted pursuant to Section 906 of The Sarbanes-Oxley Act of 2002.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gridSpan w:val="2"/>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INS</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 are</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8"/>
          </w:tcPr>
          <w:p>
            <w:pPr>
              <w:ind w:left="320"/>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CAL</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DEF</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LAB</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PRE</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Cover Page Interactive Data File - formatted in Inline XBRL and included as Exhibit 101</w:t>
            </w:r>
          </w:p>
        </w:tc>
      </w:tr>
    </w:tbl>
    <w:p>
      <w:pPr>
        <w:spacing w:after="0" w:line="202" w:lineRule="exact"/>
        <w:rPr>
          <w:sz w:val="20"/>
          <w:szCs w:val="20"/>
          <w:color w:val="auto"/>
        </w:rPr>
      </w:pPr>
    </w:p>
    <w:p>
      <w:pPr>
        <w:jc w:val="both"/>
        <w:ind w:left="500" w:right="200"/>
        <w:spacing w:after="0" w:line="259" w:lineRule="auto"/>
        <w:rPr>
          <w:sz w:val="20"/>
          <w:szCs w:val="20"/>
          <w:color w:val="auto"/>
        </w:rPr>
      </w:pPr>
      <w:r>
        <w:rPr>
          <w:rFonts w:ascii="Arial" w:cs="Arial" w:eastAsia="Arial" w:hAnsi="Arial"/>
          <w:sz w:val="18"/>
          <w:szCs w:val="18"/>
          <w:color w:val="auto"/>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 City of Foster City, State of California on November 3, 2021.</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Joo Mi Kim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SAIKAT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jc w:val="right"/>
        <w:ind w:right="3060"/>
        <w:spacing w:after="0"/>
        <w:rPr>
          <w:sz w:val="20"/>
          <w:szCs w:val="20"/>
          <w:color w:val="auto"/>
        </w:rPr>
      </w:pPr>
      <w:r>
        <w:rPr>
          <w:rFonts w:ascii="Arial" w:cs="Arial" w:eastAsia="Arial" w:hAnsi="Arial"/>
          <w:sz w:val="18"/>
          <w:szCs w:val="18"/>
          <w:color w:val="auto"/>
        </w:rPr>
        <w:t>Name: Saikat Paul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Accounting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320" w:top="125" w:right="4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Sumedh Thakar, certify that:</w:t>
      </w:r>
    </w:p>
    <w:p>
      <w:pPr>
        <w:spacing w:after="0" w:line="22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3,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3,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Qualys, Inc. (the “Company”) on Form 10-Q for the quarter ended September 30, 2021, as filed with the Securities and Exchange Commission on the date hereof (the “Report”), I, Sumedh Thakar, President and Chief Executive Officer of the Company, certify, pursuant to 18 U.S.C. § 1350, as adopted pursuant to § 906 of the Sarbanes-Oxley Act of 2002, that, to the best of my knowledge:</w:t>
      </w:r>
    </w:p>
    <w:p>
      <w:pPr>
        <w:spacing w:after="0" w:line="143"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3,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2021,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61"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3,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2021-11-03T16:12:50Z</dcterms:created>
  <dcterms:modified xsi:type="dcterms:W3CDTF">2021-11-03T16:12:50Z</dcterms:modified>
</cp:coreProperties>
</file>