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UNITED STATES</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231F20"/>
        </w:rPr>
        <w:t>Washington, D.C. 20549</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FORM 10-Q</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61" w:lineRule="exact"/>
        <w:rPr>
          <w:sz w:val="24"/>
          <w:szCs w:val="24"/>
          <w:color w:val="auto"/>
        </w:rPr>
      </w:pPr>
    </w:p>
    <w:p>
      <w:pPr>
        <w:ind w:left="380" w:hanging="345"/>
        <w:spacing w:after="0"/>
        <w:tabs>
          <w:tab w:leader="none" w:pos="3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 the Quarterly Period Ended March 31, 2019</w:t>
      </w:r>
    </w:p>
    <w:p>
      <w:pPr>
        <w:spacing w:after="0" w:line="176" w:lineRule="exact"/>
        <w:rPr>
          <w:sz w:val="24"/>
          <w:szCs w:val="24"/>
          <w:color w:val="auto"/>
        </w:rPr>
      </w:pPr>
    </w:p>
    <w:p>
      <w:pPr>
        <w:ind w:left="540" w:hanging="505"/>
        <w:spacing w:after="0"/>
        <w:tabs>
          <w:tab w:leader="none" w:pos="5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340"/>
          </w:cols>
          <w:pgMar w:left="240" w:top="229" w:right="319" w:bottom="1440" w:gutter="0" w:footer="0" w:header="0"/>
        </w:sectPr>
      </w:pPr>
    </w:p>
    <w:p>
      <w:pPr>
        <w:spacing w:after="0" w:line="216"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560" w:space="440"/>
            <w:col w:w="4340"/>
          </w:cols>
          <w:pgMar w:left="240" w:top="229"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Commission file number 001-35662</w:t>
      </w:r>
    </w:p>
    <w:p>
      <w:pPr>
        <w:spacing w:after="0" w:line="11"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jc w:val="center"/>
        <w:ind w:right="-79"/>
        <w:spacing w:after="0"/>
        <w:rPr>
          <w:sz w:val="20"/>
          <w:szCs w:val="20"/>
          <w:color w:val="auto"/>
        </w:rPr>
      </w:pPr>
      <w:r>
        <w:rPr>
          <w:rFonts w:ascii="Arial" w:cs="Arial" w:eastAsia="Arial" w:hAnsi="Arial"/>
          <w:sz w:val="40"/>
          <w:szCs w:val="40"/>
          <w:b w:val="1"/>
          <w:bCs w:val="1"/>
          <w:color w:val="231F20"/>
        </w:rPr>
        <w:t>QUALYS, INC.</w:t>
      </w:r>
    </w:p>
    <w:p>
      <w:pPr>
        <w:jc w:val="center"/>
        <w:ind w:right="-79"/>
        <w:spacing w:after="0" w:line="213" w:lineRule="auto"/>
        <w:rPr>
          <w:sz w:val="20"/>
          <w:szCs w:val="20"/>
          <w:color w:val="auto"/>
        </w:rPr>
      </w:pPr>
      <w:r>
        <w:rPr>
          <w:rFonts w:ascii="Arial" w:cs="Arial" w:eastAsia="Arial" w:hAnsi="Arial"/>
          <w:sz w:val="14"/>
          <w:szCs w:val="14"/>
          <w:b w:val="1"/>
          <w:bCs w:val="1"/>
          <w:color w:val="231F20"/>
        </w:rPr>
        <w:t>(Exact name of registrant as specified in its charter)</w:t>
      </w: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340"/>
          </w:cols>
          <w:pgMar w:left="240" w:top="229" w:right="319" w:bottom="1440" w:gutter="0" w:footer="0" w:header="0"/>
          <w:type w:val="continuous"/>
        </w:sectPr>
      </w:pPr>
    </w:p>
    <w:p>
      <w:pPr>
        <w:spacing w:after="0" w:line="184" w:lineRule="exact"/>
        <w:rPr>
          <w:sz w:val="24"/>
          <w:szCs w:val="24"/>
          <w:color w:val="auto"/>
        </w:rPr>
      </w:pPr>
    </w:p>
    <w:p>
      <w:pPr>
        <w:ind w:left="214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77-0534145</w:t>
      </w:r>
    </w:p>
    <w:p>
      <w:pPr>
        <w:spacing w:after="0" w:line="109" w:lineRule="exact"/>
        <w:rPr>
          <w:sz w:val="24"/>
          <w:szCs w:val="24"/>
          <w:color w:val="auto"/>
        </w:rPr>
      </w:pPr>
    </w:p>
    <w:p>
      <w:pPr>
        <w:sectPr>
          <w:pgSz w:w="11900" w:h="16838" w:orient="portrait"/>
          <w:cols w:equalWidth="0" w:num="2">
            <w:col w:w="7860" w:space="720"/>
            <w:col w:w="2760"/>
          </w:cols>
          <w:pgMar w:left="240" w:top="229" w:right="319" w:bottom="1440" w:gutter="0" w:footer="0" w:header="0"/>
          <w:type w:val="continuous"/>
        </w:sectPr>
      </w:pPr>
    </w:p>
    <w:p>
      <w:pPr>
        <w:ind w:left="1480"/>
        <w:spacing w:after="0"/>
        <w:rPr>
          <w:sz w:val="20"/>
          <w:szCs w:val="20"/>
          <w:color w:val="auto"/>
        </w:rPr>
      </w:pPr>
      <w:r>
        <w:rPr>
          <w:rFonts w:ascii="Arial" w:cs="Arial" w:eastAsia="Arial" w:hAnsi="Arial"/>
          <w:sz w:val="14"/>
          <w:szCs w:val="14"/>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w:t>
      </w:r>
    </w:p>
    <w:p>
      <w:pPr>
        <w:spacing w:after="0" w:line="109" w:lineRule="exact"/>
        <w:rPr>
          <w:sz w:val="24"/>
          <w:szCs w:val="24"/>
          <w:color w:val="auto"/>
        </w:rPr>
      </w:pPr>
    </w:p>
    <w:p>
      <w:pPr>
        <w:sectPr>
          <w:pgSz w:w="11900" w:h="16838" w:orient="portrait"/>
          <w:cols w:equalWidth="0" w:num="2">
            <w:col w:w="7700" w:space="720"/>
            <w:col w:w="2920"/>
          </w:cols>
          <w:pgMar w:left="240" w:top="229" w:right="319" w:bottom="1440" w:gutter="0" w:footer="0" w:header="0"/>
          <w:type w:val="continuous"/>
        </w:sectPr>
      </w:pPr>
    </w:p>
    <w:p>
      <w:pPr>
        <w:ind w:left="144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Identification Number)</w:t>
      </w:r>
    </w:p>
    <w:p>
      <w:pPr>
        <w:spacing w:after="0" w:line="190" w:lineRule="exact"/>
        <w:rPr>
          <w:sz w:val="24"/>
          <w:szCs w:val="24"/>
          <w:color w:val="auto"/>
        </w:rPr>
      </w:pPr>
    </w:p>
    <w:p>
      <w:pPr>
        <w:sectPr>
          <w:pgSz w:w="11900" w:h="16838" w:orient="portrait"/>
          <w:cols w:equalWidth="0" w:num="2">
            <w:col w:w="7480" w:space="720"/>
            <w:col w:w="3140"/>
          </w:cols>
          <w:pgMar w:left="240" w:top="229" w:right="319" w:bottom="1440" w:gutter="0" w:footer="0" w:header="0"/>
          <w:type w:val="continuous"/>
        </w:sectPr>
      </w:pPr>
    </w:p>
    <w:p>
      <w:pPr>
        <w:jc w:val="center"/>
        <w:ind w:right="-99"/>
        <w:spacing w:after="0"/>
        <w:rPr>
          <w:sz w:val="20"/>
          <w:szCs w:val="20"/>
          <w:color w:val="auto"/>
        </w:rPr>
      </w:pPr>
      <w:r>
        <w:rPr>
          <w:rFonts w:ascii="Arial" w:cs="Arial" w:eastAsia="Arial" w:hAnsi="Arial"/>
          <w:sz w:val="14"/>
          <w:szCs w:val="14"/>
          <w:b w:val="1"/>
          <w:bCs w:val="1"/>
          <w:color w:val="auto"/>
        </w:rPr>
        <w:t>919 E. Hillsdale Boulevard, 4th Floor, Foster City, California 94404</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4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(650) 801-6100</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6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340"/>
          </w:cols>
          <w:pgMar w:left="240" w:top="229" w:right="319" w:bottom="1440" w:gutter="0" w:footer="0" w:header="0"/>
          <w:type w:val="continuous"/>
        </w:sectPr>
      </w:pPr>
    </w:p>
    <w:p>
      <w:pPr>
        <w:spacing w:after="0" w:line="203"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p>
      <w:pPr>
        <w:spacing w:after="0" w:line="42" w:lineRule="exact"/>
        <w:rPr>
          <w:sz w:val="24"/>
          <w:szCs w:val="24"/>
          <w:color w:val="auto"/>
        </w:rPr>
      </w:pPr>
    </w:p>
    <w:p>
      <w:pPr>
        <w:sectPr>
          <w:pgSz w:w="11900" w:h="16838" w:orient="portrait"/>
          <w:cols w:equalWidth="0" w:num="3">
            <w:col w:w="4480" w:space="720"/>
            <w:col w:w="2420" w:space="720"/>
            <w:col w:w="3000"/>
          </w:cols>
          <w:pgMar w:left="240" w:top="229" w:right="31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4"/>
          <w:szCs w:val="14"/>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QLYS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NASDAQ Stock Market</w:t>
      </w:r>
    </w:p>
    <w:p>
      <w:pPr>
        <w:spacing w:after="0" w:line="200" w:lineRule="exact"/>
        <w:rPr>
          <w:sz w:val="24"/>
          <w:szCs w:val="24"/>
          <w:color w:val="auto"/>
        </w:rPr>
      </w:pPr>
    </w:p>
    <w:p>
      <w:pPr>
        <w:sectPr>
          <w:pgSz w:w="11900" w:h="16838" w:orient="portrait"/>
          <w:cols w:equalWidth="0" w:num="3">
            <w:col w:w="4860" w:space="720"/>
            <w:col w:w="2480" w:space="720"/>
            <w:col w:w="2560"/>
          </w:cols>
          <w:pgMar w:left="240" w:top="229" w:right="319" w:bottom="1440" w:gutter="0" w:footer="0" w:header="0"/>
          <w:type w:val="continuous"/>
        </w:sectPr>
      </w:pPr>
    </w:p>
    <w:p>
      <w:pPr>
        <w:spacing w:after="0" w:line="267" w:lineRule="exact"/>
        <w:rPr>
          <w:sz w:val="24"/>
          <w:szCs w:val="24"/>
          <w:color w:val="auto"/>
        </w:r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6" w:lineRule="exact"/>
        <w:rPr>
          <w:sz w:val="24"/>
          <w:szCs w:val="24"/>
          <w:color w:val="auto"/>
        </w:rPr>
      </w:pPr>
    </w:p>
    <w:p>
      <w:pPr>
        <w:ind w:right="580"/>
        <w:spacing w:after="0" w:line="21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ind w:right="14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8" w:lineRule="exact"/>
        <w:rPr>
          <w:sz w:val="24"/>
          <w:szCs w:val="24"/>
          <w:color w:val="auto"/>
        </w:rPr>
      </w:pPr>
    </w:p>
    <w:tbl>
      <w:tblPr>
        <w:tblLayout w:type="fixed"/>
        <w:tblInd w:w="40" w:type="dxa"/>
        <w:tblCellMar>
          <w:top w:w="0" w:type="dxa"/>
          <w:left w:w="0" w:type="dxa"/>
          <w:bottom w:w="0" w:type="dxa"/>
          <w:right w:w="0" w:type="dxa"/>
        </w:tblCellMar>
      </w:tblPr>
      <w:tr>
        <w:trPr>
          <w:trHeight w:val="219"/>
        </w:trPr>
        <w:tc>
          <w:tcPr>
            <w:tcW w:w="3160" w:type="dxa"/>
            <w:vAlign w:val="bottom"/>
          </w:tcPr>
          <w:p>
            <w:pPr>
              <w:spacing w:after="0"/>
              <w:rPr>
                <w:sz w:val="20"/>
                <w:szCs w:val="20"/>
                <w:color w:val="auto"/>
              </w:rPr>
            </w:pPr>
            <w:r>
              <w:rPr>
                <w:rFonts w:ascii="Arial" w:cs="Arial" w:eastAsia="Arial" w:hAnsi="Arial"/>
                <w:sz w:val="16"/>
                <w:szCs w:val="16"/>
                <w:color w:val="231F20"/>
              </w:rPr>
              <w:t>Large accelerated filer</w:t>
            </w:r>
          </w:p>
        </w:tc>
        <w:tc>
          <w:tcPr>
            <w:tcW w:w="204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x</w:t>
            </w:r>
          </w:p>
        </w:tc>
        <w:tc>
          <w:tcPr>
            <w:tcW w:w="4040" w:type="dxa"/>
            <w:vAlign w:val="bottom"/>
          </w:tcPr>
          <w:p>
            <w:pPr>
              <w:ind w:left="380"/>
              <w:spacing w:after="0"/>
              <w:rPr>
                <w:sz w:val="20"/>
                <w:szCs w:val="20"/>
                <w:color w:val="auto"/>
              </w:rPr>
            </w:pPr>
            <w:r>
              <w:rPr>
                <w:rFonts w:ascii="Arial" w:cs="Arial" w:eastAsia="Arial" w:hAnsi="Arial"/>
                <w:sz w:val="16"/>
                <w:szCs w:val="16"/>
                <w:color w:val="231F20"/>
              </w:rPr>
              <w:t>Accelerated filer</w:t>
            </w:r>
          </w:p>
        </w:tc>
        <w:tc>
          <w:tcPr>
            <w:tcW w:w="1820" w:type="dxa"/>
            <w:vAlign w:val="bottom"/>
          </w:tcPr>
          <w:p>
            <w:pPr>
              <w:ind w:left="1740"/>
              <w:spacing w:after="0"/>
              <w:rPr>
                <w:sz w:val="20"/>
                <w:szCs w:val="20"/>
                <w:color w:val="auto"/>
              </w:rPr>
            </w:pPr>
            <w:r>
              <w:rPr>
                <w:rFonts w:ascii="Times New Roman" w:cs="Times New Roman" w:eastAsia="Times New Roman" w:hAnsi="Times New Roman"/>
                <w:sz w:val="16"/>
                <w:szCs w:val="16"/>
                <w:color w:val="auto"/>
                <w:w w:val="74"/>
              </w:rPr>
              <w:t>o</w:t>
            </w:r>
          </w:p>
        </w:tc>
      </w:tr>
      <w:tr>
        <w:trPr>
          <w:trHeight w:val="280"/>
        </w:trPr>
        <w:tc>
          <w:tcPr>
            <w:tcW w:w="3160" w:type="dxa"/>
            <w:vAlign w:val="bottom"/>
          </w:tcPr>
          <w:p>
            <w:pPr>
              <w:spacing w:after="0"/>
              <w:rPr>
                <w:sz w:val="20"/>
                <w:szCs w:val="20"/>
                <w:color w:val="auto"/>
              </w:rPr>
            </w:pPr>
            <w:r>
              <w:rPr>
                <w:rFonts w:ascii="Arial" w:cs="Arial" w:eastAsia="Arial" w:hAnsi="Arial"/>
                <w:sz w:val="16"/>
                <w:szCs w:val="16"/>
                <w:color w:val="auto"/>
              </w:rPr>
              <w:t>Non-accelerated filer</w:t>
            </w:r>
          </w:p>
        </w:tc>
        <w:tc>
          <w:tcPr>
            <w:tcW w:w="204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o</w:t>
            </w:r>
          </w:p>
        </w:tc>
        <w:tc>
          <w:tcPr>
            <w:tcW w:w="4040" w:type="dxa"/>
            <w:vAlign w:val="bottom"/>
          </w:tcPr>
          <w:p>
            <w:pPr>
              <w:ind w:left="380"/>
              <w:spacing w:after="0"/>
              <w:rPr>
                <w:sz w:val="20"/>
                <w:szCs w:val="20"/>
                <w:color w:val="auto"/>
              </w:rPr>
            </w:pPr>
            <w:r>
              <w:rPr>
                <w:rFonts w:ascii="Arial" w:cs="Arial" w:eastAsia="Arial" w:hAnsi="Arial"/>
                <w:sz w:val="16"/>
                <w:szCs w:val="16"/>
                <w:color w:val="auto"/>
              </w:rPr>
              <w:t>Smaller reporting company</w:t>
            </w:r>
          </w:p>
        </w:tc>
        <w:tc>
          <w:tcPr>
            <w:tcW w:w="1820" w:type="dxa"/>
            <w:vAlign w:val="bottom"/>
          </w:tcPr>
          <w:p>
            <w:pPr>
              <w:ind w:left="1740"/>
              <w:spacing w:after="0"/>
              <w:rPr>
                <w:sz w:val="20"/>
                <w:szCs w:val="20"/>
                <w:color w:val="auto"/>
              </w:rPr>
            </w:pPr>
            <w:r>
              <w:rPr>
                <w:rFonts w:ascii="Times New Roman" w:cs="Times New Roman" w:eastAsia="Times New Roman" w:hAnsi="Times New Roman"/>
                <w:sz w:val="16"/>
                <w:szCs w:val="16"/>
                <w:color w:val="auto"/>
                <w:w w:val="74"/>
              </w:rPr>
              <w:t>o</w:t>
            </w:r>
          </w:p>
        </w:tc>
      </w:tr>
      <w:tr>
        <w:trPr>
          <w:trHeight w:val="284"/>
        </w:trPr>
        <w:tc>
          <w:tcPr>
            <w:tcW w:w="3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40" w:type="dxa"/>
            <w:vAlign w:val="bottom"/>
          </w:tcPr>
          <w:p>
            <w:pPr>
              <w:ind w:left="380"/>
              <w:spacing w:after="0"/>
              <w:rPr>
                <w:sz w:val="20"/>
                <w:szCs w:val="20"/>
                <w:color w:val="auto"/>
              </w:rPr>
            </w:pPr>
            <w:r>
              <w:rPr>
                <w:rFonts w:ascii="Arial" w:cs="Arial" w:eastAsia="Arial" w:hAnsi="Arial"/>
                <w:sz w:val="16"/>
                <w:szCs w:val="16"/>
                <w:color w:val="auto"/>
              </w:rPr>
              <w:t>Emerging growth company</w:t>
            </w:r>
          </w:p>
        </w:tc>
        <w:tc>
          <w:tcPr>
            <w:tcW w:w="1820" w:type="dxa"/>
            <w:vAlign w:val="bottom"/>
          </w:tcPr>
          <w:p>
            <w:pPr>
              <w:ind w:left="1740"/>
              <w:spacing w:after="0"/>
              <w:rPr>
                <w:sz w:val="20"/>
                <w:szCs w:val="20"/>
                <w:color w:val="auto"/>
              </w:rPr>
            </w:pPr>
            <w:r>
              <w:rPr>
                <w:rFonts w:ascii="Times New Roman" w:cs="Times New Roman" w:eastAsia="Times New Roman" w:hAnsi="Times New Roman"/>
                <w:sz w:val="16"/>
                <w:szCs w:val="16"/>
                <w:color w:val="auto"/>
                <w:w w:val="74"/>
              </w:rPr>
              <w:t>o</w:t>
            </w:r>
          </w:p>
        </w:tc>
      </w:tr>
    </w:tbl>
    <w:p>
      <w:pPr>
        <w:spacing w:after="0" w:line="42" w:lineRule="exact"/>
        <w:rPr>
          <w:sz w:val="24"/>
          <w:szCs w:val="24"/>
          <w:color w:val="auto"/>
        </w:rPr>
      </w:pPr>
    </w:p>
    <w:p>
      <w:pPr>
        <w:ind w:left="40" w:right="740"/>
        <w:spacing w:after="0" w:line="290"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6"/>
          <w:szCs w:val="16"/>
          <w:color w:val="auto"/>
        </w:rPr>
        <w:t>o</w:t>
      </w:r>
    </w:p>
    <w:p>
      <w:pPr>
        <w:sectPr>
          <w:pgSz w:w="11900" w:h="16838" w:orient="portrait"/>
          <w:cols w:equalWidth="0" w:num="1">
            <w:col w:w="11340"/>
          </w:cols>
          <w:pgMar w:left="240" w:top="229"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right="919"/>
        <w:spacing w:after="0" w:line="30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The number of shares of the Registrant's common stock outstanding as of April 30, 2019 was 39,158,096.</w:t>
      </w:r>
    </w:p>
    <w:p>
      <w:pPr>
        <w:sectPr>
          <w:pgSz w:w="11900" w:h="16838" w:orient="portrait"/>
          <w:cols w:equalWidth="0" w:num="1">
            <w:col w:w="10219"/>
          </w:cols>
          <w:pgMar w:left="240" w:top="121" w:right="1440"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Qualys, Inc.</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TABLE OF CONTENTS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gridSpan w:val="3"/>
          </w:tcPr>
          <w:p>
            <w:pPr>
              <w:spacing w:after="0"/>
              <w:rPr>
                <w:sz w:val="20"/>
                <w:szCs w:val="20"/>
                <w:color w:val="auto"/>
              </w:rPr>
            </w:pPr>
            <w:r>
              <w:rPr>
                <w:rFonts w:ascii="Arial" w:cs="Arial" w:eastAsia="Arial" w:hAnsi="Arial"/>
                <w:sz w:val="16"/>
                <w:szCs w:val="16"/>
                <w:color w:val="auto"/>
                <w:w w:val="96"/>
              </w:rPr>
              <w:t>Page</w:t>
            </w:r>
          </w:p>
        </w:tc>
      </w:tr>
      <w:tr>
        <w:trPr>
          <w:trHeight w:val="251"/>
        </w:trPr>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900" w:type="dxa"/>
            <w:vAlign w:val="bottom"/>
            <w:gridSpan w:val="10"/>
          </w:tcPr>
          <w:p>
            <w:pPr>
              <w:ind w:left="360"/>
              <w:spacing w:after="0"/>
              <w:rPr>
                <w:sz w:val="20"/>
                <w:szCs w:val="20"/>
                <w:color w:val="auto"/>
              </w:rPr>
            </w:pPr>
            <w:r>
              <w:rPr>
                <w:rFonts w:ascii="Arial" w:cs="Arial" w:eastAsia="Arial" w:hAnsi="Arial"/>
                <w:sz w:val="16"/>
                <w:szCs w:val="16"/>
                <w:b w:val="1"/>
                <w:bCs w:val="1"/>
                <w:color w:val="auto"/>
              </w:rPr>
              <w:t>PART I – FINANCIAL INFORMATION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24"/>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9800" w:type="dxa"/>
            <w:vAlign w:val="bottom"/>
            <w:gridSpan w:val="20"/>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Financial Statements</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20"/>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 xml:space="preserve">Condensed Consolidated Balance Sheets as of </w:t>
              </w:r>
            </w:hyperlink>
            <w:r>
              <w:rPr>
                <w:rFonts w:ascii="Arial" w:cs="Arial" w:eastAsia="Arial" w:hAnsi="Arial"/>
                <w:sz w:val="16"/>
                <w:szCs w:val="16"/>
                <w:color w:val="0000FF"/>
              </w:rPr>
              <w:t>March</w:t>
            </w:r>
            <w:r>
              <w:rPr>
                <w:rFonts w:ascii="Arial" w:cs="Arial" w:eastAsia="Arial" w:hAnsi="Arial"/>
                <w:sz w:val="16"/>
                <w:szCs w:val="16"/>
                <w:color w:val="0000EE"/>
              </w:rPr>
              <w:t xml:space="preserve"> </w:t>
            </w:r>
            <w:r>
              <w:rPr>
                <w:rFonts w:ascii="Arial" w:cs="Arial" w:eastAsia="Arial" w:hAnsi="Arial"/>
                <w:sz w:val="16"/>
                <w:szCs w:val="16"/>
                <w:color w:val="0000FF"/>
              </w:rPr>
              <w:t>31, 2019 and December 31, 2018</w:t>
            </w:r>
          </w:p>
        </w:tc>
        <w:tc>
          <w:tcPr>
            <w:tcW w:w="80" w:type="dxa"/>
            <w:vAlign w:val="bottom"/>
          </w:tcPr>
          <w:p>
            <w:pPr>
              <w:spacing w:after="0"/>
              <w:rPr>
                <w:rFonts w:ascii="Arial" w:cs="Arial" w:eastAsia="Arial" w:hAnsi="Arial"/>
                <w:sz w:val="15"/>
                <w:szCs w:val="15"/>
                <w:color w:val="0000EE"/>
                <w:w w:val="71"/>
              </w:rPr>
            </w:pPr>
            <w:hyperlink w:anchor="page4">
              <w:r>
                <w:rPr>
                  <w:rFonts w:ascii="Arial" w:cs="Arial" w:eastAsia="Arial" w:hAnsi="Arial"/>
                  <w:sz w:val="15"/>
                  <w:szCs w:val="15"/>
                  <w:color w:val="0000EE"/>
                  <w:w w:val="71"/>
                </w:rPr>
                <w:t>4</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20"/>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 xml:space="preserve">Condensed Consolidated Statements of Operations for the </w:t>
              </w:r>
            </w:hyperlink>
            <w:r>
              <w:rPr>
                <w:rFonts w:ascii="Arial" w:cs="Arial" w:eastAsia="Arial" w:hAnsi="Arial"/>
                <w:sz w:val="16"/>
                <w:szCs w:val="16"/>
                <w:color w:val="0000FF"/>
              </w:rPr>
              <w:t>three</w:t>
            </w:r>
            <w:r>
              <w:rPr>
                <w:rFonts w:ascii="Arial" w:cs="Arial" w:eastAsia="Arial" w:hAnsi="Arial"/>
                <w:sz w:val="16"/>
                <w:szCs w:val="16"/>
                <w:color w:val="0000EE"/>
              </w:rPr>
              <w:t xml:space="preserve"> </w:t>
            </w:r>
            <w:r>
              <w:rPr>
                <w:rFonts w:ascii="Arial" w:cs="Arial" w:eastAsia="Arial" w:hAnsi="Arial"/>
                <w:sz w:val="16"/>
                <w:szCs w:val="16"/>
                <w:color w:val="0000FF"/>
              </w:rPr>
              <w:t>months ended March 31, 2019 and 2018</w:t>
            </w:r>
          </w:p>
        </w:tc>
        <w:tc>
          <w:tcPr>
            <w:tcW w:w="80" w:type="dxa"/>
            <w:vAlign w:val="bottom"/>
          </w:tcPr>
          <w:p>
            <w:pPr>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5</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20"/>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 xml:space="preserve">Condensed Consolidated Statements of </w:t>
              </w:r>
            </w:hyperlink>
            <w:r>
              <w:rPr>
                <w:rFonts w:ascii="Arial" w:cs="Arial" w:eastAsia="Arial" w:hAnsi="Arial"/>
                <w:sz w:val="16"/>
                <w:szCs w:val="16"/>
                <w:color w:val="0000FF"/>
              </w:rPr>
              <w:t>Comprehensive</w:t>
            </w:r>
            <w:r>
              <w:rPr>
                <w:rFonts w:ascii="Arial" w:cs="Arial" w:eastAsia="Arial" w:hAnsi="Arial"/>
                <w:sz w:val="16"/>
                <w:szCs w:val="16"/>
                <w:color w:val="0000EE"/>
              </w:rPr>
              <w:t xml:space="preserve"> </w:t>
            </w:r>
            <w:r>
              <w:rPr>
                <w:rFonts w:ascii="Arial" w:cs="Arial" w:eastAsia="Arial" w:hAnsi="Arial"/>
                <w:sz w:val="16"/>
                <w:szCs w:val="16"/>
                <w:color w:val="0000FF"/>
              </w:rPr>
              <w:t>Income for the three months ended March 31, 2019 and 2018</w:t>
            </w:r>
          </w:p>
        </w:tc>
        <w:tc>
          <w:tcPr>
            <w:tcW w:w="80" w:type="dxa"/>
            <w:vAlign w:val="bottom"/>
          </w:tcPr>
          <w:p>
            <w:pPr>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6</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20"/>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 xml:space="preserve">Condensed Consolidated Statements of Cash Flows for the </w:t>
              </w:r>
            </w:hyperlink>
            <w:r>
              <w:rPr>
                <w:rFonts w:ascii="Arial" w:cs="Arial" w:eastAsia="Arial" w:hAnsi="Arial"/>
                <w:sz w:val="16"/>
                <w:szCs w:val="16"/>
                <w:color w:val="0000FF"/>
              </w:rPr>
              <w:t>three</w:t>
            </w:r>
            <w:r>
              <w:rPr>
                <w:rFonts w:ascii="Arial" w:cs="Arial" w:eastAsia="Arial" w:hAnsi="Arial"/>
                <w:sz w:val="16"/>
                <w:szCs w:val="16"/>
                <w:color w:val="0000EE"/>
              </w:rPr>
              <w:t xml:space="preserve"> </w:t>
            </w:r>
            <w:r>
              <w:rPr>
                <w:rFonts w:ascii="Arial" w:cs="Arial" w:eastAsia="Arial" w:hAnsi="Arial"/>
                <w:sz w:val="16"/>
                <w:szCs w:val="16"/>
                <w:color w:val="0000FF"/>
              </w:rPr>
              <w:t>months ended March 31, 2019 and 2018</w:t>
            </w:r>
          </w:p>
        </w:tc>
        <w:tc>
          <w:tcPr>
            <w:tcW w:w="80" w:type="dxa"/>
            <w:vAlign w:val="bottom"/>
          </w:tcPr>
          <w:p>
            <w:pPr>
              <w:spacing w:after="0"/>
              <w:rPr>
                <w:rFonts w:ascii="Arial" w:cs="Arial" w:eastAsia="Arial" w:hAnsi="Arial"/>
                <w:sz w:val="15"/>
                <w:szCs w:val="15"/>
                <w:color w:val="0000EE"/>
                <w:w w:val="71"/>
              </w:rPr>
            </w:pPr>
            <w:hyperlink w:anchor="page7">
              <w:r>
                <w:rPr>
                  <w:rFonts w:ascii="Arial" w:cs="Arial" w:eastAsia="Arial" w:hAnsi="Arial"/>
                  <w:sz w:val="15"/>
                  <w:szCs w:val="15"/>
                  <w:color w:val="0000EE"/>
                  <w:w w:val="71"/>
                </w:rPr>
                <w:t>7</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724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rPr>
              <w:t>Condensed Consolidated Statements of Equity for the three months ended March 31, 2019 and 2018</w:t>
            </w:r>
          </w:p>
        </w:tc>
        <w:tc>
          <w:tcPr>
            <w:tcW w:w="256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20"/>
          </w:tcPr>
          <w:p>
            <w:pPr>
              <w:spacing w:after="0"/>
              <w:rPr>
                <w:rFonts w:ascii="Arial" w:cs="Arial" w:eastAsia="Arial" w:hAnsi="Arial"/>
                <w:sz w:val="16"/>
                <w:szCs w:val="16"/>
                <w:color w:val="0000FF"/>
              </w:rPr>
            </w:pPr>
            <w:hyperlink w:anchor="page9">
              <w:r>
                <w:rPr>
                  <w:rFonts w:ascii="Arial" w:cs="Arial" w:eastAsia="Arial" w:hAnsi="Arial"/>
                  <w:sz w:val="16"/>
                  <w:szCs w:val="16"/>
                  <w:color w:val="0000FF"/>
                </w:rPr>
                <w:t>Notes to Condensed Consolidated Financial Statements</w:t>
              </w:r>
            </w:hyperlink>
          </w:p>
        </w:tc>
        <w:tc>
          <w:tcPr>
            <w:tcW w:w="80" w:type="dxa"/>
            <w:vAlign w:val="bottom"/>
          </w:tcPr>
          <w:p>
            <w:pPr>
              <w:spacing w:after="0"/>
              <w:rPr>
                <w:rFonts w:ascii="Arial" w:cs="Arial" w:eastAsia="Arial" w:hAnsi="Arial"/>
                <w:sz w:val="15"/>
                <w:szCs w:val="15"/>
                <w:color w:val="0000FF"/>
                <w:w w:val="71"/>
              </w:rPr>
            </w:pPr>
            <w:hyperlink w:anchor="page9">
              <w:r>
                <w:rPr>
                  <w:rFonts w:ascii="Arial" w:cs="Arial" w:eastAsia="Arial" w:hAnsi="Arial"/>
                  <w:sz w:val="15"/>
                  <w:szCs w:val="15"/>
                  <w:color w:val="0000FF"/>
                  <w:w w:val="71"/>
                </w:rPr>
                <w:t>9</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20"/>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Management’s Discussion and Analysis of Financial Condition and Results of Operations</w:t>
              </w:r>
            </w:hyperlink>
          </w:p>
        </w:tc>
        <w:tc>
          <w:tcPr>
            <w:tcW w:w="380" w:type="dxa"/>
            <w:vAlign w:val="bottom"/>
            <w:gridSpan w:val="3"/>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30</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360" w:type="dxa"/>
            <w:vAlign w:val="bottom"/>
            <w:tcBorders>
              <w:top w:val="single" w:sz="8" w:color="0000EE"/>
              <w:bottom w:val="single" w:sz="8" w:color="0000FF"/>
            </w:tcBorders>
            <w:gridSpan w:val="13"/>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Quantitative and Qualitative Disclosures About Market Risk</w:t>
              </w:r>
            </w:hyperlink>
          </w:p>
        </w:tc>
        <w:tc>
          <w:tcPr>
            <w:tcW w:w="2000" w:type="dxa"/>
            <w:vAlign w:val="bottom"/>
            <w:tcBorders>
              <w:top w:val="single" w:sz="8" w:color="0000EE"/>
            </w:tcBorders>
            <w:gridSpan w:val="2"/>
          </w:tcPr>
          <w:p>
            <w:pPr>
              <w:spacing w:after="0"/>
              <w:rPr>
                <w:sz w:val="19"/>
                <w:szCs w:val="19"/>
                <w:color w:val="auto"/>
              </w:rPr>
            </w:pPr>
          </w:p>
        </w:tc>
        <w:tc>
          <w:tcPr>
            <w:tcW w:w="3440" w:type="dxa"/>
            <w:vAlign w:val="bottom"/>
            <w:gridSpan w:val="5"/>
          </w:tcPr>
          <w:p>
            <w:pPr>
              <w:spacing w:after="0"/>
              <w:rPr>
                <w:sz w:val="19"/>
                <w:szCs w:val="19"/>
                <w:color w:val="auto"/>
              </w:rPr>
            </w:pPr>
          </w:p>
        </w:tc>
        <w:tc>
          <w:tcPr>
            <w:tcW w:w="180" w:type="dxa"/>
            <w:vAlign w:val="bottom"/>
            <w:tcBorders>
              <w:top w:val="single" w:sz="8" w:color="0000EE"/>
              <w:bottom w:val="single" w:sz="8" w:color="0000FF"/>
            </w:tcBorders>
            <w:gridSpan w:val="2"/>
          </w:tcPr>
          <w:p>
            <w:pPr>
              <w:spacing w:after="0"/>
              <w:rPr>
                <w:rFonts w:ascii="Arial" w:cs="Arial" w:eastAsia="Arial" w:hAnsi="Arial"/>
                <w:sz w:val="16"/>
                <w:szCs w:val="16"/>
                <w:color w:val="0000FF"/>
                <w:w w:val="89"/>
              </w:rPr>
            </w:pPr>
            <w:hyperlink w:anchor="page44">
              <w:r>
                <w:rPr>
                  <w:rFonts w:ascii="Arial" w:cs="Arial" w:eastAsia="Arial" w:hAnsi="Arial"/>
                  <w:sz w:val="16"/>
                  <w:szCs w:val="16"/>
                  <w:color w:val="0000FF"/>
                  <w:w w:val="89"/>
                </w:rPr>
                <w:t>44</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9800" w:type="dxa"/>
            <w:vAlign w:val="bottom"/>
            <w:gridSpan w:val="20"/>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Controls and Procedures</w:t>
              </w:r>
            </w:hyperlink>
          </w:p>
        </w:tc>
        <w:tc>
          <w:tcPr>
            <w:tcW w:w="380" w:type="dxa"/>
            <w:vAlign w:val="bottom"/>
            <w:gridSpan w:val="3"/>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r>
      <w:tr>
        <w:trPr>
          <w:trHeight w:val="270"/>
        </w:trPr>
        <w:tc>
          <w:tcPr>
            <w:tcW w:w="1040" w:type="dxa"/>
            <w:vAlign w:val="bottom"/>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360" w:type="dxa"/>
            <w:vAlign w:val="bottom"/>
            <w:gridSpan w:val="9"/>
          </w:tcPr>
          <w:p>
            <w:pPr>
              <w:ind w:left="40"/>
              <w:spacing w:after="0"/>
              <w:rPr>
                <w:sz w:val="20"/>
                <w:szCs w:val="20"/>
                <w:color w:val="auto"/>
              </w:rPr>
            </w:pPr>
            <w:r>
              <w:rPr>
                <w:rFonts w:ascii="Arial" w:cs="Arial" w:eastAsia="Arial" w:hAnsi="Arial"/>
                <w:sz w:val="16"/>
                <w:szCs w:val="16"/>
                <w:b w:val="1"/>
                <w:bCs w:val="1"/>
                <w:color w:val="auto"/>
              </w:rPr>
              <w:t>PART II – OTHER INFORMATION</w:t>
            </w: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Pr>
          <w:p>
            <w:pPr>
              <w:spacing w:after="0"/>
              <w:rPr>
                <w:sz w:val="23"/>
                <w:szCs w:val="23"/>
                <w:color w:val="auto"/>
              </w:rPr>
            </w:pPr>
          </w:p>
        </w:tc>
      </w:tr>
      <w:tr>
        <w:trPr>
          <w:trHeight w:val="197"/>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46">
              <w:r>
                <w:rPr>
                  <w:rFonts w:ascii="Arial" w:cs="Arial" w:eastAsia="Arial" w:hAnsi="Arial"/>
                  <w:sz w:val="16"/>
                  <w:szCs w:val="16"/>
                  <w:color w:val="0000FF"/>
                  <w:w w:val="99"/>
                </w:rPr>
                <w:t>Legal Proceedings</w:t>
              </w:r>
            </w:hyperlink>
          </w:p>
        </w:tc>
        <w:tc>
          <w:tcPr>
            <w:tcW w:w="8460" w:type="dxa"/>
            <w:vAlign w:val="bottom"/>
            <w:gridSpan w:val="15"/>
          </w:tcPr>
          <w:p>
            <w:pPr>
              <w:spacing w:after="0"/>
              <w:rPr>
                <w:sz w:val="17"/>
                <w:szCs w:val="17"/>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46">
              <w:r>
                <w:rPr>
                  <w:rFonts w:ascii="Arial" w:cs="Arial" w:eastAsia="Arial" w:hAnsi="Arial"/>
                  <w:sz w:val="16"/>
                  <w:szCs w:val="16"/>
                  <w:color w:val="0000FF"/>
                  <w:w w:val="89"/>
                </w:rPr>
                <w:t>46</w:t>
              </w:r>
            </w:hyperlink>
          </w:p>
        </w:tc>
        <w:tc>
          <w:tcPr>
            <w:tcW w:w="200" w:type="dxa"/>
            <w:vAlign w:val="bottom"/>
          </w:tcPr>
          <w:p>
            <w:pPr>
              <w:spacing w:after="0"/>
              <w:rPr>
                <w:sz w:val="17"/>
                <w:szCs w:val="17"/>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3"/>
          </w:tcPr>
          <w:p>
            <w:pPr>
              <w:spacing w:after="0"/>
              <w:rPr>
                <w:rFonts w:ascii="Arial" w:cs="Arial" w:eastAsia="Arial" w:hAnsi="Arial"/>
                <w:sz w:val="16"/>
                <w:szCs w:val="16"/>
                <w:color w:val="0000FF"/>
                <w:w w:val="98"/>
              </w:rPr>
            </w:pPr>
            <w:hyperlink w:anchor="page46">
              <w:r>
                <w:rPr>
                  <w:rFonts w:ascii="Arial" w:cs="Arial" w:eastAsia="Arial" w:hAnsi="Arial"/>
                  <w:sz w:val="16"/>
                  <w:szCs w:val="16"/>
                  <w:color w:val="0000FF"/>
                  <w:w w:val="98"/>
                </w:rPr>
                <w:t>Risk Factors</w:t>
              </w:r>
            </w:hyperlink>
          </w:p>
        </w:tc>
        <w:tc>
          <w:tcPr>
            <w:tcW w:w="8900" w:type="dxa"/>
            <w:vAlign w:val="bottom"/>
            <w:gridSpan w:val="17"/>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46">
              <w:r>
                <w:rPr>
                  <w:rFonts w:ascii="Arial" w:cs="Arial" w:eastAsia="Arial" w:hAnsi="Arial"/>
                  <w:sz w:val="16"/>
                  <w:szCs w:val="16"/>
                  <w:color w:val="0000FF"/>
                  <w:w w:val="89"/>
                </w:rPr>
                <w:t>46</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20"/>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Unregistered Sales of Equity Securities and Use of Proceeds</w:t>
              </w:r>
            </w:hyperlink>
          </w:p>
        </w:tc>
        <w:tc>
          <w:tcPr>
            <w:tcW w:w="380" w:type="dxa"/>
            <w:vAlign w:val="bottom"/>
            <w:gridSpan w:val="3"/>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69</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360" w:type="dxa"/>
            <w:vAlign w:val="bottom"/>
            <w:tcBorders>
              <w:top w:val="single" w:sz="8" w:color="0000FF"/>
            </w:tcBorders>
            <w:gridSpan w:val="13"/>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Defaults upon Senior Securities</w:t>
              </w:r>
            </w:hyperlink>
          </w:p>
        </w:tc>
        <w:tc>
          <w:tcPr>
            <w:tcW w:w="5440" w:type="dxa"/>
            <w:vAlign w:val="bottom"/>
            <w:gridSpan w:val="7"/>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69">
              <w:r>
                <w:rPr>
                  <w:rFonts w:ascii="Arial" w:cs="Arial" w:eastAsia="Arial" w:hAnsi="Arial"/>
                  <w:sz w:val="16"/>
                  <w:szCs w:val="16"/>
                  <w:color w:val="0000FF"/>
                  <w:w w:val="89"/>
                </w:rPr>
                <w:t>69</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1740" w:type="dxa"/>
            <w:vAlign w:val="bottom"/>
            <w:tcBorders>
              <w:top w:val="single" w:sz="8" w:color="0000FF"/>
              <w:bottom w:val="single" w:sz="8" w:color="0000FF"/>
            </w:tcBorders>
            <w:gridSpan w:val="7"/>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Mine Safety Disclosures</w:t>
              </w:r>
            </w:hyperlink>
          </w:p>
        </w:tc>
        <w:tc>
          <w:tcPr>
            <w:tcW w:w="520" w:type="dxa"/>
            <w:vAlign w:val="bottom"/>
            <w:tcBorders>
              <w:top w:val="single" w:sz="8" w:color="0000FF"/>
            </w:tcBorders>
            <w:gridSpan w:val="2"/>
          </w:tcPr>
          <w:p>
            <w:pPr>
              <w:spacing w:after="0"/>
              <w:rPr>
                <w:sz w:val="19"/>
                <w:szCs w:val="19"/>
                <w:color w:val="auto"/>
              </w:rPr>
            </w:pPr>
          </w:p>
        </w:tc>
        <w:tc>
          <w:tcPr>
            <w:tcW w:w="7540" w:type="dxa"/>
            <w:vAlign w:val="bottom"/>
            <w:gridSpan w:val="11"/>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69">
              <w:r>
                <w:rPr>
                  <w:rFonts w:ascii="Arial" w:cs="Arial" w:eastAsia="Arial" w:hAnsi="Arial"/>
                  <w:sz w:val="16"/>
                  <w:szCs w:val="16"/>
                  <w:color w:val="0000FF"/>
                  <w:w w:val="89"/>
                </w:rPr>
                <w:t>69</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5.</w:t>
            </w:r>
          </w:p>
        </w:tc>
        <w:tc>
          <w:tcPr>
            <w:tcW w:w="126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69">
              <w:r>
                <w:rPr>
                  <w:rFonts w:ascii="Arial" w:cs="Arial" w:eastAsia="Arial" w:hAnsi="Arial"/>
                  <w:sz w:val="16"/>
                  <w:szCs w:val="16"/>
                  <w:color w:val="0000FF"/>
                  <w:w w:val="99"/>
                </w:rPr>
                <w:t>Other Information</w:t>
              </w:r>
            </w:hyperlink>
          </w:p>
        </w:tc>
        <w:tc>
          <w:tcPr>
            <w:tcW w:w="8540" w:type="dxa"/>
            <w:vAlign w:val="bottom"/>
            <w:gridSpan w:val="16"/>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69">
              <w:r>
                <w:rPr>
                  <w:rFonts w:ascii="Arial" w:cs="Arial" w:eastAsia="Arial" w:hAnsi="Arial"/>
                  <w:sz w:val="16"/>
                  <w:szCs w:val="16"/>
                  <w:color w:val="0000FF"/>
                  <w:w w:val="89"/>
                </w:rPr>
                <w:t>69</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6.</w:t>
            </w:r>
          </w:p>
        </w:tc>
        <w:tc>
          <w:tcPr>
            <w:tcW w:w="9800" w:type="dxa"/>
            <w:vAlign w:val="bottom"/>
            <w:gridSpan w:val="20"/>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Exhibits</w:t>
              </w:r>
            </w:hyperlink>
          </w:p>
        </w:tc>
        <w:tc>
          <w:tcPr>
            <w:tcW w:w="380" w:type="dxa"/>
            <w:vAlign w:val="bottom"/>
            <w:gridSpan w:val="3"/>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70</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40" w:type="dxa"/>
            <w:vAlign w:val="bottom"/>
            <w:gridSpan w:val="18"/>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20"/>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Signatures</w:t>
              </w:r>
            </w:hyperlink>
          </w:p>
        </w:tc>
        <w:tc>
          <w:tcPr>
            <w:tcW w:w="380" w:type="dxa"/>
            <w:vAlign w:val="bottom"/>
            <w:gridSpan w:val="3"/>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71</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121" w:right="39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3"/>
        </w:trPr>
        <w:tc>
          <w:tcPr>
            <w:tcW w:w="83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2018</w:t>
            </w:r>
          </w:p>
        </w:tc>
      </w:tr>
      <w:tr>
        <w:trPr>
          <w:trHeight w:val="265"/>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93,127</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41,026</w:t>
            </w:r>
          </w:p>
        </w:tc>
      </w:tr>
      <w:tr>
        <w:trPr>
          <w:trHeight w:val="266"/>
        </w:trPr>
        <w:tc>
          <w:tcPr>
            <w:tcW w:w="8340" w:type="dxa"/>
            <w:vAlign w:val="bottom"/>
          </w:tcPr>
          <w:p>
            <w:pPr>
              <w:ind w:left="280"/>
              <w:spacing w:after="0"/>
              <w:rPr>
                <w:sz w:val="20"/>
                <w:szCs w:val="20"/>
                <w:color w:val="auto"/>
              </w:rPr>
            </w:pPr>
            <w:r>
              <w:rPr>
                <w:rFonts w:ascii="Arial" w:cs="Arial" w:eastAsia="Arial" w:hAnsi="Arial"/>
                <w:sz w:val="14"/>
                <w:szCs w:val="14"/>
                <w:color w:val="auto"/>
              </w:rPr>
              <w:t>Short-term marketable securities</w:t>
            </w:r>
          </w:p>
        </w:tc>
        <w:tc>
          <w:tcPr>
            <w:tcW w:w="2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205,009</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248,140</w:t>
            </w: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of $653 and $683 as of March 31, 2019 and December 31, 2018, respectively</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67,863</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75,825</w:t>
            </w:r>
          </w:p>
        </w:tc>
      </w:tr>
      <w:tr>
        <w:trPr>
          <w:trHeight w:val="266"/>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16,538</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13,974</w:t>
            </w:r>
          </w:p>
        </w:tc>
      </w:tr>
      <w:tr>
        <w:trPr>
          <w:trHeight w:val="254"/>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assets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382,537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378,965</w:t>
            </w: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Long-term marketable securities</w:t>
            </w:r>
          </w:p>
        </w:tc>
        <w:tc>
          <w:tcPr>
            <w:tcW w:w="2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96,322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76,710</w:t>
            </w: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60,486</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61,442</w:t>
            </w: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Operating leases - right of use asset</w:t>
            </w:r>
          </w:p>
        </w:tc>
        <w:tc>
          <w:tcPr>
            <w:tcW w:w="2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29,604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assets, net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24,653</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26,387</w:t>
            </w: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21,356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21,976</w:t>
            </w: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7,325</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7,225</w:t>
            </w: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Restricted cash</w:t>
            </w:r>
          </w:p>
        </w:tc>
        <w:tc>
          <w:tcPr>
            <w:tcW w:w="2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1,200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1,200</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12,658</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11,775</w:t>
            </w:r>
          </w:p>
        </w:tc>
      </w:tr>
      <w:tr>
        <w:trPr>
          <w:trHeight w:val="281"/>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636,141</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585,680</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231F20"/>
              </w:rPr>
              <w:t>Liabilities and Stockholders’ Equity</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Current liabilities :</w:t>
            </w: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566</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5,588</w:t>
            </w:r>
          </w:p>
        </w:tc>
      </w:tr>
      <w:tr>
        <w:trPr>
          <w:trHeight w:val="266"/>
        </w:trPr>
        <w:tc>
          <w:tcPr>
            <w:tcW w:w="8340" w:type="dxa"/>
            <w:vAlign w:val="bottom"/>
          </w:tcPr>
          <w:p>
            <w:pPr>
              <w:ind w:left="280"/>
              <w:spacing w:after="0"/>
              <w:rPr>
                <w:sz w:val="20"/>
                <w:szCs w:val="20"/>
                <w:color w:val="auto"/>
              </w:rPr>
            </w:pPr>
            <w:r>
              <w:rPr>
                <w:rFonts w:ascii="Arial" w:cs="Arial" w:eastAsia="Arial" w:hAnsi="Arial"/>
                <w:sz w:val="14"/>
                <w:szCs w:val="14"/>
                <w:color w:val="auto"/>
              </w:rPr>
              <w:t>Accrued liabilities</w:t>
            </w:r>
          </w:p>
        </w:tc>
        <w:tc>
          <w:tcPr>
            <w:tcW w:w="2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32,017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25,130</w:t>
            </w: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revenues, current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174,452</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164,624</w:t>
            </w:r>
          </w:p>
        </w:tc>
      </w:tr>
      <w:tr>
        <w:trPr>
          <w:trHeight w:val="266"/>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Finance lease, current</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1,153</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1,565</w:t>
            </w:r>
          </w:p>
        </w:tc>
      </w:tr>
      <w:tr>
        <w:trPr>
          <w:trHeight w:val="254"/>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208,188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196,907</w:t>
            </w: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Deferred revenues, noncurrent</w:t>
            </w:r>
          </w:p>
        </w:tc>
        <w:tc>
          <w:tcPr>
            <w:tcW w:w="2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20,450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20,423</w:t>
            </w: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liability, noncurrent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33,589</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liabilities</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511</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10,361</w:t>
            </w:r>
          </w:p>
        </w:tc>
      </w:tr>
      <w:tr>
        <w:trPr>
          <w:trHeight w:val="254"/>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262,738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227,691</w:t>
            </w: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Commitments and contingencies (Note 8)</w:t>
            </w: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176"/>
        </w:trPr>
        <w:tc>
          <w:tcPr>
            <w:tcW w:w="8340" w:type="dxa"/>
            <w:vAlign w:val="bottom"/>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March 31, 2019 and</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8"/>
        </w:trPr>
        <w:tc>
          <w:tcPr>
            <w:tcW w:w="8340" w:type="dxa"/>
            <w:vAlign w:val="bottom"/>
          </w:tcPr>
          <w:p>
            <w:pPr>
              <w:ind w:left="280"/>
              <w:spacing w:after="0"/>
              <w:rPr>
                <w:sz w:val="20"/>
                <w:szCs w:val="20"/>
                <w:color w:val="auto"/>
              </w:rPr>
            </w:pPr>
            <w:r>
              <w:rPr>
                <w:rFonts w:ascii="Arial" w:cs="Arial" w:eastAsia="Arial" w:hAnsi="Arial"/>
                <w:sz w:val="14"/>
                <w:szCs w:val="14"/>
                <w:color w:val="auto"/>
              </w:rPr>
              <w:t>December 31, 2018</w:t>
            </w:r>
          </w:p>
        </w:tc>
        <w:tc>
          <w:tcPr>
            <w:tcW w:w="26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8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 $0.001 par value; 1,000,000,000 shares authorized; 39,133,832 and 39,015,034 shares issued and</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02"/>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outstanding at March 31, 2019 and December 31, 2018, respectively</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r>
      <w:tr>
        <w:trPr>
          <w:trHeight w:val="266"/>
        </w:trPr>
        <w:tc>
          <w:tcPr>
            <w:tcW w:w="834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338,566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330,572</w:t>
            </w: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other comprehensive income (loss)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w:t>
            </w:r>
          </w:p>
        </w:tc>
      </w:tr>
      <w:tr>
        <w:trPr>
          <w:trHeight w:val="266"/>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Retained earnings</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34,488</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27,964</w:t>
            </w:r>
          </w:p>
        </w:tc>
      </w:tr>
      <w:tr>
        <w:trPr>
          <w:trHeight w:val="250"/>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373,403</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357,989</w:t>
            </w:r>
          </w:p>
        </w:tc>
      </w:tr>
      <w:tr>
        <w:trPr>
          <w:trHeight w:val="241"/>
        </w:trPr>
        <w:tc>
          <w:tcPr>
            <w:tcW w:w="8340" w:type="dxa"/>
            <w:vAlign w:val="bottom"/>
          </w:tcPr>
          <w:p>
            <w:pPr>
              <w:ind w:left="500"/>
              <w:spacing w:after="0"/>
              <w:rPr>
                <w:sz w:val="20"/>
                <w:szCs w:val="20"/>
                <w:color w:val="auto"/>
              </w:rPr>
            </w:pPr>
            <w:r>
              <w:rPr>
                <w:rFonts w:ascii="Arial" w:cs="Arial" w:eastAsia="Arial" w:hAnsi="Arial"/>
                <w:sz w:val="14"/>
                <w:szCs w:val="14"/>
                <w:color w:val="231F20"/>
              </w:rPr>
              <w:t>Total liabilities and stockholders’ equity</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636,141</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585,680</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40" w:type="dxa"/>
            <w:vAlign w:val="bottom"/>
          </w:tcPr>
          <w:p>
            <w:pPr>
              <w:spacing w:after="0"/>
              <w:rPr>
                <w:sz w:val="17"/>
                <w:szCs w:val="17"/>
                <w:color w:val="auto"/>
              </w:rPr>
            </w:pPr>
          </w:p>
        </w:tc>
        <w:tc>
          <w:tcPr>
            <w:tcW w:w="252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834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75,343</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64,878</w:t>
            </w:r>
          </w:p>
        </w:tc>
        <w:tc>
          <w:tcPr>
            <w:tcW w:w="0" w:type="dxa"/>
            <w:vAlign w:val="bottom"/>
          </w:tcPr>
          <w:p>
            <w:pPr>
              <w:spacing w:after="0"/>
              <w:rPr>
                <w:sz w:val="1"/>
                <w:szCs w:val="1"/>
                <w:color w:val="auto"/>
              </w:rPr>
            </w:pPr>
          </w:p>
        </w:tc>
      </w:tr>
      <w:tr>
        <w:trPr>
          <w:trHeight w:val="26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920" w:type="dxa"/>
            <w:vAlign w:val="bottom"/>
            <w:tcBorders>
              <w:bottom w:val="single" w:sz="8" w:color="231F20"/>
            </w:tcBorders>
          </w:tcPr>
          <w:p>
            <w:pPr>
              <w:spacing w:after="0"/>
              <w:rPr>
                <w:sz w:val="23"/>
                <w:szCs w:val="23"/>
                <w:color w:val="auto"/>
              </w:rPr>
            </w:pPr>
          </w:p>
        </w:tc>
        <w:tc>
          <w:tcPr>
            <w:tcW w:w="5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17,709</w:t>
            </w: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231F20"/>
            </w:tcBorders>
          </w:tcPr>
          <w:p>
            <w:pPr>
              <w:spacing w:after="0"/>
              <w:rPr>
                <w:sz w:val="23"/>
                <w:szCs w:val="23"/>
                <w:color w:val="auto"/>
              </w:rPr>
            </w:pPr>
          </w:p>
        </w:tc>
        <w:tc>
          <w:tcPr>
            <w:tcW w:w="5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15,901</w:t>
            </w:r>
          </w:p>
        </w:tc>
        <w:tc>
          <w:tcPr>
            <w:tcW w:w="0" w:type="dxa"/>
            <w:vAlign w:val="bottom"/>
          </w:tcPr>
          <w:p>
            <w:pPr>
              <w:spacing w:after="0"/>
              <w:rPr>
                <w:sz w:val="1"/>
                <w:szCs w:val="1"/>
                <w:color w:val="auto"/>
              </w:rPr>
            </w:pPr>
          </w:p>
        </w:tc>
      </w:tr>
      <w:tr>
        <w:trPr>
          <w:trHeight w:val="25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57,634</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48,977</w:t>
            </w:r>
          </w:p>
        </w:tc>
        <w:tc>
          <w:tcPr>
            <w:tcW w:w="0" w:type="dxa"/>
            <w:vAlign w:val="bottom"/>
          </w:tcPr>
          <w:p>
            <w:pPr>
              <w:spacing w:after="0"/>
              <w:rPr>
                <w:sz w:val="1"/>
                <w:szCs w:val="1"/>
                <w:color w:val="auto"/>
              </w:rPr>
            </w:pP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15,837</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12,553</w:t>
            </w:r>
          </w:p>
        </w:tc>
        <w:tc>
          <w:tcPr>
            <w:tcW w:w="0" w:type="dxa"/>
            <w:vAlign w:val="bottom"/>
          </w:tcPr>
          <w:p>
            <w:pPr>
              <w:spacing w:after="0"/>
              <w:rPr>
                <w:sz w:val="1"/>
                <w:szCs w:val="1"/>
                <w:color w:val="auto"/>
              </w:rPr>
            </w:pPr>
          </w:p>
        </w:tc>
      </w:tr>
      <w:tr>
        <w:trPr>
          <w:trHeight w:val="266"/>
        </w:trPr>
        <w:tc>
          <w:tcPr>
            <w:tcW w:w="834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17,315</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16,233</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920" w:type="dxa"/>
            <w:vAlign w:val="bottom"/>
            <w:tcBorders>
              <w:bottom w:val="single" w:sz="8" w:color="231F20"/>
            </w:tcBorders>
            <w:shd w:val="clear" w:color="auto" w:fill="CCEEFF"/>
          </w:tcPr>
          <w:p>
            <w:pPr>
              <w:spacing w:after="0"/>
              <w:rPr>
                <w:sz w:val="23"/>
                <w:szCs w:val="23"/>
                <w:color w:val="auto"/>
              </w:rPr>
            </w:pPr>
          </w:p>
        </w:tc>
        <w:tc>
          <w:tcPr>
            <w:tcW w:w="58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10,431</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spacing w:after="0"/>
              <w:rPr>
                <w:sz w:val="23"/>
                <w:szCs w:val="23"/>
                <w:color w:val="auto"/>
              </w:rPr>
            </w:pPr>
          </w:p>
        </w:tc>
        <w:tc>
          <w:tcPr>
            <w:tcW w:w="56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11,785</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92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43,583</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231F20"/>
            </w:tcBorders>
          </w:tcPr>
          <w:p>
            <w:pPr>
              <w:spacing w:after="0"/>
              <w:rPr>
                <w:sz w:val="21"/>
                <w:szCs w:val="21"/>
                <w:color w:val="auto"/>
              </w:rPr>
            </w:pPr>
          </w:p>
        </w:tc>
        <w:tc>
          <w:tcPr>
            <w:tcW w:w="5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40,571</w:t>
            </w:r>
          </w:p>
        </w:tc>
        <w:tc>
          <w:tcPr>
            <w:tcW w:w="0" w:type="dxa"/>
            <w:vAlign w:val="bottom"/>
          </w:tcPr>
          <w:p>
            <w:pPr>
              <w:spacing w:after="0"/>
              <w:rPr>
                <w:sz w:val="1"/>
                <w:szCs w:val="1"/>
                <w:color w:val="auto"/>
              </w:rPr>
            </w:pPr>
          </w:p>
        </w:tc>
      </w:tr>
      <w:tr>
        <w:trPr>
          <w:trHeight w:val="25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14,051</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8,406</w:t>
            </w:r>
          </w:p>
        </w:tc>
        <w:tc>
          <w:tcPr>
            <w:tcW w:w="0" w:type="dxa"/>
            <w:vAlign w:val="bottom"/>
          </w:tcPr>
          <w:p>
            <w:pPr>
              <w:spacing w:after="0"/>
              <w:rPr>
                <w:sz w:val="1"/>
                <w:szCs w:val="1"/>
                <w:color w:val="auto"/>
              </w:rPr>
            </w:pP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66"/>
        </w:trPr>
        <w:tc>
          <w:tcPr>
            <w:tcW w:w="834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2,051</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1,090</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920" w:type="dxa"/>
            <w:vAlign w:val="bottom"/>
            <w:tcBorders>
              <w:bottom w:val="single" w:sz="8" w:color="231F20"/>
            </w:tcBorders>
            <w:shd w:val="clear" w:color="auto" w:fill="CCEEFF"/>
          </w:tcPr>
          <w:p>
            <w:pPr>
              <w:spacing w:after="0"/>
              <w:rPr>
                <w:sz w:val="23"/>
                <w:szCs w:val="23"/>
                <w:color w:val="auto"/>
              </w:rPr>
            </w:pPr>
          </w:p>
        </w:tc>
        <w:tc>
          <w:tcPr>
            <w:tcW w:w="580" w:type="dxa"/>
            <w:vAlign w:val="bottom"/>
            <w:tcBorders>
              <w:bottom w:val="single" w:sz="8" w:color="231F20"/>
            </w:tcBorders>
            <w:shd w:val="clear" w:color="auto" w:fill="CCEEFF"/>
          </w:tcPr>
          <w:p>
            <w:pPr>
              <w:jc w:val="right"/>
              <w:ind w:right="8"/>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spacing w:after="0"/>
              <w:rPr>
                <w:sz w:val="23"/>
                <w:szCs w:val="23"/>
                <w:color w:val="auto"/>
              </w:rPr>
            </w:pPr>
          </w:p>
        </w:tc>
        <w:tc>
          <w:tcPr>
            <w:tcW w:w="56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net</w:t>
            </w:r>
          </w:p>
        </w:tc>
        <w:tc>
          <w:tcPr>
            <w:tcW w:w="92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1,786</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231F20"/>
            </w:tcBorders>
          </w:tcPr>
          <w:p>
            <w:pPr>
              <w:spacing w:after="0"/>
              <w:rPr>
                <w:sz w:val="21"/>
                <w:szCs w:val="21"/>
                <w:color w:val="auto"/>
              </w:rPr>
            </w:pPr>
          </w:p>
        </w:tc>
        <w:tc>
          <w:tcPr>
            <w:tcW w:w="5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1,245</w:t>
            </w:r>
          </w:p>
        </w:tc>
        <w:tc>
          <w:tcPr>
            <w:tcW w:w="0" w:type="dxa"/>
            <w:vAlign w:val="bottom"/>
          </w:tcPr>
          <w:p>
            <w:pPr>
              <w:spacing w:after="0"/>
              <w:rPr>
                <w:sz w:val="1"/>
                <w:szCs w:val="1"/>
                <w:color w:val="auto"/>
              </w:rPr>
            </w:pPr>
          </w:p>
        </w:tc>
      </w:tr>
      <w:tr>
        <w:trPr>
          <w:trHeight w:val="25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15,837</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9,651</w:t>
            </w:r>
          </w:p>
        </w:tc>
        <w:tc>
          <w:tcPr>
            <w:tcW w:w="0" w:type="dxa"/>
            <w:vAlign w:val="bottom"/>
          </w:tcPr>
          <w:p>
            <w:pPr>
              <w:spacing w:after="0"/>
              <w:rPr>
                <w:sz w:val="1"/>
                <w:szCs w:val="1"/>
                <w:color w:val="auto"/>
              </w:rPr>
            </w:pPr>
          </w:p>
        </w:tc>
      </w:tr>
      <w:tr>
        <w:trPr>
          <w:trHeight w:val="26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231F20"/>
              </w:rPr>
              <w:t>2,571</w:t>
            </w: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231F20"/>
              </w:rPr>
              <w:t>509</w:t>
            </w: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13,266</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9,142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color w:val="auto"/>
              </w:rPr>
              <w:t>Net income per share:</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34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0.34</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0.32</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income per share:</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39,109</w:t>
            </w: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38,789</w:t>
            </w:r>
          </w:p>
        </w:tc>
        <w:tc>
          <w:tcPr>
            <w:tcW w:w="0" w:type="dxa"/>
            <w:vAlign w:val="bottom"/>
          </w:tcPr>
          <w:p>
            <w:pPr>
              <w:spacing w:after="0"/>
              <w:rPr>
                <w:sz w:val="1"/>
                <w:szCs w:val="1"/>
                <w:color w:val="auto"/>
              </w:rPr>
            </w:pPr>
          </w:p>
        </w:tc>
      </w:tr>
      <w:tr>
        <w:trPr>
          <w:trHeight w:val="21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41,546</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41,934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40" w:type="dxa"/>
            <w:vAlign w:val="bottom"/>
          </w:tcPr>
          <w:p>
            <w:pPr>
              <w:spacing w:after="0"/>
              <w:rPr>
                <w:sz w:val="17"/>
                <w:szCs w:val="17"/>
                <w:color w:val="auto"/>
              </w:rPr>
            </w:pPr>
          </w:p>
        </w:tc>
        <w:tc>
          <w:tcPr>
            <w:tcW w:w="25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7"/>
                <w:szCs w:val="17"/>
                <w:color w:val="auto"/>
              </w:rPr>
            </w:pPr>
          </w:p>
        </w:tc>
      </w:tr>
      <w:tr>
        <w:trPr>
          <w:trHeight w:val="271"/>
        </w:trPr>
        <w:tc>
          <w:tcPr>
            <w:tcW w:w="834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23"/>
                <w:szCs w:val="23"/>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13,266</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9,142</w:t>
            </w:r>
          </w:p>
        </w:tc>
      </w:tr>
      <w:tr>
        <w:trPr>
          <w:trHeight w:val="266"/>
        </w:trPr>
        <w:tc>
          <w:tcPr>
            <w:tcW w:w="8340" w:type="dxa"/>
            <w:vAlign w:val="bottom"/>
          </w:tcPr>
          <w:p>
            <w:pPr>
              <w:ind w:left="180"/>
              <w:spacing w:after="0"/>
              <w:rPr>
                <w:sz w:val="20"/>
                <w:szCs w:val="20"/>
                <w:color w:val="auto"/>
              </w:rPr>
            </w:pPr>
            <w:r>
              <w:rPr>
                <w:rFonts w:ascii="Arial" w:cs="Arial" w:eastAsia="Arial" w:hAnsi="Arial"/>
                <w:sz w:val="14"/>
                <w:szCs w:val="14"/>
                <w:color w:val="auto"/>
              </w:rPr>
              <w:t>Other comprehensive income (loss):</w:t>
            </w: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Available-for-sale marketable securities:</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r>
      <w:tr>
        <w:trPr>
          <w:trHeight w:val="266"/>
        </w:trPr>
        <w:tc>
          <w:tcPr>
            <w:tcW w:w="8340" w:type="dxa"/>
            <w:vAlign w:val="bottom"/>
          </w:tcPr>
          <w:p>
            <w:pPr>
              <w:ind w:left="380"/>
              <w:spacing w:after="0"/>
              <w:rPr>
                <w:sz w:val="20"/>
                <w:szCs w:val="20"/>
                <w:color w:val="auto"/>
              </w:rPr>
            </w:pPr>
            <w:r>
              <w:rPr>
                <w:rFonts w:ascii="Arial" w:cs="Arial" w:eastAsia="Arial" w:hAnsi="Arial"/>
                <w:sz w:val="14"/>
                <w:szCs w:val="14"/>
                <w:color w:val="auto"/>
              </w:rPr>
              <w:t>Change in net unrealized gain (loss) on marketable securities, net of tax</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655</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(407)</w:t>
            </w:r>
          </w:p>
        </w:tc>
      </w:tr>
      <w:tr>
        <w:trPr>
          <w:trHeight w:val="270"/>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Reclassification adjustment for net realized gain included in net income, net of tax</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50"/>
        </w:trPr>
        <w:tc>
          <w:tcPr>
            <w:tcW w:w="8340" w:type="dxa"/>
            <w:vAlign w:val="bottom"/>
          </w:tcPr>
          <w:p>
            <w:pPr>
              <w:ind w:left="500"/>
              <w:spacing w:after="0"/>
              <w:rPr>
                <w:sz w:val="20"/>
                <w:szCs w:val="20"/>
                <w:color w:val="auto"/>
              </w:rPr>
            </w:pPr>
            <w:r>
              <w:rPr>
                <w:rFonts w:ascii="Arial" w:cs="Arial" w:eastAsia="Arial" w:hAnsi="Arial"/>
                <w:sz w:val="14"/>
                <w:szCs w:val="14"/>
                <w:color w:val="auto"/>
              </w:rPr>
              <w:t>Total change in unrealized gain (loss) on marketable securities, net of tax</w:t>
            </w:r>
          </w:p>
        </w:tc>
        <w:tc>
          <w:tcPr>
            <w:tcW w:w="920" w:type="dxa"/>
            <w:vAlign w:val="bottom"/>
          </w:tcPr>
          <w:p>
            <w:pPr>
              <w:spacing w:after="0"/>
              <w:rPr>
                <w:sz w:val="21"/>
                <w:szCs w:val="21"/>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683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(391)</w:t>
            </w: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flow hedges:</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r>
      <w:tr>
        <w:trPr>
          <w:trHeight w:val="266"/>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Change in net unrealized gain, net of tax</w:t>
            </w: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213</w:t>
            </w:r>
          </w:p>
        </w:tc>
        <w:tc>
          <w:tcPr>
            <w:tcW w:w="12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comprehensive income (loss), net of tax</w:t>
            </w:r>
          </w:p>
        </w:tc>
        <w:tc>
          <w:tcPr>
            <w:tcW w:w="9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896</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w:t>
            </w:r>
          </w:p>
        </w:tc>
      </w:tr>
      <w:tr>
        <w:trPr>
          <w:trHeight w:val="241"/>
        </w:trPr>
        <w:tc>
          <w:tcPr>
            <w:tcW w:w="834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14,162</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8,751</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Three Months Ended</w:t>
            </w:r>
          </w:p>
        </w:tc>
      </w:tr>
      <w:tr>
        <w:trPr>
          <w:trHeight w:val="271"/>
        </w:trPr>
        <w:tc>
          <w:tcPr>
            <w:tcW w:w="88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23"/>
                <w:szCs w:val="23"/>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r>
      <w:tr>
        <w:trPr>
          <w:trHeight w:val="265"/>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6"/>
        </w:trPr>
        <w:tc>
          <w:tcPr>
            <w:tcW w:w="880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13,266</w:t>
            </w:r>
          </w:p>
        </w:tc>
        <w:tc>
          <w:tcPr>
            <w:tcW w:w="12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9,142</w:t>
            </w:r>
          </w:p>
        </w:tc>
      </w:tr>
      <w:tr>
        <w:trPr>
          <w:trHeight w:val="274"/>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6"/>
        </w:trPr>
        <w:tc>
          <w:tcPr>
            <w:tcW w:w="8800" w:type="dxa"/>
            <w:vAlign w:val="bottom"/>
          </w:tcPr>
          <w:p>
            <w:pPr>
              <w:ind w:left="500"/>
              <w:spacing w:after="0"/>
              <w:rPr>
                <w:sz w:val="20"/>
                <w:szCs w:val="20"/>
                <w:color w:val="auto"/>
              </w:rPr>
            </w:pPr>
            <w:r>
              <w:rPr>
                <w:rFonts w:ascii="Arial" w:cs="Arial" w:eastAsia="Arial" w:hAnsi="Arial"/>
                <w:sz w:val="14"/>
                <w:szCs w:val="14"/>
                <w:color w:val="auto"/>
              </w:rPr>
              <w:t>Depreciation and amortization expense</w:t>
            </w:r>
          </w:p>
        </w:tc>
        <w:tc>
          <w:tcPr>
            <w:tcW w:w="3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7,935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7,043</w:t>
            </w:r>
          </w:p>
        </w:tc>
      </w:tr>
      <w:tr>
        <w:trPr>
          <w:trHeight w:val="274"/>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r>
      <w:tr>
        <w:trPr>
          <w:trHeight w:val="266"/>
        </w:trPr>
        <w:tc>
          <w:tcPr>
            <w:tcW w:w="880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8,445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8,891</w:t>
            </w:r>
          </w:p>
        </w:tc>
      </w:tr>
      <w:tr>
        <w:trPr>
          <w:trHeight w:val="274"/>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Amortization of premiums and accretion of discounts on marketable securities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r>
      <w:tr>
        <w:trPr>
          <w:trHeight w:val="266"/>
        </w:trPr>
        <w:tc>
          <w:tcPr>
            <w:tcW w:w="8800" w:type="dxa"/>
            <w:vAlign w:val="bottom"/>
          </w:tcPr>
          <w:p>
            <w:pPr>
              <w:ind w:left="50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1,643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140</w:t>
            </w:r>
          </w:p>
        </w:tc>
      </w:tr>
      <w:tr>
        <w:trPr>
          <w:trHeight w:val="274"/>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6"/>
        </w:trPr>
        <w:tc>
          <w:tcPr>
            <w:tcW w:w="8800" w:type="dxa"/>
            <w:vAlign w:val="bottom"/>
          </w:tcPr>
          <w:p>
            <w:pPr>
              <w:ind w:left="72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7,962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14,538</w:t>
            </w:r>
          </w:p>
        </w:tc>
      </w:tr>
      <w:tr>
        <w:trPr>
          <w:trHeight w:val="274"/>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expenses and other assets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(2,341)</w:t>
            </w:r>
          </w:p>
        </w:tc>
      </w:tr>
      <w:tr>
        <w:trPr>
          <w:trHeight w:val="266"/>
        </w:trPr>
        <w:tc>
          <w:tcPr>
            <w:tcW w:w="8800" w:type="dxa"/>
            <w:vAlign w:val="bottom"/>
          </w:tcPr>
          <w:p>
            <w:pPr>
              <w:ind w:left="72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(1,374)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(302)</w:t>
            </w:r>
          </w:p>
        </w:tc>
      </w:tr>
      <w:tr>
        <w:trPr>
          <w:trHeight w:val="274"/>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Accrued liabilities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4,577</w:t>
            </w:r>
          </w:p>
        </w:tc>
      </w:tr>
      <w:tr>
        <w:trPr>
          <w:trHeight w:val="266"/>
        </w:trPr>
        <w:tc>
          <w:tcPr>
            <w:tcW w:w="8800" w:type="dxa"/>
            <w:vAlign w:val="bottom"/>
          </w:tcPr>
          <w:p>
            <w:pPr>
              <w:ind w:left="720"/>
              <w:spacing w:after="0"/>
              <w:rPr>
                <w:sz w:val="20"/>
                <w:szCs w:val="20"/>
                <w:color w:val="auto"/>
              </w:rPr>
            </w:pPr>
            <w:r>
              <w:rPr>
                <w:rFonts w:ascii="Arial" w:cs="Arial" w:eastAsia="Arial" w:hAnsi="Arial"/>
                <w:sz w:val="14"/>
                <w:szCs w:val="14"/>
                <w:color w:val="auto"/>
              </w:rPr>
              <w:t>Deferred revenues</w:t>
            </w:r>
          </w:p>
        </w:tc>
        <w:tc>
          <w:tcPr>
            <w:tcW w:w="3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9,855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2,330</w:t>
            </w:r>
          </w:p>
        </w:tc>
      </w:tr>
      <w:tr>
        <w:trPr>
          <w:trHeight w:val="270"/>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non-current liabilities</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(1,072)</w:t>
            </w:r>
          </w:p>
        </w:tc>
      </w:tr>
      <w:tr>
        <w:trPr>
          <w:trHeight w:val="210"/>
        </w:trPr>
        <w:tc>
          <w:tcPr>
            <w:tcW w:w="880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44,347</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42,989</w:t>
            </w:r>
          </w:p>
        </w:tc>
      </w:tr>
      <w:tr>
        <w:trPr>
          <w:trHeight w:val="268"/>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6"/>
        </w:trPr>
        <w:tc>
          <w:tcPr>
            <w:tcW w:w="8800" w:type="dxa"/>
            <w:vAlign w:val="bottom"/>
          </w:tcPr>
          <w:p>
            <w:pPr>
              <w:ind w:left="280"/>
              <w:spacing w:after="0"/>
              <w:rPr>
                <w:sz w:val="20"/>
                <w:szCs w:val="20"/>
                <w:color w:val="auto"/>
              </w:rPr>
            </w:pPr>
            <w:r>
              <w:rPr>
                <w:rFonts w:ascii="Arial" w:cs="Arial" w:eastAsia="Arial" w:hAnsi="Arial"/>
                <w:sz w:val="14"/>
                <w:szCs w:val="14"/>
                <w:color w:val="auto"/>
              </w:rPr>
              <w:t>Purchases of marketable securities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(66,224)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(72,176)</w:t>
            </w:r>
          </w:p>
        </w:tc>
      </w:tr>
      <w:tr>
        <w:trPr>
          <w:trHeight w:val="274"/>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Sales and maturities of marketable securities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91,046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40,080</w:t>
            </w:r>
          </w:p>
        </w:tc>
      </w:tr>
      <w:tr>
        <w:trPr>
          <w:trHeight w:val="266"/>
        </w:trPr>
        <w:tc>
          <w:tcPr>
            <w:tcW w:w="8800" w:type="dxa"/>
            <w:vAlign w:val="bottom"/>
          </w:tcPr>
          <w:p>
            <w:pPr>
              <w:ind w:left="280"/>
              <w:spacing w:after="0"/>
              <w:rPr>
                <w:sz w:val="20"/>
                <w:szCs w:val="20"/>
                <w:color w:val="auto"/>
              </w:rPr>
            </w:pPr>
            <w:r>
              <w:rPr>
                <w:rFonts w:ascii="Arial" w:cs="Arial" w:eastAsia="Arial" w:hAnsi="Arial"/>
                <w:sz w:val="14"/>
                <w:szCs w:val="14"/>
                <w:color w:val="auto"/>
              </w:rPr>
              <w:t>Purchases of property and equipment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(8,608)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(5,985)</w:t>
            </w:r>
          </w:p>
        </w:tc>
      </w:tr>
      <w:tr>
        <w:trPr>
          <w:trHeight w:val="270"/>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Business combinations</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80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(used in) investing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15,364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(38,081)</w:t>
            </w:r>
          </w:p>
        </w:tc>
      </w:tr>
      <w:tr>
        <w:trPr>
          <w:trHeight w:val="268"/>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6"/>
        </w:trPr>
        <w:tc>
          <w:tcPr>
            <w:tcW w:w="8800" w:type="dxa"/>
            <w:vAlign w:val="bottom"/>
          </w:tcPr>
          <w:p>
            <w:pPr>
              <w:ind w:left="280"/>
              <w:spacing w:after="0"/>
              <w:rPr>
                <w:sz w:val="20"/>
                <w:szCs w:val="20"/>
                <w:color w:val="auto"/>
              </w:rPr>
            </w:pPr>
            <w:r>
              <w:rPr>
                <w:rFonts w:ascii="Arial" w:cs="Arial" w:eastAsia="Arial" w:hAnsi="Arial"/>
                <w:sz w:val="14"/>
                <w:szCs w:val="14"/>
                <w:color w:val="auto"/>
              </w:rPr>
              <w:t>Repurchase of common stock</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(7,871)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(1,481)</w:t>
            </w:r>
          </w:p>
        </w:tc>
      </w:tr>
      <w:tr>
        <w:trPr>
          <w:trHeight w:val="274"/>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7,933</w:t>
            </w:r>
          </w:p>
        </w:tc>
      </w:tr>
      <w:tr>
        <w:trPr>
          <w:trHeight w:val="266"/>
        </w:trPr>
        <w:tc>
          <w:tcPr>
            <w:tcW w:w="8800" w:type="dxa"/>
            <w:vAlign w:val="bottom"/>
          </w:tcPr>
          <w:p>
            <w:pPr>
              <w:ind w:left="280"/>
              <w:spacing w:after="0"/>
              <w:rPr>
                <w:sz w:val="20"/>
                <w:szCs w:val="20"/>
                <w:color w:val="auto"/>
              </w:rPr>
            </w:pPr>
            <w:r>
              <w:rPr>
                <w:rFonts w:ascii="Arial" w:cs="Arial" w:eastAsia="Arial" w:hAnsi="Arial"/>
                <w:sz w:val="14"/>
                <w:szCs w:val="14"/>
                <w:color w:val="auto"/>
              </w:rPr>
              <w:t>Payments for taxes related to net share settlement of equity awards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(3,367)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(4,030)</w:t>
            </w:r>
          </w:p>
        </w:tc>
      </w:tr>
      <w:tr>
        <w:trPr>
          <w:trHeight w:val="270"/>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Principal payments under finance lease obligations</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w:t>
            </w:r>
          </w:p>
        </w:tc>
      </w:tr>
      <w:tr>
        <w:trPr>
          <w:trHeight w:val="250"/>
        </w:trPr>
        <w:tc>
          <w:tcPr>
            <w:tcW w:w="880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(used in) provided by financing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1,675</w:t>
            </w:r>
          </w:p>
        </w:tc>
      </w:tr>
      <w:tr>
        <w:trPr>
          <w:trHeight w:val="254"/>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cash equivalents and restricted cash</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52,101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6,583</w:t>
            </w:r>
          </w:p>
        </w:tc>
      </w:tr>
      <w:tr>
        <w:trPr>
          <w:trHeight w:val="266"/>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42,226</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87,791</w:t>
            </w:r>
          </w:p>
        </w:tc>
      </w:tr>
      <w:tr>
        <w:trPr>
          <w:trHeight w:val="24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94,327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94,374</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tcPr>
          <w:p>
            <w:pPr>
              <w:spacing w:after="0"/>
              <w:rPr>
                <w:sz w:val="13"/>
                <w:szCs w:val="13"/>
                <w:color w:val="auto"/>
              </w:rPr>
            </w:pPr>
          </w:p>
        </w:tc>
        <w:tc>
          <w:tcPr>
            <w:tcW w:w="14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13"/>
                <w:szCs w:val="13"/>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8"/>
              </w:rPr>
              <w:t>Retained</w:t>
            </w:r>
          </w:p>
        </w:tc>
        <w:tc>
          <w:tcPr>
            <w:tcW w:w="220" w:type="dxa"/>
            <w:vAlign w:val="bottom"/>
          </w:tcPr>
          <w:p>
            <w:pPr>
              <w:spacing w:after="0"/>
              <w:rPr>
                <w:sz w:val="13"/>
                <w:szCs w:val="13"/>
                <w:color w:val="auto"/>
              </w:rPr>
            </w:pPr>
          </w:p>
        </w:tc>
        <w:tc>
          <w:tcPr>
            <w:tcW w:w="800" w:type="dxa"/>
            <w:vAlign w:val="bottom"/>
            <w:vMerge w:val="restart"/>
          </w:tcPr>
          <w:p>
            <w:pPr>
              <w:jc w:val="center"/>
              <w:ind w:right="15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1400" w:type="dxa"/>
            <w:vAlign w:val="bottom"/>
            <w:tcBorders>
              <w:bottom w:val="single" w:sz="8" w:color="auto"/>
            </w:tcBorders>
            <w:gridSpan w:val="3"/>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6"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160" w:type="dxa"/>
            <w:vAlign w:val="bottom"/>
          </w:tcPr>
          <w:p>
            <w:pPr>
              <w:spacing w:after="0"/>
              <w:rPr>
                <w:sz w:val="9"/>
                <w:szCs w:val="9"/>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Shares</w:t>
            </w: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center"/>
              <w:ind w:right="240"/>
              <w:spacing w:after="0" w:line="105" w:lineRule="exact"/>
              <w:rPr>
                <w:sz w:val="20"/>
                <w:szCs w:val="20"/>
                <w:color w:val="auto"/>
              </w:rPr>
            </w:pPr>
            <w:r>
              <w:rPr>
                <w:rFonts w:ascii="Arial" w:cs="Arial" w:eastAsia="Arial" w:hAnsi="Arial"/>
                <w:sz w:val="12"/>
                <w:szCs w:val="12"/>
                <w:b w:val="1"/>
                <w:bCs w:val="1"/>
                <w:color w:val="auto"/>
              </w:rPr>
              <w:t>Paid-In</w:t>
            </w:r>
          </w:p>
        </w:tc>
        <w:tc>
          <w:tcPr>
            <w:tcW w:w="1120" w:type="dxa"/>
            <w:vAlign w:val="bottom"/>
            <w:gridSpan w:val="3"/>
          </w:tcPr>
          <w:p>
            <w:pPr>
              <w:jc w:val="center"/>
              <w:ind w:right="100"/>
              <w:spacing w:after="0" w:line="105" w:lineRule="exact"/>
              <w:rPr>
                <w:sz w:val="20"/>
                <w:szCs w:val="20"/>
                <w:color w:val="auto"/>
              </w:rPr>
            </w:pPr>
            <w:r>
              <w:rPr>
                <w:rFonts w:ascii="Arial" w:cs="Arial" w:eastAsia="Arial" w:hAnsi="Arial"/>
                <w:sz w:val="12"/>
                <w:szCs w:val="12"/>
                <w:b w:val="1"/>
                <w:bCs w:val="1"/>
                <w:color w:val="auto"/>
              </w:rPr>
              <w:t>Comprehensive</w:t>
            </w:r>
          </w:p>
        </w:tc>
        <w:tc>
          <w:tcPr>
            <w:tcW w:w="180" w:type="dxa"/>
            <w:vAlign w:val="bottom"/>
          </w:tcPr>
          <w:p>
            <w:pPr>
              <w:spacing w:after="0"/>
              <w:rPr>
                <w:sz w:val="9"/>
                <w:szCs w:val="9"/>
                <w:color w:val="auto"/>
              </w:rPr>
            </w:pPr>
          </w:p>
        </w:tc>
        <w:tc>
          <w:tcPr>
            <w:tcW w:w="940" w:type="dxa"/>
            <w:vAlign w:val="bottom"/>
            <w:gridSpan w:val="2"/>
          </w:tcPr>
          <w:p>
            <w:pPr>
              <w:jc w:val="center"/>
              <w:ind w:right="280"/>
              <w:spacing w:after="0" w:line="105" w:lineRule="exact"/>
              <w:rPr>
                <w:sz w:val="20"/>
                <w:szCs w:val="20"/>
                <w:color w:val="auto"/>
              </w:rPr>
            </w:pPr>
            <w:r>
              <w:rPr>
                <w:rFonts w:ascii="Arial" w:cs="Arial" w:eastAsia="Arial" w:hAnsi="Arial"/>
                <w:sz w:val="12"/>
                <w:szCs w:val="12"/>
                <w:b w:val="1"/>
                <w:bCs w:val="1"/>
                <w:color w:val="auto"/>
              </w:rPr>
              <w:t>Earnings</w:t>
            </w:r>
          </w:p>
        </w:tc>
        <w:tc>
          <w:tcPr>
            <w:tcW w:w="1020" w:type="dxa"/>
            <w:vAlign w:val="bottom"/>
            <w:gridSpan w:val="2"/>
          </w:tcPr>
          <w:p>
            <w:pPr>
              <w:jc w:val="center"/>
              <w:spacing w:after="0" w:line="105"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0"/>
        </w:trPr>
        <w:tc>
          <w:tcPr>
            <w:tcW w:w="5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Capital</w:t>
            </w:r>
          </w:p>
        </w:tc>
        <w:tc>
          <w:tcPr>
            <w:tcW w:w="11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Income (Loss)</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(deficit)</w:t>
            </w:r>
          </w:p>
        </w:tc>
        <w:tc>
          <w:tcPr>
            <w:tcW w:w="220" w:type="dxa"/>
            <w:vAlign w:val="bottom"/>
          </w:tcPr>
          <w:p>
            <w:pPr>
              <w:spacing w:after="0"/>
              <w:rPr>
                <w:sz w:val="15"/>
                <w:szCs w:val="15"/>
                <w:color w:val="auto"/>
              </w:rPr>
            </w:pPr>
          </w:p>
        </w:tc>
        <w:tc>
          <w:tcPr>
            <w:tcW w:w="800" w:type="dxa"/>
            <w:vAlign w:val="bottom"/>
          </w:tcPr>
          <w:p>
            <w:pPr>
              <w:jc w:val="center"/>
              <w:ind w:right="15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01"/>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Balances at December 31, 2017</w:t>
            </w:r>
          </w:p>
        </w:tc>
        <w:tc>
          <w:tcPr>
            <w:tcW w:w="104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4"/>
                <w:szCs w:val="14"/>
                <w:color w:val="auto"/>
              </w:rPr>
              <w:t>38,598,117</w:t>
            </w:r>
          </w:p>
        </w:tc>
        <w:tc>
          <w:tcPr>
            <w:tcW w:w="12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4"/>
                <w:szCs w:val="14"/>
                <w:color w:val="auto"/>
              </w:rPr>
              <w:t>39</w:t>
            </w:r>
          </w:p>
        </w:tc>
        <w:tc>
          <w:tcPr>
            <w:tcW w:w="2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304,155</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(574)</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4"/>
                <w:szCs w:val="14"/>
                <w:color w:val="auto"/>
              </w:rPr>
              <w:t>39,924</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343,544</w:t>
            </w:r>
          </w:p>
        </w:tc>
        <w:tc>
          <w:tcPr>
            <w:tcW w:w="0" w:type="dxa"/>
            <w:vAlign w:val="bottom"/>
          </w:tcPr>
          <w:p>
            <w:pPr>
              <w:spacing w:after="0"/>
              <w:rPr>
                <w:sz w:val="1"/>
                <w:szCs w:val="1"/>
                <w:color w:val="auto"/>
              </w:rPr>
            </w:pPr>
          </w:p>
        </w:tc>
      </w:tr>
      <w:tr>
        <w:trPr>
          <w:trHeight w:val="66"/>
        </w:trPr>
        <w:tc>
          <w:tcPr>
            <w:tcW w:w="516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280" w:type="dxa"/>
            <w:vAlign w:val="bottom"/>
            <w:tcBorders>
              <w:bottom w:val="single" w:sz="8" w:color="auto"/>
            </w:tcBorders>
            <w:gridSpan w:val="2"/>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Adoption of revenue recognition standard</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2,711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2,711</w:t>
            </w:r>
          </w:p>
        </w:tc>
        <w:tc>
          <w:tcPr>
            <w:tcW w:w="0" w:type="dxa"/>
            <w:vAlign w:val="bottom"/>
          </w:tcPr>
          <w:p>
            <w:pPr>
              <w:spacing w:after="0"/>
              <w:rPr>
                <w:sz w:val="1"/>
                <w:szCs w:val="1"/>
                <w:color w:val="auto"/>
              </w:rPr>
            </w:pPr>
          </w:p>
        </w:tc>
      </w:tr>
      <w:tr>
        <w:trPr>
          <w:trHeight w:val="266"/>
        </w:trPr>
        <w:tc>
          <w:tcPr>
            <w:tcW w:w="516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34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840" w:type="dxa"/>
            <w:vAlign w:val="bottom"/>
          </w:tcPr>
          <w:p>
            <w:pPr>
              <w:jc w:val="right"/>
              <w:ind w:right="27"/>
              <w:spacing w:after="0"/>
              <w:rPr>
                <w:sz w:val="20"/>
                <w:szCs w:val="20"/>
                <w:color w:val="auto"/>
              </w:rPr>
            </w:pPr>
            <w:r>
              <w:rPr>
                <w:rFonts w:ascii="Arial" w:cs="Arial" w:eastAsia="Arial" w:hAnsi="Arial"/>
                <w:sz w:val="14"/>
                <w:szCs w:val="14"/>
                <w:color w:val="auto"/>
              </w:rPr>
              <w:t>9,142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9,142</w:t>
            </w: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loss, net of tax</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66"/>
        </w:trPr>
        <w:tc>
          <w:tcPr>
            <w:tcW w:w="5160" w:type="dxa"/>
            <w:vAlign w:val="bottom"/>
          </w:tcPr>
          <w:p>
            <w:pPr>
              <w:ind w:left="280"/>
              <w:spacing w:after="0"/>
              <w:rPr>
                <w:sz w:val="20"/>
                <w:szCs w:val="20"/>
                <w:color w:val="auto"/>
              </w:rPr>
            </w:pPr>
            <w:r>
              <w:rPr>
                <w:rFonts w:ascii="Arial" w:cs="Arial" w:eastAsia="Arial" w:hAnsi="Arial"/>
                <w:sz w:val="14"/>
                <w:szCs w:val="14"/>
                <w:color w:val="auto"/>
              </w:rPr>
              <w:t>Issuance of common stock upon exercise of stock options</w:t>
            </w:r>
          </w:p>
        </w:tc>
        <w:tc>
          <w:tcPr>
            <w:tcW w:w="1040" w:type="dxa"/>
            <w:vAlign w:val="bottom"/>
          </w:tcPr>
          <w:p>
            <w:pPr>
              <w:jc w:val="right"/>
              <w:ind w:right="46"/>
              <w:spacing w:after="0"/>
              <w:rPr>
                <w:sz w:val="20"/>
                <w:szCs w:val="20"/>
                <w:color w:val="auto"/>
              </w:rPr>
            </w:pPr>
            <w:r>
              <w:rPr>
                <w:rFonts w:ascii="Arial" w:cs="Arial" w:eastAsia="Arial" w:hAnsi="Arial"/>
                <w:sz w:val="14"/>
                <w:szCs w:val="14"/>
                <w:color w:val="auto"/>
              </w:rPr>
              <w:t>285,997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jc w:val="right"/>
              <w:ind w:right="4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7,933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7,933</w:t>
            </w: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of common stock</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(21,288)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4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w:t>
            </w:r>
          </w:p>
        </w:tc>
        <w:tc>
          <w:tcPr>
            <w:tcW w:w="0" w:type="dxa"/>
            <w:vAlign w:val="bottom"/>
          </w:tcPr>
          <w:p>
            <w:pPr>
              <w:spacing w:after="0"/>
              <w:rPr>
                <w:sz w:val="1"/>
                <w:szCs w:val="1"/>
                <w:color w:val="auto"/>
              </w:rPr>
            </w:pPr>
          </w:p>
        </w:tc>
      </w:tr>
      <w:tr>
        <w:trPr>
          <w:trHeight w:val="266"/>
        </w:trPr>
        <w:tc>
          <w:tcPr>
            <w:tcW w:w="5160" w:type="dxa"/>
            <w:vAlign w:val="bottom"/>
          </w:tcPr>
          <w:p>
            <w:pPr>
              <w:ind w:left="280"/>
              <w:spacing w:after="0"/>
              <w:rPr>
                <w:sz w:val="20"/>
                <w:szCs w:val="20"/>
                <w:color w:val="auto"/>
              </w:rPr>
            </w:pPr>
            <w:r>
              <w:rPr>
                <w:rFonts w:ascii="Arial" w:cs="Arial" w:eastAsia="Arial" w:hAnsi="Arial"/>
                <w:sz w:val="14"/>
                <w:szCs w:val="14"/>
                <w:color w:val="auto"/>
              </w:rPr>
              <w:t>Issuance of common stock upon vesting of restricted stock units</w:t>
            </w:r>
          </w:p>
        </w:tc>
        <w:tc>
          <w:tcPr>
            <w:tcW w:w="1040" w:type="dxa"/>
            <w:vAlign w:val="bottom"/>
          </w:tcPr>
          <w:p>
            <w:pPr>
              <w:jc w:val="right"/>
              <w:ind w:right="46"/>
              <w:spacing w:after="0"/>
              <w:rPr>
                <w:sz w:val="20"/>
                <w:szCs w:val="20"/>
                <w:color w:val="auto"/>
              </w:rPr>
            </w:pPr>
            <w:r>
              <w:rPr>
                <w:rFonts w:ascii="Arial" w:cs="Arial" w:eastAsia="Arial" w:hAnsi="Arial"/>
                <w:sz w:val="14"/>
                <w:szCs w:val="14"/>
                <w:color w:val="auto"/>
              </w:rPr>
              <w:t>94,866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jc w:val="right"/>
              <w:ind w:right="4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 related to net share settlement of equity awards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(4,030)</w:t>
            </w:r>
          </w:p>
        </w:tc>
        <w:tc>
          <w:tcPr>
            <w:tcW w:w="0" w:type="dxa"/>
            <w:vAlign w:val="bottom"/>
          </w:tcPr>
          <w:p>
            <w:pPr>
              <w:spacing w:after="0"/>
              <w:rPr>
                <w:sz w:val="1"/>
                <w:szCs w:val="1"/>
                <w:color w:val="auto"/>
              </w:rPr>
            </w:pPr>
          </w:p>
        </w:tc>
      </w:tr>
      <w:tr>
        <w:trPr>
          <w:trHeight w:val="266"/>
        </w:trPr>
        <w:tc>
          <w:tcPr>
            <w:tcW w:w="516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34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8,891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8,891</w:t>
            </w:r>
          </w:p>
        </w:tc>
        <w:tc>
          <w:tcPr>
            <w:tcW w:w="0" w:type="dxa"/>
            <w:vAlign w:val="bottom"/>
          </w:tcPr>
          <w:p>
            <w:pPr>
              <w:spacing w:after="0"/>
              <w:rPr>
                <w:sz w:val="1"/>
                <w:szCs w:val="1"/>
                <w:color w:val="auto"/>
              </w:rPr>
            </w:pPr>
          </w:p>
        </w:tc>
      </w:tr>
      <w:tr>
        <w:trPr>
          <w:trHeight w:val="198"/>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Balances at March 31, 2018</w:t>
            </w:r>
          </w:p>
        </w:tc>
        <w:tc>
          <w:tcPr>
            <w:tcW w:w="1040" w:type="dxa"/>
            <w:vAlign w:val="bottom"/>
            <w:tcBorders>
              <w:top w:val="single" w:sz="8" w:color="auto"/>
            </w:tcBorders>
            <w:vMerge w:val="restart"/>
            <w:shd w:val="clear" w:color="auto" w:fill="CCEEFF"/>
          </w:tcPr>
          <w:p>
            <w:pPr>
              <w:jc w:val="right"/>
              <w:ind w:right="46"/>
              <w:spacing w:after="0"/>
              <w:rPr>
                <w:sz w:val="20"/>
                <w:szCs w:val="20"/>
                <w:color w:val="auto"/>
              </w:rPr>
            </w:pPr>
            <w:r>
              <w:rPr>
                <w:rFonts w:ascii="Arial" w:cs="Arial" w:eastAsia="Arial" w:hAnsi="Arial"/>
                <w:sz w:val="14"/>
                <w:szCs w:val="14"/>
                <w:color w:val="auto"/>
              </w:rPr>
              <w:t>38,957,692</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4"/>
                <w:szCs w:val="14"/>
                <w:color w:val="auto"/>
              </w:rPr>
              <w:t>39</w:t>
            </w: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316,694</w:t>
            </w: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50,551</w:t>
            </w: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366,319</w:t>
            </w:r>
          </w:p>
        </w:tc>
        <w:tc>
          <w:tcPr>
            <w:tcW w:w="0" w:type="dxa"/>
            <w:vAlign w:val="bottom"/>
          </w:tcPr>
          <w:p>
            <w:pPr>
              <w:spacing w:after="0"/>
              <w:rPr>
                <w:sz w:val="1"/>
                <w:szCs w:val="1"/>
                <w:color w:val="auto"/>
              </w:rPr>
            </w:pPr>
          </w:p>
        </w:tc>
      </w:tr>
      <w:tr>
        <w:trPr>
          <w:trHeight w:val="66"/>
        </w:trPr>
        <w:tc>
          <w:tcPr>
            <w:tcW w:w="516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5160" w:type="dxa"/>
            <w:vAlign w:val="bottom"/>
          </w:tcPr>
          <w:p>
            <w:pPr>
              <w:spacing w:after="0"/>
              <w:rPr>
                <w:sz w:val="24"/>
                <w:szCs w:val="24"/>
                <w:color w:val="auto"/>
              </w:rPr>
            </w:pPr>
          </w:p>
        </w:tc>
        <w:tc>
          <w:tcPr>
            <w:tcW w:w="14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24"/>
                <w:szCs w:val="24"/>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8"/>
              </w:rPr>
              <w:t>Retained</w:t>
            </w:r>
          </w:p>
        </w:tc>
        <w:tc>
          <w:tcPr>
            <w:tcW w:w="220" w:type="dxa"/>
            <w:vAlign w:val="bottom"/>
          </w:tcPr>
          <w:p>
            <w:pPr>
              <w:spacing w:after="0"/>
              <w:rPr>
                <w:sz w:val="24"/>
                <w:szCs w:val="24"/>
                <w:color w:val="auto"/>
              </w:rPr>
            </w:pPr>
          </w:p>
        </w:tc>
        <w:tc>
          <w:tcPr>
            <w:tcW w:w="800" w:type="dxa"/>
            <w:vAlign w:val="bottom"/>
            <w:vMerge w:val="restart"/>
          </w:tcPr>
          <w:p>
            <w:pPr>
              <w:jc w:val="center"/>
              <w:ind w:right="15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1400" w:type="dxa"/>
            <w:vAlign w:val="bottom"/>
            <w:tcBorders>
              <w:bottom w:val="single" w:sz="8" w:color="auto"/>
            </w:tcBorders>
            <w:gridSpan w:val="3"/>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6"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160" w:type="dxa"/>
            <w:vAlign w:val="bottom"/>
          </w:tcPr>
          <w:p>
            <w:pPr>
              <w:spacing w:after="0"/>
              <w:rPr>
                <w:sz w:val="9"/>
                <w:szCs w:val="9"/>
                <w:color w:val="auto"/>
              </w:rPr>
            </w:pPr>
          </w:p>
        </w:tc>
        <w:tc>
          <w:tcPr>
            <w:tcW w:w="104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Shares</w:t>
            </w:r>
          </w:p>
        </w:tc>
        <w:tc>
          <w:tcPr>
            <w:tcW w:w="120" w:type="dxa"/>
            <w:vAlign w:val="bottom"/>
            <w:vMerge w:val="restart"/>
          </w:tcPr>
          <w:p>
            <w:pPr>
              <w:spacing w:after="0"/>
              <w:rPr>
                <w:sz w:val="9"/>
                <w:szCs w:val="9"/>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center"/>
              <w:ind w:right="240"/>
              <w:spacing w:after="0" w:line="105" w:lineRule="exact"/>
              <w:rPr>
                <w:sz w:val="20"/>
                <w:szCs w:val="20"/>
                <w:color w:val="auto"/>
              </w:rPr>
            </w:pPr>
            <w:r>
              <w:rPr>
                <w:rFonts w:ascii="Arial" w:cs="Arial" w:eastAsia="Arial" w:hAnsi="Arial"/>
                <w:sz w:val="12"/>
                <w:szCs w:val="12"/>
                <w:b w:val="1"/>
                <w:bCs w:val="1"/>
                <w:color w:val="auto"/>
              </w:rPr>
              <w:t>Paid-In</w:t>
            </w:r>
          </w:p>
        </w:tc>
        <w:tc>
          <w:tcPr>
            <w:tcW w:w="1120" w:type="dxa"/>
            <w:vAlign w:val="bottom"/>
            <w:gridSpan w:val="3"/>
          </w:tcPr>
          <w:p>
            <w:pPr>
              <w:jc w:val="center"/>
              <w:ind w:right="100"/>
              <w:spacing w:after="0" w:line="105" w:lineRule="exact"/>
              <w:rPr>
                <w:sz w:val="20"/>
                <w:szCs w:val="20"/>
                <w:color w:val="auto"/>
              </w:rPr>
            </w:pPr>
            <w:r>
              <w:rPr>
                <w:rFonts w:ascii="Arial" w:cs="Arial" w:eastAsia="Arial" w:hAnsi="Arial"/>
                <w:sz w:val="12"/>
                <w:szCs w:val="12"/>
                <w:b w:val="1"/>
                <w:bCs w:val="1"/>
                <w:color w:val="auto"/>
              </w:rPr>
              <w:t>Comprehensive</w:t>
            </w:r>
          </w:p>
        </w:tc>
        <w:tc>
          <w:tcPr>
            <w:tcW w:w="180" w:type="dxa"/>
            <w:vAlign w:val="bottom"/>
          </w:tcPr>
          <w:p>
            <w:pPr>
              <w:spacing w:after="0"/>
              <w:rPr>
                <w:sz w:val="9"/>
                <w:szCs w:val="9"/>
                <w:color w:val="auto"/>
              </w:rPr>
            </w:pPr>
          </w:p>
        </w:tc>
        <w:tc>
          <w:tcPr>
            <w:tcW w:w="940" w:type="dxa"/>
            <w:vAlign w:val="bottom"/>
            <w:gridSpan w:val="2"/>
          </w:tcPr>
          <w:p>
            <w:pPr>
              <w:jc w:val="center"/>
              <w:ind w:right="280"/>
              <w:spacing w:after="0" w:line="105" w:lineRule="exact"/>
              <w:rPr>
                <w:sz w:val="20"/>
                <w:szCs w:val="20"/>
                <w:color w:val="auto"/>
              </w:rPr>
            </w:pPr>
            <w:r>
              <w:rPr>
                <w:rFonts w:ascii="Arial" w:cs="Arial" w:eastAsia="Arial" w:hAnsi="Arial"/>
                <w:sz w:val="12"/>
                <w:szCs w:val="12"/>
                <w:b w:val="1"/>
                <w:bCs w:val="1"/>
                <w:color w:val="auto"/>
              </w:rPr>
              <w:t>Earnings</w:t>
            </w:r>
          </w:p>
        </w:tc>
        <w:tc>
          <w:tcPr>
            <w:tcW w:w="1020" w:type="dxa"/>
            <w:vAlign w:val="bottom"/>
            <w:gridSpan w:val="2"/>
          </w:tcPr>
          <w:p>
            <w:pPr>
              <w:jc w:val="center"/>
              <w:spacing w:after="0" w:line="105"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0"/>
        </w:trPr>
        <w:tc>
          <w:tcPr>
            <w:tcW w:w="516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8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Income (Loss)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07"/>
              <w:spacing w:after="0"/>
              <w:rPr>
                <w:sz w:val="20"/>
                <w:szCs w:val="20"/>
                <w:color w:val="auto"/>
              </w:rPr>
            </w:pPr>
            <w:r>
              <w:rPr>
                <w:rFonts w:ascii="Arial" w:cs="Arial" w:eastAsia="Arial" w:hAnsi="Arial"/>
                <w:sz w:val="13"/>
                <w:szCs w:val="13"/>
                <w:b w:val="1"/>
                <w:bCs w:val="1"/>
                <w:color w:val="auto"/>
                <w:w w:val="97"/>
              </w:rPr>
              <w:t>(deficit)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5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5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Balances at December 31, 2018</w:t>
            </w: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39,015,034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39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330,572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27,964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357,989</w:t>
            </w:r>
          </w:p>
        </w:tc>
        <w:tc>
          <w:tcPr>
            <w:tcW w:w="0" w:type="dxa"/>
            <w:vAlign w:val="bottom"/>
          </w:tcPr>
          <w:p>
            <w:pPr>
              <w:spacing w:after="0"/>
              <w:rPr>
                <w:sz w:val="1"/>
                <w:szCs w:val="1"/>
                <w:color w:val="auto"/>
              </w:rPr>
            </w:pPr>
          </w:p>
        </w:tc>
      </w:tr>
      <w:tr>
        <w:trPr>
          <w:trHeight w:val="192"/>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4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13,266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13,266</w:t>
            </w:r>
          </w:p>
        </w:tc>
        <w:tc>
          <w:tcPr>
            <w:tcW w:w="0" w:type="dxa"/>
            <w:vAlign w:val="bottom"/>
          </w:tcPr>
          <w:p>
            <w:pPr>
              <w:spacing w:after="0"/>
              <w:rPr>
                <w:sz w:val="1"/>
                <w:szCs w:val="1"/>
                <w:color w:val="auto"/>
              </w:rPr>
            </w:pPr>
          </w:p>
        </w:tc>
      </w:tr>
      <w:tr>
        <w:trPr>
          <w:trHeight w:val="62"/>
        </w:trPr>
        <w:tc>
          <w:tcPr>
            <w:tcW w:w="516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160" w:type="dxa"/>
            <w:vAlign w:val="bottom"/>
          </w:tcPr>
          <w:p>
            <w:pPr>
              <w:ind w:left="280"/>
              <w:spacing w:after="0"/>
              <w:rPr>
                <w:sz w:val="20"/>
                <w:szCs w:val="20"/>
                <w:color w:val="auto"/>
              </w:rPr>
            </w:pPr>
            <w:r>
              <w:rPr>
                <w:rFonts w:ascii="Arial" w:cs="Arial" w:eastAsia="Arial" w:hAnsi="Arial"/>
                <w:sz w:val="14"/>
                <w:szCs w:val="14"/>
                <w:color w:val="auto"/>
              </w:rPr>
              <w:t>Other comprehensive income, net of tax</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340" w:type="dxa"/>
            <w:vAlign w:val="bottom"/>
            <w:vMerge w:val="restart"/>
          </w:tcPr>
          <w:p>
            <w:pPr>
              <w:jc w:val="right"/>
              <w:ind w:right="4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vMerge w:val="restart"/>
          </w:tcPr>
          <w:p>
            <w:pPr>
              <w:jc w:val="right"/>
              <w:ind w:right="24"/>
              <w:spacing w:after="0"/>
              <w:rPr>
                <w:sz w:val="20"/>
                <w:szCs w:val="20"/>
                <w:color w:val="auto"/>
              </w:rPr>
            </w:pPr>
            <w:r>
              <w:rPr>
                <w:rFonts w:ascii="Arial" w:cs="Arial" w:eastAsia="Arial" w:hAnsi="Arial"/>
                <w:sz w:val="14"/>
                <w:szCs w:val="14"/>
                <w:color w:val="auto"/>
              </w:rPr>
              <w:t>896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58"/>
        </w:trPr>
        <w:tc>
          <w:tcPr>
            <w:tcW w:w="5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upon exercise of stock options</w:t>
            </w:r>
          </w:p>
        </w:tc>
        <w:tc>
          <w:tcPr>
            <w:tcW w:w="1040" w:type="dxa"/>
            <w:vAlign w:val="bottom"/>
            <w:vMerge w:val="restart"/>
            <w:shd w:val="clear" w:color="auto" w:fill="CCEEFF"/>
          </w:tcPr>
          <w:p>
            <w:pPr>
              <w:jc w:val="right"/>
              <w:ind w:right="46"/>
              <w:spacing w:after="0"/>
              <w:rPr>
                <w:sz w:val="20"/>
                <w:szCs w:val="20"/>
                <w:color w:val="auto"/>
              </w:rPr>
            </w:pPr>
            <w:r>
              <w:rPr>
                <w:rFonts w:ascii="Arial" w:cs="Arial" w:eastAsia="Arial" w:hAnsi="Arial"/>
                <w:sz w:val="14"/>
                <w:szCs w:val="14"/>
                <w:color w:val="auto"/>
              </w:rPr>
              <w:t>152,164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4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4,047</w:t>
            </w:r>
          </w:p>
        </w:tc>
        <w:tc>
          <w:tcPr>
            <w:tcW w:w="0" w:type="dxa"/>
            <w:vAlign w:val="bottom"/>
          </w:tcPr>
          <w:p>
            <w:pPr>
              <w:spacing w:after="0"/>
              <w:rPr>
                <w:sz w:val="1"/>
                <w:szCs w:val="1"/>
                <w:color w:val="auto"/>
              </w:rPr>
            </w:pPr>
          </w:p>
        </w:tc>
      </w:tr>
      <w:tr>
        <w:trPr>
          <w:trHeight w:val="62"/>
        </w:trPr>
        <w:tc>
          <w:tcPr>
            <w:tcW w:w="516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160" w:type="dxa"/>
            <w:vAlign w:val="bottom"/>
          </w:tcPr>
          <w:p>
            <w:pPr>
              <w:ind w:left="280"/>
              <w:spacing w:after="0"/>
              <w:rPr>
                <w:sz w:val="20"/>
                <w:szCs w:val="20"/>
                <w:color w:val="auto"/>
              </w:rPr>
            </w:pPr>
            <w:r>
              <w:rPr>
                <w:rFonts w:ascii="Arial" w:cs="Arial" w:eastAsia="Arial" w:hAnsi="Arial"/>
                <w:sz w:val="14"/>
                <w:szCs w:val="14"/>
                <w:color w:val="auto"/>
              </w:rPr>
              <w:t>Repurchase of common stock</w:t>
            </w:r>
          </w:p>
        </w:tc>
        <w:tc>
          <w:tcPr>
            <w:tcW w:w="1040" w:type="dxa"/>
            <w:vAlign w:val="bottom"/>
            <w:vMerge w:val="restart"/>
          </w:tcPr>
          <w:p>
            <w:pPr>
              <w:jc w:val="right"/>
              <w:ind w:right="6"/>
              <w:spacing w:after="0"/>
              <w:rPr>
                <w:sz w:val="20"/>
                <w:szCs w:val="20"/>
                <w:color w:val="auto"/>
              </w:rPr>
            </w:pPr>
            <w:r>
              <w:rPr>
                <w:rFonts w:ascii="Arial" w:cs="Arial" w:eastAsia="Arial" w:hAnsi="Arial"/>
                <w:sz w:val="14"/>
                <w:szCs w:val="14"/>
                <w:color w:val="auto"/>
              </w:rPr>
              <w:t>(94,090)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vMerge w:val="restart"/>
          </w:tcPr>
          <w:p>
            <w:pPr>
              <w:jc w:val="right"/>
              <w:ind w:right="4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(6,742)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(7,871)</w:t>
            </w:r>
          </w:p>
        </w:tc>
        <w:tc>
          <w:tcPr>
            <w:tcW w:w="0" w:type="dxa"/>
            <w:vAlign w:val="bottom"/>
          </w:tcPr>
          <w:p>
            <w:pPr>
              <w:spacing w:after="0"/>
              <w:rPr>
                <w:sz w:val="1"/>
                <w:szCs w:val="1"/>
                <w:color w:val="auto"/>
              </w:rPr>
            </w:pPr>
          </w:p>
        </w:tc>
      </w:tr>
      <w:tr>
        <w:trPr>
          <w:trHeight w:val="58"/>
        </w:trPr>
        <w:tc>
          <w:tcPr>
            <w:tcW w:w="5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upon vesting of restricted stock units</w:t>
            </w:r>
          </w:p>
        </w:tc>
        <w:tc>
          <w:tcPr>
            <w:tcW w:w="1040" w:type="dxa"/>
            <w:vAlign w:val="bottom"/>
            <w:vMerge w:val="restart"/>
            <w:shd w:val="clear" w:color="auto" w:fill="CCEEFF"/>
          </w:tcPr>
          <w:p>
            <w:pPr>
              <w:jc w:val="right"/>
              <w:ind w:right="46"/>
              <w:spacing w:after="0"/>
              <w:rPr>
                <w:sz w:val="20"/>
                <w:szCs w:val="20"/>
                <w:color w:val="auto"/>
              </w:rPr>
            </w:pPr>
            <w:r>
              <w:rPr>
                <w:rFonts w:ascii="Arial" w:cs="Arial" w:eastAsia="Arial" w:hAnsi="Arial"/>
                <w:sz w:val="14"/>
                <w:szCs w:val="14"/>
                <w:color w:val="auto"/>
              </w:rPr>
              <w:t>99,601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4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516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160" w:type="dxa"/>
            <w:vAlign w:val="bottom"/>
          </w:tcPr>
          <w:p>
            <w:pPr>
              <w:ind w:left="280"/>
              <w:spacing w:after="0"/>
              <w:rPr>
                <w:sz w:val="20"/>
                <w:szCs w:val="20"/>
                <w:color w:val="auto"/>
              </w:rPr>
            </w:pPr>
            <w:r>
              <w:rPr>
                <w:rFonts w:ascii="Arial" w:cs="Arial" w:eastAsia="Arial" w:hAnsi="Arial"/>
                <w:sz w:val="14"/>
                <w:szCs w:val="14"/>
                <w:color w:val="auto"/>
              </w:rPr>
              <w:t>Taxes related to net share settlement of equity awards</w:t>
            </w:r>
          </w:p>
        </w:tc>
        <w:tc>
          <w:tcPr>
            <w:tcW w:w="1040" w:type="dxa"/>
            <w:vAlign w:val="bottom"/>
            <w:vMerge w:val="restart"/>
          </w:tcPr>
          <w:p>
            <w:pPr>
              <w:jc w:val="right"/>
              <w:ind w:right="6"/>
              <w:spacing w:after="0"/>
              <w:rPr>
                <w:sz w:val="20"/>
                <w:szCs w:val="20"/>
                <w:color w:val="auto"/>
              </w:rPr>
            </w:pPr>
            <w:r>
              <w:rPr>
                <w:rFonts w:ascii="Arial" w:cs="Arial" w:eastAsia="Arial" w:hAnsi="Arial"/>
                <w:sz w:val="14"/>
                <w:szCs w:val="14"/>
                <w:color w:val="auto"/>
              </w:rPr>
              <w:t>(38,877)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vMerge w:val="restart"/>
          </w:tcPr>
          <w:p>
            <w:pPr>
              <w:jc w:val="right"/>
              <w:ind w:right="4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(3,367)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(3,367)</w:t>
            </w:r>
          </w:p>
        </w:tc>
        <w:tc>
          <w:tcPr>
            <w:tcW w:w="0" w:type="dxa"/>
            <w:vAlign w:val="bottom"/>
          </w:tcPr>
          <w:p>
            <w:pPr>
              <w:spacing w:after="0"/>
              <w:rPr>
                <w:sz w:val="1"/>
                <w:szCs w:val="1"/>
                <w:color w:val="auto"/>
              </w:rPr>
            </w:pPr>
          </w:p>
        </w:tc>
      </w:tr>
      <w:tr>
        <w:trPr>
          <w:trHeight w:val="58"/>
        </w:trPr>
        <w:tc>
          <w:tcPr>
            <w:tcW w:w="5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4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8,443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8,443</w:t>
            </w:r>
          </w:p>
        </w:tc>
        <w:tc>
          <w:tcPr>
            <w:tcW w:w="0" w:type="dxa"/>
            <w:vAlign w:val="bottom"/>
          </w:tcPr>
          <w:p>
            <w:pPr>
              <w:spacing w:after="0"/>
              <w:rPr>
                <w:sz w:val="1"/>
                <w:szCs w:val="1"/>
                <w:color w:val="auto"/>
              </w:rPr>
            </w:pPr>
          </w:p>
        </w:tc>
      </w:tr>
      <w:tr>
        <w:trPr>
          <w:trHeight w:val="62"/>
        </w:trPr>
        <w:tc>
          <w:tcPr>
            <w:tcW w:w="516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Balances at March 31, 2019</w:t>
            </w:r>
          </w:p>
        </w:tc>
        <w:tc>
          <w:tcPr>
            <w:tcW w:w="104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4"/>
                <w:szCs w:val="14"/>
                <w:color w:val="auto"/>
              </w:rPr>
              <w:t>39,133,832</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4"/>
                <w:szCs w:val="14"/>
                <w:color w:val="auto"/>
              </w:rPr>
              <w:t>39</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338,566</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4"/>
                <w:szCs w:val="14"/>
                <w:color w:val="auto"/>
              </w:rPr>
              <w:t>310</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4"/>
                <w:szCs w:val="14"/>
                <w:color w:val="auto"/>
              </w:rPr>
              <w:t>34,488</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373,403</w:t>
            </w: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33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Qualys, Inc. (the “Company”, "we", "us", "our") was incorporated in the state of Delaware on December 30, 1999. The Company is headquartered in Foster City, California and has wholly-owned subsidiaries throughout the world. The Company is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The accompanying unaudited condensed consolidated financial statements and condensed footnotes have been prepared in accordance with accounting principles generally accepted in the United States ("U.S. GAAP") for interim financial information as well as the instructions to Form 10-Q and the rules and regulations of the U.S. Securities and Exchange Commission ("SEC"). Certain information and disclosures normally included in the financial statements prepared in accordance with U.S. GAAP have been condensed or omitted pursuant to such rules and regulations. The condensed consolidated balance sheet as of </w:t>
      </w:r>
      <w:r>
        <w:rPr>
          <w:rFonts w:ascii="Arial" w:cs="Arial" w:eastAsia="Arial" w:hAnsi="Arial"/>
          <w:sz w:val="18"/>
          <w:szCs w:val="18"/>
          <w:color w:val="000000"/>
        </w:rPr>
        <w:t>December 31, 2018</w:t>
      </w:r>
      <w:r>
        <w:rPr>
          <w:rFonts w:ascii="Arial" w:cs="Arial" w:eastAsia="Arial" w:hAnsi="Arial"/>
          <w:sz w:val="18"/>
          <w:szCs w:val="18"/>
          <w:color w:val="231F20"/>
        </w:rPr>
        <w:t xml:space="preserve">,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month period ended March 31, 2019 are not necessarily indicative of the results of operations expected for the entire year ending December 31, 2019 or for any other future annual or interim periods. These condensed consolidated financial statements should be read in conjunction with the consolidated financial statements and related notes included in the Company’s Annual Report on Form 10-K for the year ended </w:t>
      </w:r>
      <w:r>
        <w:rPr>
          <w:rFonts w:ascii="Arial" w:cs="Arial" w:eastAsia="Arial" w:hAnsi="Arial"/>
          <w:sz w:val="18"/>
          <w:szCs w:val="18"/>
          <w:color w:val="000000"/>
        </w:rPr>
        <w:t>December 31, 2018</w:t>
      </w:r>
      <w:r>
        <w:rPr>
          <w:rFonts w:ascii="Arial" w:cs="Arial" w:eastAsia="Arial" w:hAnsi="Arial"/>
          <w:sz w:val="18"/>
          <w:szCs w:val="18"/>
          <w:color w:val="231F20"/>
        </w:rPr>
        <w:t>, filed with the SEC on February 27,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management to make certain estimates and assumptions that affect the reported amounts of assets and liabilities and disclosure of assets and liabilities at the date of the condensed consolidated financial statements and the reported results of operations during the reporting period. The Company’s management regularly assesses these estimates, which primarily affect revenue recognition, the valuation of accounts receivable, goodwill and intangible assets, capitalization of internally developed software, stock-based compensation and the provision for income taxes. Actual results could differ from those estimates and such differences may be material to the accompanying unaudited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Derivative financial instruments are utilized by the Company to reduce foreign currency exchange risks. The Company uses foreign currency forward contracts to mitigate the impact of foreign currency fluctuations of certain non-U.S. Dollar denominated asset positions, to date primarily cash and accounts receivable (non-designated), as well as to manage foreign currency fluctuation risk related to forecasted transactions (designated). The Company accounts for these instruments as either non-designated or cash flow hedges, respectively. Open contracts are recorded within prepaid expenses and other current assets or accrued liabilities in the consolidated balance sheets. Gains and losses resulting from currency exchange rate movements on non-designated forward contracts are recognized in other income (expense). Any gains or losses from derivatives designated as cash flow hedges are first accumulated in other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(AOCI) and then reclassified to revenue when the hedged item impacts the consolidated financial statements.</w:t>
      </w:r>
    </w:p>
    <w:p>
      <w:pPr>
        <w:spacing w:after="0" w:line="225"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The cash flow effects of the Company's derivative contracts for the three months ended March 31, 2019 were included within net cash provided by operating activities on its condensed consolidated statements of cash flows. The Company had notional amounts on foreign currency exchange contracts designated as cash flow hedges outstanding of €17.7 million and £8.0 million as of March 31, 2019. The unrealized foreign exchange losses on these contracts were recorded in AOCI and are insignificant. The Company has no hedges designated as cash flow hedges in the prior year's quarter ending March 31,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recognizes the fair value of its employee stock options and restricted stock units (RSUs) over the requisite service period for those awards ultimately expected to vest. The fair value of each option is estimated on date of grant using the Black-Scholes-Merton option pricing model and the fair value of each restricted stock unit is based on the fair value of the Company's stock on the date of grant. Forfeitures are estimated on the date of grant and revised if actual or expected forfeiture activity differs materially from original estimates.</w:t>
      </w:r>
    </w:p>
    <w:p>
      <w:pPr>
        <w:spacing w:after="0" w:line="17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Option grants to non-employees are accounted for at the fair value of the equity instrument issued, as calculated using the Black-Scholes-Merton option-pricing model and the expense is recognized over the vesting periods of the options. The value of options granted to non-employees is re-measured as they vest over a performance period.</w:t>
      </w:r>
    </w:p>
    <w:p>
      <w:pPr>
        <w:spacing w:after="0" w:line="16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The Company has performance-based awards and accounts for these awards as share-based compensation with multiple performance conditions. The Company assesses these conditions on a quarterly basis and for the three months ended March 31, 2019, the Company recorded approximately $0.3 million of stock-based compensation cost for these awards.</w:t>
      </w:r>
    </w:p>
    <w:p>
      <w:pPr>
        <w:spacing w:after="0" w:line="163"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For performance-based vesting RSUs, the Company records compensation expense for only the performance milestones that are probable of being achieved, with such expense recorded on a straight-line basis over the expected vesting period. The Company reassesses performance-based estimates each reporting period and, if the estimated service period changes, the Company recognizes all remaining compensation expense over the remaining service period and, if the probability of achievement changes to or from “probable,” the Company recognizes the cumulative effect.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Internally Developed Software Costs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Company capitalizes certain costs incurred to develop new internal-use software. Capitalized costs include salaries, benefits, and stock-based compensation charges for employees that are directly involved in developing its cloud security platform during the application development stage. These capitalized costs are included in other noncurrent assets on the accompanying condensed consolidated balance sheets. Such costs are amortized on a straight-line basis over its estimated useful life of three years. Amortization of internally developed software is recorded to cost of revenues. Capitalization of internally developed software cost was $0.2 million for the three months ended March 31, 2019. </w:t>
      </w:r>
      <w:r>
        <w:rPr>
          <w:rFonts w:ascii="Arial" w:cs="Arial" w:eastAsia="Arial" w:hAnsi="Arial"/>
          <w:sz w:val="18"/>
          <w:szCs w:val="18"/>
          <w:color w:val="231F20"/>
        </w:rPr>
        <w:t>Unamortized cost for</w:t>
      </w:r>
      <w:r>
        <w:rPr>
          <w:rFonts w:ascii="Arial" w:cs="Arial" w:eastAsia="Arial" w:hAnsi="Arial"/>
          <w:sz w:val="18"/>
          <w:szCs w:val="18"/>
          <w:color w:val="auto"/>
        </w:rPr>
        <w:t xml:space="preserve"> capitalized internally developed software was $1.4 million at March 31, 2019 and $1.2 million at December 31, 2018. Amortization expense for capitalized internally developed software was insignificant for the three months ended March 31, 2019</w:t>
      </w:r>
      <w:r>
        <w:rPr>
          <w:rFonts w:ascii="Arial" w:cs="Arial" w:eastAsia="Arial" w:hAnsi="Arial"/>
          <w:sz w:val="18"/>
          <w:szCs w:val="18"/>
          <w:color w:val="231F20"/>
        </w:rPr>
        <w:t>.</w:t>
      </w:r>
      <w:r>
        <w:rPr>
          <w:rFonts w:ascii="Arial" w:cs="Arial" w:eastAsia="Arial" w:hAnsi="Arial"/>
          <w:sz w:val="18"/>
          <w:szCs w:val="18"/>
          <w:color w:val="auto"/>
        </w:rPr>
        <w:t xml:space="preserve"> Management evaluates the useful lives of these assets on an annual basis and tests for impairment whenever events or changes in circumstances occur that could impact the recoverability of these assets.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Cost Method Investments</w:t>
      </w:r>
    </w:p>
    <w:p>
      <w:pPr>
        <w:spacing w:after="0" w:line="117"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 xml:space="preserve">In the second quarter of fiscal 2018, the Company invested </w:t>
      </w:r>
      <w:r>
        <w:rPr>
          <w:rFonts w:ascii="Arial" w:cs="Arial" w:eastAsia="Arial" w:hAnsi="Arial"/>
          <w:sz w:val="18"/>
          <w:szCs w:val="18"/>
          <w:color w:val="231F20"/>
        </w:rPr>
        <w:t>$2.5 million</w:t>
      </w:r>
      <w:r>
        <w:rPr>
          <w:rFonts w:ascii="Arial" w:cs="Arial" w:eastAsia="Arial" w:hAnsi="Arial"/>
          <w:sz w:val="18"/>
          <w:szCs w:val="18"/>
          <w:color w:val="auto"/>
        </w:rPr>
        <w:t xml:space="preserve"> in a privately-held company. The Company used the cost method of accounting to account for the investment because the Company does not hold a controlling interest in this entity and does not have the ability to exercise significant influence over the entity's operating and financial policies. The investment is included in long term assets on the accompanying condensed consolidated balance sheets. The Company's cost method investment is assessed for impairment when events or changes in circumstances indicate that the carrying amount may not be recoverable. The Company has not recorded any dividends or other-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2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than-temporary impairment charges related to its cost method investment. The fair value of the investment is not readily available, and there are no quoted market prices for the investment.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Recently Adopted Accounting Pronouncements</w:t>
      </w:r>
    </w:p>
    <w:p>
      <w:pPr>
        <w:spacing w:after="0" w:line="2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In February 2016, the FASB issued ASU 2016-02, Leases (Topic 842), which requires lessees to recognize all leases, including operating leases, on the balance sheet as a lease asset and lease liability, unless the lease is a short-term lease. ASU 2016-02 also requires additional disclosures regarding leasing arrangements. ASU 2016-02 is effective for the Company beginning in the first quarter of fiscal 2019 and early adoption is permitted. In July 2018, the FASB issued ASU 2018-11, Targeted Improvements - Leases (Topic 842). This update provides an optional transition method that allows entities to elect to apply the standard prospectively at its effective date, versus recasting the prior periods presented. If elected, an entity would recognize a cumulative-effect adjustment to the opening balance of retained earnings in the period of adoption. Pursuant to the leasing criteria, most of the Company's leased space and equipment leases will be required to be accounted for as right-of-use assets on the balance sheet with offsetting financing obligations. In the statement of operations, what was formerly rent expense for operating leases will be lease expense; and finance leases will be bifurcated into amortization of right-of-use assets and interest on lease liabilities. The Company adopted the ASU utilizing the current period adjustment method on January 1, 2019, and recognized an ROU asset of $30.8 million and a lease liability of $41.6 million on its condensed consolidated financial statements. As of December 31, 2018, $3.9 million of deferred rent and $6.9 million related to tenant improvement allowance was removed upon adoption. </w:t>
      </w:r>
      <w:r>
        <w:rPr>
          <w:rFonts w:ascii="Arial" w:cs="Arial" w:eastAsia="Arial" w:hAnsi="Arial"/>
          <w:sz w:val="18"/>
          <w:szCs w:val="18"/>
          <w:color w:val="000000"/>
        </w:rPr>
        <w:t>As part of this adoption, the Company</w:t>
      </w:r>
      <w:r>
        <w:rPr>
          <w:rFonts w:ascii="Arial" w:cs="Arial" w:eastAsia="Arial" w:hAnsi="Arial"/>
          <w:sz w:val="18"/>
          <w:szCs w:val="18"/>
          <w:color w:val="231F20"/>
        </w:rPr>
        <w:t xml:space="preserve"> </w:t>
      </w:r>
      <w:r>
        <w:rPr>
          <w:rFonts w:ascii="Arial" w:cs="Arial" w:eastAsia="Arial" w:hAnsi="Arial"/>
          <w:sz w:val="18"/>
          <w:szCs w:val="18"/>
          <w:color w:val="000000"/>
        </w:rPr>
        <w:t>elected the package of transitional practical expedients to not reassess (1) whether any contracts that existed prior to adoption have or contain leases, (2) the classification of existing leases or (3) initial direct costs for existing leases.</w:t>
      </w:r>
    </w:p>
    <w:p>
      <w:pPr>
        <w:spacing w:after="0" w:line="105"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In February 2018, the FASB issued ASU 2018-02, Income Statement—Reporting Comprehensive Income (Topic 220): Reclassification of Certain Tax Effects from Accumulated Other Comprehensive Income (AOCI). This ASU eliminates the stranded tax effects in other comprehensive income resulting from the Tax Cuts and Jobs Act (the "2017 Tax Act”). Because the amendments only relate to the reclassification of the income tax effects of the 2017 Tax Act, the underlying guidance that requires that the effect of a change in tax laws or rates be included in income from continuing operations is not affected. The Company adopted ASU 2018-02 in the fourth quarter of 2018. The adoption of this ASU did not have an impact on the Company's condensed consolidated financial statements.</w:t>
      </w:r>
    </w:p>
    <w:p>
      <w:pPr>
        <w:spacing w:after="0" w:line="9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In June 2018, the FASB issued ASU 2018-07, Compensation - Stock Compensation (Topic 718)</w:t>
      </w:r>
      <w:r>
        <w:rPr>
          <w:rFonts w:ascii="Arial" w:cs="Arial" w:eastAsia="Arial" w:hAnsi="Arial"/>
          <w:sz w:val="18"/>
          <w:szCs w:val="18"/>
          <w:color w:val="000000"/>
        </w:rPr>
        <w:t>: Improvements</w:t>
      </w:r>
      <w:r>
        <w:rPr>
          <w:rFonts w:ascii="Arial" w:cs="Arial" w:eastAsia="Arial" w:hAnsi="Arial"/>
          <w:sz w:val="18"/>
          <w:szCs w:val="18"/>
          <w:color w:val="231F20"/>
        </w:rPr>
        <w:t xml:space="preserve"> to Nonemployee Share-Based Payment Accounting. This ASU expands the scope of Topic 718 to include share-based payment transactions for acquiring goods and services from nonemployees. The Company adopted this guidance during the three months ended March 31, 2019. The adoption of this ASU did not have a material impact on the Company's condensed consolidated financial statements.</w:t>
      </w:r>
    </w:p>
    <w:p>
      <w:pPr>
        <w:spacing w:after="0" w:line="89"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In January 2017, the FASB issued ASU 2017-04, Simplifying the Test for Goodwill Impairment (Topic 350). This standard eliminates Step 2 from the goodwill impairment test, instead requiring an entity to recognize a goodwill impairment charge for the amount by which the goodwill carrying amount exceeds the reporting unit’s fair value. This ASU is effective for interim and annual goodwill impairment tests in fiscal years beginning after December 15, 2019 with early adoption permitted. This ASU must be applied on a prospective basis. The Company has adopted this ASU during the three months ended March 31, 2019 and the adoption did not have a material impact on the Company's condensed consolidated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Recently Issued Accounting Pronouncements Not Yet Adopted</w:t>
      </w:r>
    </w:p>
    <w:p>
      <w:pPr>
        <w:spacing w:after="0" w:line="225"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In August 2018, the FASB issued ASU 2018-15, Intangibles - Goodwill and Other - Internal-Use Software (Subtopic 350-40)</w:t>
      </w:r>
      <w:r>
        <w:rPr>
          <w:rFonts w:ascii="Arial" w:cs="Arial" w:eastAsia="Arial" w:hAnsi="Arial"/>
          <w:sz w:val="18"/>
          <w:szCs w:val="18"/>
          <w:color w:val="000000"/>
        </w:rPr>
        <w:t>: Customer's</w:t>
      </w:r>
      <w:r>
        <w:rPr>
          <w:rFonts w:ascii="Arial" w:cs="Arial" w:eastAsia="Arial" w:hAnsi="Arial"/>
          <w:sz w:val="18"/>
          <w:szCs w:val="18"/>
          <w:color w:val="231F20"/>
        </w:rPr>
        <w:t xml:space="preserve"> </w:t>
      </w:r>
      <w:r>
        <w:rPr>
          <w:rFonts w:ascii="Arial" w:cs="Arial" w:eastAsia="Arial" w:hAnsi="Arial"/>
          <w:sz w:val="18"/>
          <w:szCs w:val="18"/>
          <w:color w:val="000000"/>
        </w:rPr>
        <w:t>Accounting for Implementation Costs Incurred in a Cloud Computing Arrangement That Is a Service Contract</w:t>
      </w:r>
      <w:r>
        <w:rPr>
          <w:rFonts w:ascii="Arial" w:cs="Arial" w:eastAsia="Arial" w:hAnsi="Arial"/>
          <w:sz w:val="18"/>
          <w:szCs w:val="18"/>
          <w:color w:val="231F20"/>
        </w:rPr>
        <w:t>. This ASU aligns the</w:t>
      </w:r>
      <w:r>
        <w:rPr>
          <w:rFonts w:ascii="Arial" w:cs="Arial" w:eastAsia="Arial" w:hAnsi="Arial"/>
          <w:sz w:val="18"/>
          <w:szCs w:val="18"/>
          <w:color w:val="000000"/>
        </w:rPr>
        <w:t xml:space="preserve"> </w:t>
      </w:r>
      <w:r>
        <w:rPr>
          <w:rFonts w:ascii="Arial" w:cs="Arial" w:eastAsia="Arial" w:hAnsi="Arial"/>
          <w:sz w:val="18"/>
          <w:szCs w:val="18"/>
          <w:color w:val="231F20"/>
        </w:rPr>
        <w:t>requirements for capitalizing implementation costs incurred in a hosting arrangement that is a service contract with the requirements for capitalizing implementation costs related to internal-use software. ASU 2018-15 is effective for the Company beginning in the first quarter of fiscal 2020 and early adoption is permitted. The Company is currently evaluating the impact of this ASU on its condensed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values due to the relatively short maturity of these balances.</w:t>
      </w:r>
    </w:p>
    <w:p>
      <w:pPr>
        <w:spacing w:after="0" w:line="170"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231F20"/>
        </w:rPr>
        <w:t>The Company measures and reports certain cash equivalents, marketable securities, derivative foreign currency forward contracts and commitments associated with prior business combinations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63"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4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fixed-income U.S. government agency securities, commercial paper, corporate bonds, asset-backed securities and derivative</w:t>
      </w:r>
      <w:r>
        <w:rPr>
          <w:rFonts w:ascii="Arial" w:cs="Arial" w:eastAsia="Arial" w:hAnsi="Arial"/>
          <w:sz w:val="18"/>
          <w:szCs w:val="18"/>
          <w:color w:val="231F20"/>
        </w:rPr>
        <w:t xml:space="preserve"> </w:t>
      </w:r>
      <w:r>
        <w:rPr>
          <w:rFonts w:ascii="Arial" w:cs="Arial" w:eastAsia="Arial" w:hAnsi="Arial"/>
          <w:sz w:val="18"/>
          <w:szCs w:val="18"/>
          <w:color w:val="000000"/>
        </w:rPr>
        <w:t xml:space="preserve">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w:t>
      </w:r>
      <w:r>
        <w:rPr>
          <w:rFonts w:ascii="Arial" w:cs="Arial" w:eastAsia="Arial" w:hAnsi="Arial"/>
          <w:sz w:val="18"/>
          <w:szCs w:val="18"/>
          <w:color w:val="000000"/>
        </w:rPr>
        <w:t xml:space="preserve"> </w:t>
      </w:r>
      <w:r>
        <w:rPr>
          <w:rFonts w:ascii="Arial" w:cs="Arial" w:eastAsia="Arial" w:hAnsi="Arial"/>
          <w:sz w:val="18"/>
          <w:szCs w:val="18"/>
          <w:color w:val="231F20"/>
        </w:rPr>
        <w:t>valued usi</w:t>
      </w:r>
      <w:r>
        <w:rPr>
          <w:rFonts w:ascii="Arial" w:cs="Arial" w:eastAsia="Arial" w:hAnsi="Arial"/>
          <w:sz w:val="18"/>
          <w:szCs w:val="18"/>
          <w:color w:val="000000"/>
        </w:rPr>
        <w:t>ng observable inputs, such as quotations on forward foreign exchange points and foreign interest rates. The estimated fair value of</w:t>
      </w:r>
      <w:r>
        <w:rPr>
          <w:rFonts w:ascii="Arial" w:cs="Arial" w:eastAsia="Arial" w:hAnsi="Arial"/>
          <w:sz w:val="18"/>
          <w:szCs w:val="18"/>
          <w:color w:val="231F20"/>
        </w:rPr>
        <w:t xml:space="preserve"> </w:t>
      </w:r>
      <w:r>
        <w:rPr>
          <w:rFonts w:ascii="Arial" w:cs="Arial" w:eastAsia="Arial" w:hAnsi="Arial"/>
          <w:sz w:val="18"/>
          <w:szCs w:val="18"/>
          <w:color w:val="000000"/>
        </w:rPr>
        <w:t>commitments from prior acquisitions are determined based on management’s estimate of fair value using a Monte Carlo simulation model, which uses Level 3 inputs for fair value measurements. During the quarter ended March 31, 2019, management estimated the fair value of such commitments to be zero.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and marketable securities consist of the following:</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ind w:left="480"/>
              <w:spacing w:after="0"/>
              <w:rPr>
                <w:sz w:val="20"/>
                <w:szCs w:val="20"/>
                <w:color w:val="auto"/>
              </w:rPr>
            </w:pPr>
            <w:r>
              <w:rPr>
                <w:rFonts w:ascii="Arial" w:cs="Arial" w:eastAsia="Arial" w:hAnsi="Arial"/>
                <w:sz w:val="16"/>
                <w:szCs w:val="16"/>
                <w:b w:val="1"/>
                <w:bCs w:val="1"/>
                <w:color w:val="auto"/>
              </w:rPr>
              <w:t>March 31, 2019</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93"/>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2"/>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5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40" w:type="dxa"/>
            <w:vAlign w:val="bottom"/>
            <w:gridSpan w:val="6"/>
          </w:tcPr>
          <w:p>
            <w:pPr>
              <w:ind w:left="50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2"/>
        </w:trPr>
        <w:tc>
          <w:tcPr>
            <w:tcW w:w="5160" w:type="dxa"/>
            <w:vAlign w:val="bottom"/>
          </w:tcPr>
          <w:p>
            <w:pPr>
              <w:ind w:left="280"/>
              <w:spacing w:after="0"/>
              <w:rPr>
                <w:sz w:val="20"/>
                <w:szCs w:val="20"/>
                <w:color w:val="auto"/>
              </w:rPr>
            </w:pPr>
            <w:r>
              <w:rPr>
                <w:rFonts w:ascii="Arial" w:cs="Arial" w:eastAsia="Arial" w:hAnsi="Arial"/>
                <w:sz w:val="16"/>
                <w:szCs w:val="16"/>
                <w:color w:val="auto"/>
              </w:rPr>
              <w:t>Cash</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93,070</w:t>
            </w:r>
          </w:p>
        </w:tc>
        <w:tc>
          <w:tcPr>
            <w:tcW w:w="120" w:type="dxa"/>
            <w:vAlign w:val="bottom"/>
          </w:tcPr>
          <w:p>
            <w:pPr>
              <w:spacing w:after="0"/>
              <w:rPr>
                <w:sz w:val="22"/>
                <w:szCs w:val="22"/>
                <w:color w:val="auto"/>
              </w:rPr>
            </w:pPr>
          </w:p>
        </w:tc>
        <w:tc>
          <w:tcPr>
            <w:tcW w:w="5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93,070</w:t>
            </w:r>
          </w:p>
        </w:tc>
      </w:tr>
      <w:tr>
        <w:trPr>
          <w:trHeight w:val="271"/>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r>
      <w:tr>
        <w:trPr>
          <w:trHeight w:val="250"/>
        </w:trPr>
        <w:tc>
          <w:tcPr>
            <w:tcW w:w="5160" w:type="dxa"/>
            <w:vAlign w:val="bottom"/>
          </w:tcPr>
          <w:p>
            <w:pPr>
              <w:ind w:left="600"/>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93,127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93,127</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Short-term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2"/>
        </w:trPr>
        <w:tc>
          <w:tcPr>
            <w:tcW w:w="516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38,990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38,913</w:t>
            </w:r>
          </w:p>
        </w:tc>
      </w:tr>
      <w:tr>
        <w:trPr>
          <w:trHeight w:val="27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9,868</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156,216</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156,228</w:t>
            </w:r>
          </w:p>
        </w:tc>
      </w:tr>
      <w:tr>
        <w:trPr>
          <w:trHeight w:val="257"/>
        </w:trPr>
        <w:tc>
          <w:tcPr>
            <w:tcW w:w="51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205,074</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205,009</w:t>
            </w:r>
          </w:p>
        </w:tc>
      </w:tr>
      <w:tr>
        <w:trPr>
          <w:trHeight w:val="256"/>
        </w:trPr>
        <w:tc>
          <w:tcPr>
            <w:tcW w:w="5160" w:type="dxa"/>
            <w:vAlign w:val="bottom"/>
          </w:tcPr>
          <w:p>
            <w:pPr>
              <w:ind w:left="40"/>
              <w:spacing w:after="0"/>
              <w:rPr>
                <w:sz w:val="20"/>
                <w:szCs w:val="20"/>
                <w:color w:val="auto"/>
              </w:rPr>
            </w:pPr>
            <w:r>
              <w:rPr>
                <w:rFonts w:ascii="Arial" w:cs="Arial" w:eastAsia="Arial" w:hAnsi="Arial"/>
                <w:sz w:val="16"/>
                <w:szCs w:val="16"/>
                <w:color w:val="auto"/>
              </w:rPr>
              <w:t xml:space="preserve">Long-term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37,663</w:t>
            </w:r>
          </w:p>
        </w:tc>
      </w:tr>
      <w:tr>
        <w:trPr>
          <w:trHeight w:val="262"/>
        </w:trPr>
        <w:tc>
          <w:tcPr>
            <w:tcW w:w="51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31,212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31,332</w:t>
            </w:r>
          </w:p>
        </w:tc>
      </w:tr>
      <w:tr>
        <w:trPr>
          <w:trHeight w:val="271"/>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27,279</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27,327</w:t>
            </w:r>
          </w:p>
        </w:tc>
      </w:tr>
      <w:tr>
        <w:trPr>
          <w:trHeight w:val="250"/>
        </w:trPr>
        <w:tc>
          <w:tcPr>
            <w:tcW w:w="51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96,079</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304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96,322</w:t>
            </w:r>
          </w:p>
        </w:tc>
      </w:tr>
      <w:tr>
        <w:trPr>
          <w:trHeight w:val="242"/>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394,280</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394,458</w:t>
            </w: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56"/>
        </w:trPr>
        <w:tc>
          <w:tcPr>
            <w:tcW w:w="5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center"/>
              <w:ind w:right="620"/>
              <w:spacing w:after="0"/>
              <w:rPr>
                <w:sz w:val="20"/>
                <w:szCs w:val="20"/>
                <w:color w:val="auto"/>
              </w:rPr>
            </w:pPr>
            <w:r>
              <w:rPr>
                <w:rFonts w:ascii="Arial" w:cs="Arial" w:eastAsia="Arial" w:hAnsi="Arial"/>
                <w:sz w:val="16"/>
                <w:szCs w:val="16"/>
                <w:b w:val="1"/>
                <w:bCs w:val="1"/>
                <w:color w:val="auto"/>
              </w:rPr>
              <w:t>December 31, 2018</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3"/>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2"/>
        </w:trPr>
        <w:tc>
          <w:tcPr>
            <w:tcW w:w="5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Unrealized Gains</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5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40" w:type="dxa"/>
            <w:vAlign w:val="bottom"/>
            <w:gridSpan w:val="6"/>
          </w:tcPr>
          <w:p>
            <w:pPr>
              <w:jc w:val="center"/>
              <w:ind w:right="6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2"/>
        </w:trPr>
        <w:tc>
          <w:tcPr>
            <w:tcW w:w="5160" w:type="dxa"/>
            <w:vAlign w:val="bottom"/>
          </w:tcPr>
          <w:p>
            <w:pPr>
              <w:ind w:left="280"/>
              <w:spacing w:after="0"/>
              <w:rPr>
                <w:sz w:val="20"/>
                <w:szCs w:val="20"/>
                <w:color w:val="auto"/>
              </w:rPr>
            </w:pPr>
            <w:r>
              <w:rPr>
                <w:rFonts w:ascii="Arial" w:cs="Arial" w:eastAsia="Arial" w:hAnsi="Arial"/>
                <w:sz w:val="16"/>
                <w:szCs w:val="16"/>
                <w:color w:val="auto"/>
              </w:rPr>
              <w:t>Cash</w:t>
            </w:r>
          </w:p>
        </w:tc>
        <w:tc>
          <w:tcPr>
            <w:tcW w:w="2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40,913</w:t>
            </w:r>
          </w:p>
        </w:tc>
        <w:tc>
          <w:tcPr>
            <w:tcW w:w="120" w:type="dxa"/>
            <w:vAlign w:val="bottom"/>
          </w:tcPr>
          <w:p>
            <w:pPr>
              <w:spacing w:after="0"/>
              <w:rPr>
                <w:sz w:val="22"/>
                <w:szCs w:val="22"/>
                <w:color w:val="auto"/>
              </w:rPr>
            </w:pPr>
          </w:p>
        </w:tc>
        <w:tc>
          <w:tcPr>
            <w:tcW w:w="52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40,913</w:t>
            </w:r>
          </w:p>
        </w:tc>
      </w:tr>
      <w:tr>
        <w:trPr>
          <w:trHeight w:val="271"/>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r>
      <w:tr>
        <w:trPr>
          <w:trHeight w:val="250"/>
        </w:trPr>
        <w:tc>
          <w:tcPr>
            <w:tcW w:w="5160" w:type="dxa"/>
            <w:vAlign w:val="bottom"/>
          </w:tcPr>
          <w:p>
            <w:pPr>
              <w:ind w:left="600"/>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41,026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41,026</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Short-term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1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2"/>
        </w:trPr>
        <w:tc>
          <w:tcPr>
            <w:tcW w:w="516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3,237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3,237</w:t>
            </w:r>
          </w:p>
        </w:tc>
      </w:tr>
      <w:tr>
        <w:trPr>
          <w:trHeight w:val="27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30,906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30,822</w:t>
            </w:r>
          </w:p>
        </w:tc>
      </w:tr>
      <w:tr>
        <w:trPr>
          <w:trHeight w:val="262"/>
        </w:trPr>
        <w:tc>
          <w:tcPr>
            <w:tcW w:w="516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10,447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10,432</w:t>
            </w:r>
          </w:p>
        </w:tc>
      </w:tr>
      <w:tr>
        <w:trPr>
          <w:trHeight w:val="271"/>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203,734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203,649</w:t>
            </w:r>
          </w:p>
        </w:tc>
      </w:tr>
      <w:tr>
        <w:trPr>
          <w:trHeight w:val="250"/>
        </w:trPr>
        <w:tc>
          <w:tcPr>
            <w:tcW w:w="51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248,324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248,140</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Long-term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2"/>
        </w:trPr>
        <w:tc>
          <w:tcPr>
            <w:tcW w:w="516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22,945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22,927</w:t>
            </w:r>
          </w:p>
        </w:tc>
      </w:tr>
      <w:tr>
        <w:trPr>
          <w:trHeight w:val="27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18,804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18,751</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 bonds</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35,322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35,032</w:t>
            </w:r>
          </w:p>
        </w:tc>
      </w:tr>
      <w:tr>
        <w:trPr>
          <w:trHeight w:val="250"/>
        </w:trPr>
        <w:tc>
          <w:tcPr>
            <w:tcW w:w="51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77,071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76,710</w:t>
            </w:r>
          </w:p>
        </w:tc>
      </w:tr>
      <w:tr>
        <w:trPr>
          <w:trHeight w:val="242"/>
        </w:trPr>
        <w:tc>
          <w:tcPr>
            <w:tcW w:w="5160" w:type="dxa"/>
            <w:vAlign w:val="bottom"/>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366,421</w:t>
            </w:r>
          </w:p>
        </w:tc>
        <w:tc>
          <w:tcPr>
            <w:tcW w:w="120" w:type="dxa"/>
            <w:vAlign w:val="bottom"/>
          </w:tcPr>
          <w:p>
            <w:pPr>
              <w:spacing w:after="0"/>
              <w:rPr>
                <w:sz w:val="21"/>
                <w:szCs w:val="21"/>
                <w:color w:val="auto"/>
              </w:rPr>
            </w:pPr>
          </w:p>
        </w:tc>
        <w:tc>
          <w:tcPr>
            <w:tcW w:w="52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28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365,876</w:t>
            </w: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ind w:right="20" w:firstLine="405"/>
        <w:spacing w:after="0" w:line="292" w:lineRule="auto"/>
        <w:rPr>
          <w:sz w:val="20"/>
          <w:szCs w:val="20"/>
          <w:color w:val="auto"/>
        </w:rPr>
      </w:pPr>
      <w:r>
        <w:rPr>
          <w:rFonts w:ascii="Arial" w:cs="Arial" w:eastAsia="Arial" w:hAnsi="Arial"/>
          <w:sz w:val="18"/>
          <w:szCs w:val="18"/>
          <w:color w:val="231F20"/>
        </w:rPr>
        <w:t>The following table shows the changes to accumulated other comprehensive loss for the three months ended March 31, 2019 (in thousands):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280" w:right="2300"/>
        <w:spacing w:after="0" w:line="325" w:lineRule="auto"/>
        <w:rPr>
          <w:sz w:val="20"/>
          <w:szCs w:val="20"/>
          <w:color w:val="auto"/>
        </w:rPr>
      </w:pPr>
      <w:r>
        <w:rPr>
          <w:rFonts w:ascii="Arial" w:cs="Arial" w:eastAsia="Arial" w:hAnsi="Arial"/>
          <w:sz w:val="16"/>
          <w:szCs w:val="16"/>
          <w:color w:val="auto"/>
        </w:rPr>
        <w:t>Change in net unrealized loss on available-for-sale marketable securities, net of tax Amounts reclassified for net realized gain included in net income,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6"/>
          <w:szCs w:val="16"/>
          <w:color w:val="auto"/>
        </w:rPr>
        <w:t>Other comprehensive income,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March 31, 2019</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Unrealized (Loss) Gain, net</w:t>
      </w:r>
    </w:p>
    <w:p>
      <w:pPr>
        <w:spacing w:after="0" w:line="75" w:lineRule="exact"/>
        <w:rPr>
          <w:sz w:val="20"/>
          <w:szCs w:val="20"/>
          <w:color w:val="auto"/>
        </w:rPr>
      </w:pPr>
    </w:p>
    <w:p>
      <w:pPr>
        <w:spacing w:after="0"/>
        <w:tabs>
          <w:tab w:leader="none" w:pos="16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(545)</w:t>
      </w:r>
    </w:p>
    <w:p>
      <w:pPr>
        <w:spacing w:after="0" w:line="59"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655</w:t>
      </w:r>
    </w:p>
    <w:p>
      <w:pPr>
        <w:spacing w:after="0" w:line="59"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53"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683</w:t>
      </w:r>
    </w:p>
    <w:p>
      <w:pPr>
        <w:spacing w:after="0" w:line="73" w:lineRule="exact"/>
        <w:rPr>
          <w:sz w:val="20"/>
          <w:szCs w:val="20"/>
          <w:color w:val="auto"/>
        </w:rPr>
      </w:pPr>
    </w:p>
    <w:p>
      <w:pPr>
        <w:spacing w:after="0"/>
        <w:tabs>
          <w:tab w:leader="none" w:pos="17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48895</wp:posOffset>
            </wp:positionV>
            <wp:extent cx="1372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60" w:space="720"/>
            <w:col w:w="2140"/>
          </w:cols>
          <w:pgMar w:left="240" w:top="121" w:right="239" w:bottom="1440" w:gutter="0" w:footer="0" w:header="0"/>
          <w:type w:val="continuous"/>
        </w:sectPr>
      </w:pPr>
    </w:p>
    <w:p>
      <w:pPr>
        <w:spacing w:after="0" w:line="84" w:lineRule="exact"/>
        <w:rPr>
          <w:sz w:val="20"/>
          <w:szCs w:val="20"/>
          <w:color w:val="auto"/>
        </w:rPr>
      </w:pPr>
    </w:p>
    <w:p>
      <w:pPr>
        <w:ind w:firstLine="405"/>
        <w:spacing w:after="0" w:line="29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marketable securities measured on a recurring basis, excluding cash and money market funds: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March 31, 2019</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64"/>
        </w:trPr>
        <w:tc>
          <w:tcPr>
            <w:tcW w:w="5260" w:type="dxa"/>
            <w:vAlign w:val="bottom"/>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5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3"/>
          </w:tcPr>
          <w:p>
            <w:pPr>
              <w:ind w:left="6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government agencies</w:t>
            </w:r>
          </w:p>
        </w:tc>
        <w:tc>
          <w:tcPr>
            <w:tcW w:w="1140" w:type="dxa"/>
            <w:vAlign w:val="bottom"/>
            <w:shd w:val="clear" w:color="auto" w:fill="CCEEFF"/>
          </w:tcPr>
          <w:p>
            <w:pPr>
              <w:spacing w:after="0"/>
              <w:rPr>
                <w:sz w:val="23"/>
                <w:szCs w:val="23"/>
                <w:color w:val="auto"/>
              </w:rPr>
            </w:pPr>
          </w:p>
        </w:tc>
        <w:tc>
          <w:tcPr>
            <w:tcW w:w="7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187,560</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8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187,560</w:t>
            </w:r>
          </w:p>
        </w:tc>
      </w:tr>
      <w:tr>
        <w:trPr>
          <w:trHeight w:val="262"/>
        </w:trPr>
        <w:tc>
          <w:tcPr>
            <w:tcW w:w="526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1140" w:type="dxa"/>
            <w:vAlign w:val="bottom"/>
          </w:tcPr>
          <w:p>
            <w:pPr>
              <w:spacing w:after="0"/>
              <w:rPr>
                <w:sz w:val="22"/>
                <w:szCs w:val="22"/>
                <w:color w:val="auto"/>
              </w:rPr>
            </w:pPr>
          </w:p>
        </w:tc>
        <w:tc>
          <w:tcPr>
            <w:tcW w:w="78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66,240</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66,240</w:t>
            </w:r>
          </w:p>
        </w:tc>
      </w:tr>
      <w:tr>
        <w:trPr>
          <w:trHeight w:val="271"/>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114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47,531</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47,531</w:t>
            </w:r>
          </w:p>
        </w:tc>
      </w:tr>
      <w:tr>
        <w:trPr>
          <w:trHeight w:val="242"/>
        </w:trPr>
        <w:tc>
          <w:tcPr>
            <w:tcW w:w="5260" w:type="dxa"/>
            <w:vAlign w:val="bottom"/>
          </w:tcPr>
          <w:p>
            <w:pPr>
              <w:ind w:left="40"/>
              <w:spacing w:after="0"/>
              <w:rPr>
                <w:sz w:val="20"/>
                <w:szCs w:val="20"/>
                <w:color w:val="auto"/>
              </w:rPr>
            </w:pPr>
            <w:r>
              <w:rPr>
                <w:rFonts w:ascii="Arial" w:cs="Arial" w:eastAsia="Arial" w:hAnsi="Arial"/>
                <w:sz w:val="16"/>
                <w:szCs w:val="16"/>
                <w:color w:val="auto"/>
              </w:rPr>
              <w:t>Total</w:t>
            </w: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780" w:type="dxa"/>
            <w:vAlign w:val="bottom"/>
            <w:gridSpan w:val="3"/>
          </w:tcPr>
          <w:p>
            <w:pPr>
              <w:ind w:left="100"/>
              <w:spacing w:after="0"/>
              <w:rPr>
                <w:sz w:val="20"/>
                <w:szCs w:val="20"/>
                <w:color w:val="auto"/>
              </w:rPr>
            </w:pPr>
            <w:r>
              <w:rPr>
                <w:rFonts w:ascii="Arial" w:cs="Arial" w:eastAsia="Arial" w:hAnsi="Arial"/>
                <w:sz w:val="16"/>
                <w:szCs w:val="16"/>
                <w:color w:val="auto"/>
              </w:rPr>
              <w:t>—   $</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301,331</w:t>
            </w:r>
          </w:p>
        </w:tc>
        <w:tc>
          <w:tcPr>
            <w:tcW w:w="120" w:type="dxa"/>
            <w:vAlign w:val="bottom"/>
          </w:tcPr>
          <w:p>
            <w:pPr>
              <w:spacing w:after="0"/>
              <w:rPr>
                <w:sz w:val="21"/>
                <w:szCs w:val="21"/>
                <w:color w:val="auto"/>
              </w:rPr>
            </w:pP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680" w:type="dxa"/>
            <w:vAlign w:val="bottom"/>
            <w:gridSpan w:val="3"/>
          </w:tcPr>
          <w:p>
            <w:pPr>
              <w:ind w:left="60"/>
              <w:spacing w:after="0"/>
              <w:rPr>
                <w:sz w:val="20"/>
                <w:szCs w:val="20"/>
                <w:color w:val="auto"/>
              </w:rPr>
            </w:pPr>
            <w:r>
              <w:rPr>
                <w:rFonts w:ascii="Arial" w:cs="Arial" w:eastAsia="Arial" w:hAnsi="Arial"/>
                <w:sz w:val="16"/>
                <w:szCs w:val="16"/>
                <w:color w:val="auto"/>
              </w:rPr>
              <w:t>—   $</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301,331</w:t>
            </w:r>
          </w:p>
        </w:tc>
      </w:tr>
      <w:tr>
        <w:trPr>
          <w:trHeight w:val="20"/>
        </w:trPr>
        <w:tc>
          <w:tcPr>
            <w:tcW w:w="5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December 31, 2018</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64"/>
        </w:trPr>
        <w:tc>
          <w:tcPr>
            <w:tcW w:w="5260" w:type="dxa"/>
            <w:vAlign w:val="bottom"/>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5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w:t>
            </w:r>
          </w:p>
        </w:tc>
      </w:tr>
      <w:tr>
        <w:trPr>
          <w:trHeight w:val="262"/>
        </w:trPr>
        <w:tc>
          <w:tcPr>
            <w:tcW w:w="52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4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222,400</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222,400</w:t>
            </w:r>
          </w:p>
        </w:tc>
      </w:tr>
      <w:tr>
        <w:trPr>
          <w:trHeight w:val="278"/>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65,854</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65,854</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33,359</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33,359</w:t>
            </w:r>
          </w:p>
        </w:tc>
      </w:tr>
      <w:tr>
        <w:trPr>
          <w:trHeight w:val="242"/>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324,850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324,850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or Level 3 of the fair value hierarchy, as determined at the end of each reporting period.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marketable securities classified as available-for-sale by contractual, or effective, maturity:</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5"/>
          </w:tcPr>
          <w:p>
            <w:pPr>
              <w:ind w:left="1460"/>
              <w:spacing w:after="0"/>
              <w:rPr>
                <w:sz w:val="20"/>
                <w:szCs w:val="20"/>
                <w:color w:val="auto"/>
              </w:rPr>
            </w:pPr>
            <w:r>
              <w:rPr>
                <w:rFonts w:ascii="Arial" w:cs="Arial" w:eastAsia="Arial" w:hAnsi="Arial"/>
                <w:sz w:val="16"/>
                <w:szCs w:val="16"/>
                <w:b w:val="1"/>
                <w:bCs w:val="1"/>
                <w:color w:val="auto"/>
              </w:rPr>
              <w:t>March 31, 2019</w:t>
            </w:r>
          </w:p>
        </w:tc>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r>
      <w:tr>
        <w:trPr>
          <w:trHeight w:val="193"/>
        </w:trPr>
        <w:tc>
          <w:tcPr>
            <w:tcW w:w="2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Mature within</w:t>
            </w:r>
          </w:p>
        </w:tc>
        <w:tc>
          <w:tcPr>
            <w:tcW w:w="180" w:type="dxa"/>
            <w:vAlign w:val="bottom"/>
          </w:tcPr>
          <w:p>
            <w:pPr>
              <w:spacing w:after="0"/>
              <w:rPr>
                <w:sz w:val="16"/>
                <w:szCs w:val="16"/>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Mature after One Year</w:t>
            </w:r>
          </w:p>
        </w:tc>
        <w:tc>
          <w:tcPr>
            <w:tcW w:w="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2"/>
        </w:trPr>
        <w:tc>
          <w:tcPr>
            <w:tcW w:w="2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9"/>
              </w:rPr>
              <w:t>One Year</w:t>
            </w:r>
          </w:p>
        </w:tc>
        <w:tc>
          <w:tcPr>
            <w:tcW w:w="1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through Two Years</w:t>
            </w: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Mature over Two Years</w:t>
            </w:r>
          </w:p>
        </w:tc>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2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360" w:type="dxa"/>
            <w:vAlign w:val="bottom"/>
            <w:gridSpan w:val="5"/>
          </w:tcPr>
          <w:p>
            <w:pPr>
              <w:ind w:left="148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government agencies</w:t>
            </w:r>
          </w:p>
        </w:tc>
        <w:tc>
          <w:tcPr>
            <w:tcW w:w="32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156,228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16,736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14,596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187,560</w:t>
            </w:r>
          </w:p>
        </w:tc>
      </w:tr>
      <w:tr>
        <w:trPr>
          <w:trHeight w:val="262"/>
        </w:trPr>
        <w:tc>
          <w:tcPr>
            <w:tcW w:w="264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32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38,913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24,825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2,502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66,240</w:t>
            </w:r>
          </w:p>
        </w:tc>
      </w:tr>
      <w:tr>
        <w:trPr>
          <w:trHeight w:val="271"/>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32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29,336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8,439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9,756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47,531</w:t>
            </w:r>
          </w:p>
        </w:tc>
      </w:tr>
      <w:tr>
        <w:trPr>
          <w:trHeight w:val="242"/>
        </w:trPr>
        <w:tc>
          <w:tcPr>
            <w:tcW w:w="2640" w:type="dxa"/>
            <w:vAlign w:val="bottom"/>
          </w:tcPr>
          <w:p>
            <w:pPr>
              <w:ind w:left="4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224,477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26,854</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301,331</w:t>
            </w:r>
          </w:p>
        </w:tc>
      </w:tr>
      <w:tr>
        <w:trPr>
          <w:trHeight w:val="20"/>
        </w:trPr>
        <w:tc>
          <w:tcPr>
            <w:tcW w:w="2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Derivative financial instruments are utilized by the Company to reduce foreign currency exchange risks. The Company uses foreign currency forward contracts to mitigate the impact of foreign currency fluctuations of certain non-U.S. Dollar denominated asset positions, to date primarily cash and accounts receivable (non-designated), as well as to manage foreign currency fluctuation risk related to forecasted transactions (designated).</w:t>
      </w:r>
    </w:p>
    <w:p>
      <w:pPr>
        <w:spacing w:after="0" w:line="170"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222222"/>
        </w:rPr>
        <w:t>At March 31, 2019, the Company had eight outstanding forward contrac</w:t>
      </w:r>
      <w:r>
        <w:rPr>
          <w:rFonts w:ascii="Arial" w:cs="Arial" w:eastAsia="Arial" w:hAnsi="Arial"/>
          <w:sz w:val="18"/>
          <w:szCs w:val="18"/>
          <w:color w:val="000000"/>
        </w:rPr>
        <w:t>ts with notional amounts of €13.0 million and £5.4 million,</w:t>
      </w:r>
      <w:r>
        <w:rPr>
          <w:rFonts w:ascii="Arial" w:cs="Arial" w:eastAsia="Arial" w:hAnsi="Arial"/>
          <w:sz w:val="18"/>
          <w:szCs w:val="18"/>
          <w:color w:val="222222"/>
        </w:rPr>
        <w:t xml:space="preserve"> </w:t>
      </w:r>
      <w:r>
        <w:rPr>
          <w:rFonts w:ascii="Arial" w:cs="Arial" w:eastAsia="Arial" w:hAnsi="Arial"/>
          <w:sz w:val="18"/>
          <w:szCs w:val="18"/>
          <w:color w:val="000000"/>
        </w:rPr>
        <w:t xml:space="preserve">respectively. </w:t>
      </w:r>
      <w:r>
        <w:rPr>
          <w:rFonts w:ascii="Arial" w:cs="Arial" w:eastAsia="Arial" w:hAnsi="Arial"/>
          <w:sz w:val="18"/>
          <w:szCs w:val="18"/>
          <w:color w:val="222222"/>
        </w:rPr>
        <w:t>These contracts did not meet the criteria to be designated as cash flow hedges and were valued using Level 2 inputs.</w:t>
      </w:r>
    </w:p>
    <w:p>
      <w:pPr>
        <w:spacing w:after="0" w:line="145" w:lineRule="exact"/>
        <w:rPr>
          <w:sz w:val="20"/>
          <w:szCs w:val="20"/>
          <w:color w:val="auto"/>
        </w:rPr>
      </w:pPr>
    </w:p>
    <w:p>
      <w:pPr>
        <w:jc w:val="both"/>
        <w:ind w:right="20" w:firstLine="405"/>
        <w:spacing w:after="0" w:line="292" w:lineRule="auto"/>
        <w:rPr>
          <w:sz w:val="20"/>
          <w:szCs w:val="20"/>
          <w:color w:val="auto"/>
        </w:rPr>
      </w:pPr>
      <w:r>
        <w:rPr>
          <w:rFonts w:ascii="Arial" w:cs="Arial" w:eastAsia="Arial" w:hAnsi="Arial"/>
          <w:sz w:val="18"/>
          <w:szCs w:val="18"/>
          <w:color w:val="231F20"/>
        </w:rPr>
        <w:t>At March 31, 2019, the Company had 24 open contracts with notional amounts that were designated as cash flow hedges of €17.7 million and £8.0 million, respectively. The unrealized FX gains on these contracts were recorded in AOCI for $0.2 million, net of tax.</w:t>
      </w:r>
    </w:p>
    <w:p>
      <w:pPr>
        <w:spacing w:after="0" w:line="145"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auto"/>
        </w:rPr>
        <w:t>At December 31, 2018, the Company had two outstanding non-designated forward contracts with notional amounts of €16.0 million and £6.3 million, respectively, both with the expiry date of January 31, 2019.</w:t>
      </w:r>
    </w:p>
    <w:p>
      <w:pPr>
        <w:spacing w:after="0" w:line="14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22222"/>
        </w:rPr>
        <w:t xml:space="preserve">At December 31, 2018, the Company had two outstanding forward contracts with notional amounts of €12.9 million and £4.1 million, respectively. </w:t>
      </w:r>
      <w:r>
        <w:rPr>
          <w:rFonts w:ascii="Arial" w:cs="Arial" w:eastAsia="Arial" w:hAnsi="Arial"/>
          <w:sz w:val="18"/>
          <w:szCs w:val="18"/>
          <w:color w:val="231F20"/>
        </w:rPr>
        <w:t>These derivatives met the criteria to be designated as cash flow hedges and were valued using Level 2 inputs. The unrealized</w:t>
      </w:r>
      <w:r>
        <w:rPr>
          <w:rFonts w:ascii="Arial" w:cs="Arial" w:eastAsia="Arial" w:hAnsi="Arial"/>
          <w:sz w:val="18"/>
          <w:szCs w:val="18"/>
          <w:color w:val="222222"/>
        </w:rPr>
        <w:t xml:space="preserve"> </w:t>
      </w:r>
      <w:r>
        <w:rPr>
          <w:rFonts w:ascii="Arial" w:cs="Arial" w:eastAsia="Arial" w:hAnsi="Arial"/>
          <w:sz w:val="18"/>
          <w:szCs w:val="18"/>
          <w:color w:val="231F20"/>
        </w:rPr>
        <w:t>foreign currency losses on these contracts were recorded in AOCI and were insignificant.</w:t>
      </w:r>
    </w:p>
    <w:p>
      <w:pPr>
        <w:spacing w:after="0" w:line="163" w:lineRule="exact"/>
        <w:rPr>
          <w:sz w:val="20"/>
          <w:szCs w:val="20"/>
          <w:color w:val="auto"/>
        </w:rPr>
      </w:pPr>
    </w:p>
    <w:p>
      <w:pPr>
        <w:jc w:val="both"/>
        <w:ind w:right="20" w:firstLine="405"/>
        <w:spacing w:after="0" w:line="292" w:lineRule="auto"/>
        <w:rPr>
          <w:sz w:val="20"/>
          <w:szCs w:val="20"/>
          <w:color w:val="auto"/>
        </w:rPr>
      </w:pPr>
      <w:r>
        <w:rPr>
          <w:rFonts w:ascii="Arial" w:cs="Arial" w:eastAsia="Arial" w:hAnsi="Arial"/>
          <w:sz w:val="18"/>
          <w:szCs w:val="18"/>
          <w:color w:val="231F20"/>
        </w:rPr>
        <w:t>The following summarizes the gains (losses) recognized in other income (expense), net on the condensed consolidated statement of operations, from forward contracts and other foreign currency transactions: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40" w:type="dxa"/>
            <w:vAlign w:val="bottom"/>
          </w:tcPr>
          <w:p>
            <w:pPr>
              <w:spacing w:after="0"/>
              <w:rPr>
                <w:sz w:val="19"/>
                <w:szCs w:val="19"/>
                <w:color w:val="auto"/>
              </w:rPr>
            </w:pPr>
          </w:p>
        </w:tc>
        <w:tc>
          <w:tcPr>
            <w:tcW w:w="258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9"/>
                <w:szCs w:val="19"/>
                <w:color w:val="auto"/>
              </w:rPr>
            </w:pPr>
          </w:p>
        </w:tc>
      </w:tr>
      <w:tr>
        <w:trPr>
          <w:trHeight w:val="274"/>
        </w:trPr>
        <w:tc>
          <w:tcPr>
            <w:tcW w:w="834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6"/>
                <w:szCs w:val="16"/>
                <w:b w:val="1"/>
                <w:bCs w:val="1"/>
                <w:color w:val="auto"/>
              </w:rPr>
              <w:t>March 31,</w:t>
            </w:r>
          </w:p>
        </w:tc>
        <w:tc>
          <w:tcPr>
            <w:tcW w:w="500" w:type="dxa"/>
            <w:vAlign w:val="bottom"/>
            <w:tcBorders>
              <w:bottom w:val="single" w:sz="8" w:color="auto"/>
            </w:tcBorders>
          </w:tcPr>
          <w:p>
            <w:pPr>
              <w:spacing w:after="0"/>
              <w:rPr>
                <w:sz w:val="23"/>
                <w:szCs w:val="23"/>
                <w:color w:val="auto"/>
              </w:rPr>
            </w:pPr>
          </w:p>
        </w:tc>
      </w:tr>
      <w:tr>
        <w:trPr>
          <w:trHeight w:val="264"/>
        </w:trPr>
        <w:tc>
          <w:tcPr>
            <w:tcW w:w="83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250"/>
        </w:trPr>
        <w:tc>
          <w:tcPr>
            <w:tcW w:w="8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2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auto"/>
              </w:rPr>
              <w:t>(in thousands)</w:t>
            </w:r>
          </w:p>
        </w:tc>
        <w:tc>
          <w:tcPr>
            <w:tcW w:w="500" w:type="dxa"/>
            <w:vAlign w:val="bottom"/>
          </w:tcPr>
          <w:p>
            <w:pPr>
              <w:spacing w:after="0"/>
              <w:rPr>
                <w:sz w:val="21"/>
                <w:szCs w:val="21"/>
                <w:color w:val="auto"/>
              </w:rPr>
            </w:pP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from forward contracts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foreign currency transactions gain</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810</w:t>
            </w:r>
          </w:p>
        </w:tc>
      </w:tr>
      <w:tr>
        <w:trPr>
          <w:trHeight w:val="242"/>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foreign exchange loss, net</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color w:val="231F20"/>
        </w:rPr>
        <w:t>Property and Equipment, Net</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Property and equipment, net, which includes assets under finance lease, consists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9"/>
                <w:szCs w:val="19"/>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74"/>
        </w:trPr>
        <w:tc>
          <w:tcPr>
            <w:tcW w:w="83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50"/>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98,537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93,530</w:t>
            </w: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24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26,041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26,030</w:t>
            </w: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5,814</w:t>
            </w: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Finance leases - right of use asset</w:t>
            </w:r>
          </w:p>
        </w:tc>
        <w:tc>
          <w:tcPr>
            <w:tcW w:w="24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3,503</w:t>
            </w: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Scanner appliances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15,665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15,356</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Leasehold improvements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16,469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16,439</w:t>
            </w:r>
          </w:p>
        </w:tc>
      </w:tr>
      <w:tr>
        <w:trPr>
          <w:trHeight w:val="257"/>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property and equipment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166,122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160,672</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(105,636)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(99,230)</w:t>
            </w:r>
          </w:p>
        </w:tc>
      </w:tr>
      <w:tr>
        <w:trPr>
          <w:trHeight w:val="242"/>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60,486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61,442</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right="20" w:firstLine="486"/>
        <w:spacing w:after="0" w:line="292" w:lineRule="auto"/>
        <w:rPr>
          <w:sz w:val="20"/>
          <w:szCs w:val="20"/>
          <w:color w:val="auto"/>
        </w:rPr>
      </w:pPr>
      <w:r>
        <w:rPr>
          <w:rFonts w:ascii="Arial" w:cs="Arial" w:eastAsia="Arial" w:hAnsi="Arial"/>
          <w:sz w:val="18"/>
          <w:szCs w:val="18"/>
          <w:color w:val="231F20"/>
        </w:rPr>
        <w:t xml:space="preserve">Physical scanner appliances and other computer equipment have a net carrying value of $7.5 million and $7.9 million at </w:t>
      </w:r>
      <w:r>
        <w:rPr>
          <w:rFonts w:ascii="Arial" w:cs="Arial" w:eastAsia="Arial" w:hAnsi="Arial"/>
          <w:sz w:val="18"/>
          <w:szCs w:val="18"/>
          <w:color w:val="000000"/>
        </w:rPr>
        <w:t>March 31, 2019</w:t>
      </w:r>
      <w:r>
        <w:rPr>
          <w:rFonts w:ascii="Arial" w:cs="Arial" w:eastAsia="Arial" w:hAnsi="Arial"/>
          <w:sz w:val="18"/>
          <w:szCs w:val="18"/>
          <w:color w:val="231F20"/>
        </w:rPr>
        <w:t xml:space="preserve"> and December 31, 2018, respectively, including assets that have not been placed in service</w:t>
      </w:r>
    </w:p>
    <w:p>
      <w:pPr>
        <w:sectPr>
          <w:pgSz w:w="11900" w:h="16838" w:orient="portrait"/>
          <w:cols w:equalWidth="0" w:num="1">
            <w:col w:w="11420"/>
          </w:cols>
          <w:pgMar w:left="240" w:top="121" w:right="23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 xml:space="preserve">of $1.2 million and $1.8 million, respectively. Depreciation and amortization expense relating to property and equipment, including capitalized leases, was $6.4 million and $6.4 million for the </w:t>
      </w:r>
      <w:r>
        <w:rPr>
          <w:rFonts w:ascii="Arial" w:cs="Arial" w:eastAsia="Arial" w:hAnsi="Arial"/>
          <w:sz w:val="18"/>
          <w:szCs w:val="18"/>
          <w:color w:val="000000"/>
        </w:rPr>
        <w:t>three months ended March 31, 2019</w:t>
      </w:r>
      <w:r>
        <w:rPr>
          <w:rFonts w:ascii="Arial" w:cs="Arial" w:eastAsia="Arial" w:hAnsi="Arial"/>
          <w:sz w:val="18"/>
          <w:szCs w:val="18"/>
          <w:color w:val="231F20"/>
        </w:rPr>
        <w:t xml:space="preserve"> and 2018, respectively. Accumulated depreciation under finance leases was $1.3 million at </w:t>
      </w:r>
      <w:r>
        <w:rPr>
          <w:rFonts w:ascii="Arial" w:cs="Arial" w:eastAsia="Arial" w:hAnsi="Arial"/>
          <w:sz w:val="18"/>
          <w:szCs w:val="18"/>
          <w:color w:val="000000"/>
        </w:rPr>
        <w:t>March 31, 2019</w:t>
      </w:r>
      <w:r>
        <w:rPr>
          <w:rFonts w:ascii="Arial" w:cs="Arial" w:eastAsia="Arial" w:hAnsi="Arial"/>
          <w:sz w:val="18"/>
          <w:szCs w:val="18"/>
          <w:color w:val="231F20"/>
        </w:rPr>
        <w: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Revenue from Contracts with Customers</w:t>
      </w:r>
    </w:p>
    <w:p>
      <w:pPr>
        <w:spacing w:after="0" w:line="2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performance obligation is typically satisfied ratably over the subscription term as its cloud-based offerings are delivered to customers electronically and over time. In addition, the Company recognizes revenues for certain limited scan arrangements on an as-used basis. The Company recognizes revenue related to the professional services based on time and materials or completion of milestones stated in the contracts.</w:t>
      </w:r>
    </w:p>
    <w:p>
      <w:pPr>
        <w:spacing w:after="0" w:line="170"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As the vast majority of the Company’s offerings are subscription based, the Company rarely needs to allocate the transaction price to all separate performance obligations. For contracts that include scanners and PCPs, the Company recognizes revenue in proportion to the standalone selling prices ("SSP") of the underlying services at contract inception. If an SSP is not directly observable, the Company determines the SSP using information that may include market conditions and other observable inputs. The Company's transaction prices typically do not include variable consideration and are a fixed amount for a specific period of time, and the majority of contracts are twelve months with certain customers signing longer term deals. In general, the Company does not offer rights of return, performance bonuses, customer loyalty programs, payments via non-cash methods, refunds, volume rebates, incentive payments, penalties, price concessions or payments or discounts contingent on future events and the Company does not grant its customers any material rights.</w:t>
      </w:r>
    </w:p>
    <w:p>
      <w:pPr>
        <w:spacing w:after="0" w:line="178"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8"/>
          <w:szCs w:val="18"/>
          <w:color w:val="auto"/>
        </w:rPr>
        <w:t xml:space="preserve">Costs of shipping and handling charges associated with physical scanner appliances and other computer equipment are included in cost </w:t>
      </w:r>
      <w:r>
        <w:rPr>
          <w:rFonts w:ascii="Arial" w:cs="Arial" w:eastAsia="Arial" w:hAnsi="Arial"/>
          <w:sz w:val="18"/>
          <w:szCs w:val="18"/>
          <w:color w:val="231F20"/>
        </w:rPr>
        <w:t>of revenues. Sales taxes and other taxes collected from customers to be remitted to government authorities are excluded from revenues.</w:t>
      </w:r>
    </w:p>
    <w:p>
      <w:pPr>
        <w:spacing w:after="0" w:line="145"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color w:val="auto"/>
        </w:rPr>
        <w:t>Incremental direct costs of obtaining a contract, which consist of sales commissions primarily for new business and upsells, are deferred and amortized over the estimated life of the customer relationship if renewals are expected and the renewal commission is not commensurate with the initial commission. The Company amortizes the capitalized commission cost as a selling expense on a straight-line basis over a period of five years. The Company classifies deferred commissions as current or noncurrent based on the timing of when it expects to recognize the expense. The current and noncurrent portions of deferred commissions are included in prepaid expenses and other current assets and other noncurrent assets, respectively, in its condensed consolidated balance sheets.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Commission asset balances are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2019</w:t>
            </w:r>
          </w:p>
        </w:tc>
        <w:tc>
          <w:tcPr>
            <w:tcW w:w="12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December 31, 2018</w:t>
            </w:r>
          </w:p>
        </w:tc>
      </w:tr>
      <w:tr>
        <w:trPr>
          <w:trHeight w:val="254"/>
        </w:trPr>
        <w:tc>
          <w:tcPr>
            <w:tcW w:w="7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Commission asset, current</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1,691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1,480</w:t>
            </w:r>
          </w:p>
        </w:tc>
      </w:tr>
      <w:tr>
        <w:trPr>
          <w:trHeight w:val="255"/>
        </w:trPr>
        <w:tc>
          <w:tcPr>
            <w:tcW w:w="7540" w:type="dxa"/>
            <w:vAlign w:val="bottom"/>
          </w:tcPr>
          <w:p>
            <w:pPr>
              <w:ind w:left="40"/>
              <w:spacing w:after="0"/>
              <w:rPr>
                <w:sz w:val="20"/>
                <w:szCs w:val="20"/>
                <w:color w:val="auto"/>
              </w:rPr>
            </w:pPr>
            <w:r>
              <w:rPr>
                <w:rFonts w:ascii="Arial" w:cs="Arial" w:eastAsia="Arial" w:hAnsi="Arial"/>
                <w:sz w:val="16"/>
                <w:szCs w:val="16"/>
                <w:color w:val="auto"/>
              </w:rPr>
              <w:t>Commission asset, noncurrent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5,087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4,692</w:t>
            </w:r>
          </w:p>
        </w:tc>
      </w:tr>
    </w:tbl>
    <w:p>
      <w:pPr>
        <w:spacing w:after="0" w:line="20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auto"/>
        </w:rPr>
        <w:t>For the three months ended March 31, 2019 and 2018, the Company recognized $0.4 million and $0.2 million, respectively, of commission expense from amortization of its commission assets. During the same periods, there was no impairment loss related to capitalized costs.</w:t>
      </w:r>
    </w:p>
    <w:p>
      <w:pPr>
        <w:spacing w:after="0" w:line="8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auto"/>
        </w:rPr>
        <w:t>The Company records deferred revenue when cash payments are received or due in advance of its performance offset by revenue recognized in the period. $64.2 million and $55.6 million of revenue was recognized during the three months ended March 31, 2019 and 2018, respectively, which amounts were included in the unearned revenue balances as of December 31, 2018 and 2017, respectively.</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receivable, net, consists of the following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32"/>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180" w:type="dxa"/>
            <w:vAlign w:val="bottom"/>
          </w:tcPr>
          <w:p>
            <w:pPr>
              <w:spacing w:after="0"/>
              <w:rPr>
                <w:sz w:val="20"/>
                <w:szCs w:val="20"/>
                <w:color w:val="auto"/>
              </w:rPr>
            </w:pPr>
          </w:p>
        </w:tc>
        <w:tc>
          <w:tcPr>
            <w:tcW w:w="13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54"/>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68,516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76,508</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allowance for doubtful accounts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w:t>
            </w:r>
          </w:p>
        </w:tc>
      </w:tr>
      <w:tr>
        <w:trPr>
          <w:trHeight w:val="242"/>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67,863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75,825</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auto"/>
        </w:rPr>
        <w:t>The Company's payment terms vary by the type and location of its customer and the products or services offered. The term between invoicing and when payment is due is not significant. For certain products or services and customer types, the Company requires payment before the products or services are delivered to the customer.</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expected revenue from all remaining performance obligations as of March 31, 2019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Total Expected</w:t>
            </w:r>
          </w:p>
        </w:tc>
      </w:tr>
      <w:tr>
        <w:trPr>
          <w:trHeight w:val="232"/>
        </w:trPr>
        <w:tc>
          <w:tcPr>
            <w:tcW w:w="99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Revenue</w:t>
            </w:r>
          </w:p>
        </w:tc>
      </w:tr>
      <w:tr>
        <w:trPr>
          <w:trHeight w:val="240"/>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 (nine months remaining)</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46,413</w:t>
            </w:r>
          </w:p>
        </w:tc>
      </w:tr>
      <w:tr>
        <w:trPr>
          <w:trHeight w:val="235"/>
        </w:trPr>
        <w:tc>
          <w:tcPr>
            <w:tcW w:w="9940" w:type="dxa"/>
            <w:vAlign w:val="bottom"/>
          </w:tcPr>
          <w:p>
            <w:pPr>
              <w:ind w:left="40"/>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35,226</w:t>
            </w:r>
          </w:p>
        </w:tc>
      </w:tr>
      <w:tr>
        <w:trPr>
          <w:trHeight w:val="251"/>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15,727</w:t>
            </w:r>
          </w:p>
        </w:tc>
      </w:tr>
      <w:tr>
        <w:trPr>
          <w:trHeight w:val="235"/>
        </w:trPr>
        <w:tc>
          <w:tcPr>
            <w:tcW w:w="9940" w:type="dxa"/>
            <w:vAlign w:val="bottom"/>
          </w:tcPr>
          <w:p>
            <w:pPr>
              <w:ind w:left="40"/>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2,098</w:t>
            </w:r>
          </w:p>
        </w:tc>
      </w:tr>
      <w:tr>
        <w:trPr>
          <w:trHeight w:val="251"/>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902</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2024 and thereafter</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w:t>
            </w:r>
          </w:p>
        </w:tc>
      </w:tr>
      <w:tr>
        <w:trPr>
          <w:trHeight w:val="242"/>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100,489</w:t>
            </w:r>
          </w:p>
        </w:tc>
      </w:tr>
      <w:tr>
        <w:trPr>
          <w:trHeight w:val="20"/>
        </w:trPr>
        <w:tc>
          <w:tcPr>
            <w:tcW w:w="9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8"/>
          <w:szCs w:val="18"/>
          <w:color w:val="auto"/>
        </w:rPr>
        <w:t>Revenues allocated to remaining performance obligations represents contracted revenues that have not yet been recognized, which include deferred revenue from open contracts and the amounts that will be invoiced and recognized as revenues in future periods. Remaining performance obligations represent the transaction price of noncancelable orders for which service has not been performed and excludes unexercised renewals. The Company applied the short-term contract exemption to exclude the remaining performance obligations that are part of a contract that has an original expected duration of one year or less.</w:t>
      </w:r>
    </w:p>
    <w:p>
      <w:pPr>
        <w:spacing w:after="0" w:line="175" w:lineRule="exact"/>
        <w:rPr>
          <w:sz w:val="20"/>
          <w:szCs w:val="20"/>
          <w:color w:val="auto"/>
        </w:rPr>
      </w:pPr>
    </w:p>
    <w:p>
      <w:pPr>
        <w:jc w:val="both"/>
        <w:ind w:right="20" w:firstLine="486"/>
        <w:spacing w:after="0" w:line="271" w:lineRule="auto"/>
        <w:rPr>
          <w:sz w:val="20"/>
          <w:szCs w:val="20"/>
          <w:color w:val="auto"/>
        </w:rPr>
      </w:pPr>
      <w:r>
        <w:rPr>
          <w:rFonts w:ascii="Arial" w:cs="Arial" w:eastAsia="Arial" w:hAnsi="Arial"/>
          <w:sz w:val="18"/>
          <w:szCs w:val="18"/>
          <w:color w:val="auto"/>
        </w:rPr>
        <w:t>From time to time, the Company enters into contracts with customers that extend beyond one year, with certain of its customers electing to pay for more than one year of services upon contract execution. For any discounts associated with these multiple year contracts, the Company concluded that its contracts did not contain a financing component.</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Revenues by sales channel are as follows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240" w:type="dxa"/>
            <w:vAlign w:val="bottom"/>
          </w:tcPr>
          <w:p>
            <w:pPr>
              <w:spacing w:after="0"/>
              <w:rPr>
                <w:sz w:val="20"/>
                <w:szCs w:val="20"/>
                <w:color w:val="auto"/>
              </w:rPr>
            </w:pPr>
          </w:p>
        </w:tc>
        <w:tc>
          <w:tcPr>
            <w:tcW w:w="318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Three Months Ended March 31,</w:t>
            </w:r>
          </w:p>
        </w:tc>
      </w:tr>
      <w:tr>
        <w:trPr>
          <w:trHeight w:val="250"/>
        </w:trPr>
        <w:tc>
          <w:tcPr>
            <w:tcW w:w="824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4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Direct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43,039</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38,710</w:t>
            </w:r>
          </w:p>
        </w:tc>
      </w:tr>
      <w:tr>
        <w:trPr>
          <w:trHeight w:val="237"/>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Partner</w:t>
            </w:r>
          </w:p>
        </w:tc>
        <w:tc>
          <w:tcPr>
            <w:tcW w:w="9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32,304</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26,168</w:t>
            </w:r>
          </w:p>
        </w:tc>
      </w:tr>
      <w:tr>
        <w:trPr>
          <w:trHeight w:val="242"/>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75,343</w:t>
            </w:r>
          </w:p>
        </w:tc>
        <w:tc>
          <w:tcPr>
            <w:tcW w:w="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64,878</w:t>
            </w:r>
          </w:p>
        </w:tc>
      </w:tr>
      <w:tr>
        <w:trPr>
          <w:trHeight w:val="20"/>
        </w:trPr>
        <w:tc>
          <w:tcPr>
            <w:tcW w:w="8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terms with their customers. See Note 12, "Segment Information and Information about Geographic Area" for disaggregation of revenue by geographic area.</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Business Combination</w:t>
      </w:r>
    </w:p>
    <w:p>
      <w:pPr>
        <w:spacing w:after="0" w:line="227"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8"/>
          <w:szCs w:val="18"/>
          <w:color w:val="auto"/>
        </w:rPr>
        <w:t>On January 10, 2019, the Company acquired the assets of Adya, Inc. ("Adya"), an India-based company. The acquisition included a cloud application management platform, which enables security and compliance audits of SaaS applications.</w:t>
      </w:r>
    </w:p>
    <w:p>
      <w:pPr>
        <w:spacing w:after="0" w:line="14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auto"/>
        </w:rPr>
        <w:t>Total purchase consideration was $1.0 million, including $0.2 million of deferred consideration due eighteen months from the closing date of the acquisition, subject to potential adjustment from possible indemnity claims. Pro forma financial information for this acquisition has not been presented because it is not material to the Company's condensed consolidated financial statements.</w:t>
      </w:r>
    </w:p>
    <w:p>
      <w:pPr>
        <w:spacing w:after="0" w:line="163"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The Company accounted for this transaction as a business combination and allocated $0.9 million of the purchase price to technology-based intangible assets and $0.1 million to goodwill. The acquired intangible assets relating to Adya's developed technology are being amortized over the estimated useful lives of approximately four years. Goodwill arising from the Adya acquisition is deductible for tax purposes over 15 years.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Goodwill and Intangible Assets, Net</w:t>
      </w:r>
    </w:p>
    <w:p>
      <w:pPr>
        <w:spacing w:after="0" w:line="227" w:lineRule="exact"/>
        <w:rPr>
          <w:sz w:val="20"/>
          <w:szCs w:val="20"/>
          <w:color w:val="auto"/>
        </w:rPr>
      </w:pPr>
    </w:p>
    <w:p>
      <w:pPr>
        <w:ind w:firstLine="486"/>
        <w:spacing w:after="0" w:line="292" w:lineRule="auto"/>
        <w:rPr>
          <w:sz w:val="20"/>
          <w:szCs w:val="20"/>
          <w:color w:val="auto"/>
        </w:rPr>
      </w:pPr>
      <w:r>
        <w:rPr>
          <w:rFonts w:ascii="Arial" w:cs="Arial" w:eastAsia="Arial" w:hAnsi="Arial"/>
          <w:sz w:val="18"/>
          <w:szCs w:val="18"/>
          <w:color w:val="231F20"/>
        </w:rPr>
        <w:t>Intangible assets consist primarily of developed technology and patent licenses from business combinations. Acquired intangibles are amortized on a straight-line basis over the respective estimated useful lives of the assets.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carrying values of intangible assets are as follows (in thousands, except for years):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6"/>
                <w:szCs w:val="16"/>
                <w:b w:val="1"/>
                <w:bCs w:val="1"/>
                <w:color w:val="auto"/>
              </w:rPr>
              <w:t>March 31, 2019</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100"/>
              <w:spacing w:after="0" w:line="183" w:lineRule="exact"/>
              <w:rPr>
                <w:sz w:val="20"/>
                <w:szCs w:val="20"/>
                <w:color w:val="auto"/>
              </w:rPr>
            </w:pPr>
            <w:r>
              <w:rPr>
                <w:rFonts w:ascii="Arial" w:cs="Arial" w:eastAsia="Arial" w:hAnsi="Arial"/>
                <w:sz w:val="16"/>
                <w:szCs w:val="16"/>
                <w:b w:val="1"/>
                <w:bCs w:val="1"/>
                <w:color w:val="auto"/>
                <w:w w:val="99"/>
              </w:rPr>
              <w:t>Weighted</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Average Life</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 Life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1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Cost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Net Book Value</w:t>
            </w:r>
          </w:p>
        </w:tc>
        <w:tc>
          <w:tcPr>
            <w:tcW w:w="0" w:type="dxa"/>
            <w:vAlign w:val="bottom"/>
          </w:tcPr>
          <w:p>
            <w:pPr>
              <w:spacing w:after="0"/>
              <w:rPr>
                <w:sz w:val="1"/>
                <w:szCs w:val="1"/>
                <w:color w:val="auto"/>
              </w:rPr>
            </w:pPr>
          </w:p>
        </w:tc>
      </w:tr>
      <w:tr>
        <w:trPr>
          <w:trHeight w:val="25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5 years</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26,356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(5,580)</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20,776</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Patent licenses</w:t>
            </w:r>
          </w:p>
        </w:tc>
        <w:tc>
          <w:tcPr>
            <w:tcW w:w="15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rPr>
              <w:t>14 years</w:t>
            </w: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5.4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42"/>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intangibles subject to amortization</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27,743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21,316</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vMerge w:val="restart"/>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245"/>
        </w:trPr>
        <w:tc>
          <w:tcPr>
            <w:tcW w:w="4120" w:type="dxa"/>
            <w:vAlign w:val="bottom"/>
            <w:tcBorders>
              <w:bottom w:val="single" w:sz="8" w:color="CCEEFF"/>
            </w:tcBorders>
            <w:vMerge w:val="continue"/>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 assets, net</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21,356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6"/>
                <w:szCs w:val="16"/>
                <w:b w:val="1"/>
                <w:bCs w:val="1"/>
                <w:color w:val="auto"/>
              </w:rPr>
              <w:t>December 31, 2018</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100"/>
              <w:spacing w:after="0" w:line="183" w:lineRule="exact"/>
              <w:rPr>
                <w:sz w:val="20"/>
                <w:szCs w:val="20"/>
                <w:color w:val="auto"/>
              </w:rPr>
            </w:pPr>
            <w:r>
              <w:rPr>
                <w:rFonts w:ascii="Arial" w:cs="Arial" w:eastAsia="Arial" w:hAnsi="Arial"/>
                <w:sz w:val="16"/>
                <w:szCs w:val="16"/>
                <w:b w:val="1"/>
                <w:bCs w:val="1"/>
                <w:color w:val="auto"/>
                <w:w w:val="99"/>
              </w:rPr>
              <w:t>Weighted</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Average Life</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 Life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1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Cost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Net Book Value</w:t>
            </w:r>
          </w:p>
        </w:tc>
        <w:tc>
          <w:tcPr>
            <w:tcW w:w="0" w:type="dxa"/>
            <w:vAlign w:val="bottom"/>
          </w:tcPr>
          <w:p>
            <w:pPr>
              <w:spacing w:after="0"/>
              <w:rPr>
                <w:sz w:val="1"/>
                <w:szCs w:val="1"/>
                <w:color w:val="auto"/>
              </w:rPr>
            </w:pPr>
          </w:p>
        </w:tc>
      </w:tr>
      <w:tr>
        <w:trPr>
          <w:trHeight w:val="25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5 years</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25,456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21,371</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Patent Licenses</w:t>
            </w:r>
          </w:p>
        </w:tc>
        <w:tc>
          <w:tcPr>
            <w:tcW w:w="15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rPr>
              <w:t>14 years</w:t>
            </w: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5.9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42"/>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intangibles subject to amortization</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26,843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21,936</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vMerge w:val="restart"/>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245"/>
        </w:trPr>
        <w:tc>
          <w:tcPr>
            <w:tcW w:w="4120" w:type="dxa"/>
            <w:vAlign w:val="bottom"/>
            <w:tcBorders>
              <w:bottom w:val="single" w:sz="8" w:color="CCEEFF"/>
            </w:tcBorders>
            <w:vMerge w:val="continue"/>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 assets, net</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21,976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8"/>
          <w:szCs w:val="18"/>
          <w:color w:val="231F20"/>
        </w:rPr>
        <w:t xml:space="preserve">Intangible asset amortization expense was $1.5 million and $0.6 million for the </w:t>
      </w:r>
      <w:r>
        <w:rPr>
          <w:rFonts w:ascii="Arial" w:cs="Arial" w:eastAsia="Arial" w:hAnsi="Arial"/>
          <w:sz w:val="18"/>
          <w:szCs w:val="18"/>
          <w:color w:val="000000"/>
        </w:rPr>
        <w:t>three months ended March 31, 2019</w:t>
      </w:r>
      <w:r>
        <w:rPr>
          <w:rFonts w:ascii="Arial" w:cs="Arial" w:eastAsia="Arial" w:hAnsi="Arial"/>
          <w:sz w:val="18"/>
          <w:szCs w:val="18"/>
          <w:color w:val="231F20"/>
        </w:rPr>
        <w:t xml:space="preserve"> and </w:t>
      </w:r>
      <w:r>
        <w:rPr>
          <w:rFonts w:ascii="Arial" w:cs="Arial" w:eastAsia="Arial" w:hAnsi="Arial"/>
          <w:sz w:val="18"/>
          <w:szCs w:val="18"/>
          <w:color w:val="000000"/>
        </w:rPr>
        <w:t>2018</w:t>
      </w:r>
      <w:r>
        <w:rPr>
          <w:rFonts w:ascii="Arial" w:cs="Arial" w:eastAsia="Arial" w:hAnsi="Arial"/>
          <w:sz w:val="18"/>
          <w:szCs w:val="18"/>
          <w:color w:val="231F20"/>
        </w:rPr>
        <w:t>, respectively.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6"/>
          <w:szCs w:val="16"/>
          <w:color w:val="0000EE"/>
        </w:rPr>
      </w:pPr>
      <w:hyperlink w:anchor="page3">
        <w:r>
          <w:rPr>
            <w:rFonts w:ascii="Arial" w:cs="Arial" w:eastAsia="Arial" w:hAnsi="Arial"/>
            <w:sz w:val="16"/>
            <w:szCs w:val="16"/>
            <w:color w:val="0000EE"/>
          </w:rPr>
          <w:t>Table of Contents</w:t>
        </w:r>
      </w:hyperlink>
    </w:p>
    <w:tbl>
      <w:tblPr>
        <w:tblLayout w:type="fixed"/>
        <w:tblInd w:w="0" w:type="dxa"/>
        <w:tblCellMar>
          <w:top w:w="0" w:type="dxa"/>
          <w:left w:w="0" w:type="dxa"/>
          <w:bottom w:w="0" w:type="dxa"/>
          <w:right w:w="0" w:type="dxa"/>
        </w:tblCellMar>
      </w:tblPr>
      <w:tr>
        <w:trPr>
          <w:trHeight w:val="198"/>
        </w:trPr>
        <w:tc>
          <w:tcPr>
            <w:tcW w:w="1260" w:type="dxa"/>
            <w:vAlign w:val="bottom"/>
            <w:tcBorders>
              <w:top w:val="single" w:sz="8" w:color="0000EE"/>
            </w:tcBorders>
          </w:tcPr>
          <w:p>
            <w:pPr>
              <w:spacing w:after="0"/>
              <w:rPr>
                <w:sz w:val="17"/>
                <w:szCs w:val="17"/>
                <w:color w:val="auto"/>
              </w:rPr>
            </w:pPr>
          </w:p>
        </w:tc>
        <w:tc>
          <w:tcPr>
            <w:tcW w:w="8680" w:type="dxa"/>
            <w:vAlign w:val="bottom"/>
          </w:tcPr>
          <w:p>
            <w:pPr>
              <w:jc w:val="center"/>
              <w:ind w:left="130"/>
              <w:spacing w:after="0" w:line="198" w:lineRule="exact"/>
              <w:rPr>
                <w:sz w:val="20"/>
                <w:szCs w:val="20"/>
                <w:color w:val="auto"/>
              </w:rPr>
            </w:pPr>
            <w:r>
              <w:rPr>
                <w:rFonts w:ascii="Arial" w:cs="Arial" w:eastAsia="Arial" w:hAnsi="Arial"/>
                <w:sz w:val="18"/>
                <w:szCs w:val="18"/>
                <w:b w:val="1"/>
                <w:bCs w:val="1"/>
                <w:color w:val="231F20"/>
              </w:rPr>
              <w:t>Qualys, Inc.</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1260" w:type="dxa"/>
            <w:vAlign w:val="bottom"/>
          </w:tcPr>
          <w:p>
            <w:pPr>
              <w:spacing w:after="0"/>
              <w:rPr>
                <w:sz w:val="18"/>
                <w:szCs w:val="18"/>
                <w:color w:val="auto"/>
              </w:rPr>
            </w:pPr>
          </w:p>
        </w:tc>
        <w:tc>
          <w:tcPr>
            <w:tcW w:w="8680" w:type="dxa"/>
            <w:vAlign w:val="bottom"/>
          </w:tcPr>
          <w:p>
            <w:pPr>
              <w:jc w:val="center"/>
              <w:ind w:left="150"/>
              <w:spacing w:after="0"/>
              <w:rPr>
                <w:sz w:val="20"/>
                <w:szCs w:val="20"/>
                <w:color w:val="auto"/>
              </w:rPr>
            </w:pPr>
            <w:r>
              <w:rPr>
                <w:rFonts w:ascii="Arial" w:cs="Arial" w:eastAsia="Arial" w:hAnsi="Arial"/>
                <w:sz w:val="18"/>
                <w:szCs w:val="18"/>
                <w:b w:val="1"/>
                <w:bCs w:val="1"/>
                <w:color w:val="231F20"/>
                <w:w w:val="99"/>
              </w:rPr>
              <w:t>NOTES TO CONDENSED CONSOLIDATED FINANCIAL STATEMENTS (Continued)</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3"/>
        </w:trPr>
        <w:tc>
          <w:tcPr>
            <w:tcW w:w="1260" w:type="dxa"/>
            <w:vAlign w:val="bottom"/>
          </w:tcPr>
          <w:p>
            <w:pPr>
              <w:spacing w:after="0"/>
              <w:rPr>
                <w:sz w:val="21"/>
                <w:szCs w:val="21"/>
                <w:color w:val="auto"/>
              </w:rPr>
            </w:pPr>
          </w:p>
        </w:tc>
        <w:tc>
          <w:tcPr>
            <w:tcW w:w="8680" w:type="dxa"/>
            <w:vAlign w:val="bottom"/>
          </w:tcPr>
          <w:p>
            <w:pPr>
              <w:jc w:val="center"/>
              <w:ind w:left="150"/>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640"/>
        </w:trPr>
        <w:tc>
          <w:tcPr>
            <w:tcW w:w="9940" w:type="dxa"/>
            <w:vAlign w:val="bottom"/>
            <w:gridSpan w:val="2"/>
          </w:tcPr>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2019</w:t>
            </w:r>
            <w:r>
              <w:rPr>
                <w:rFonts w:ascii="Arial" w:cs="Arial" w:eastAsia="Arial" w:hAnsi="Arial"/>
                <w:sz w:val="18"/>
                <w:szCs w:val="18"/>
                <w:color w:val="231F20"/>
              </w:rPr>
              <w:t>, the Company expects amortization expense in future periods to be as follows (in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7"/>
        </w:trPr>
        <w:tc>
          <w:tcPr>
            <w:tcW w:w="126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2019 (remaining nine months)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4,561</w:t>
            </w:r>
          </w:p>
        </w:tc>
      </w:tr>
      <w:tr>
        <w:trPr>
          <w:trHeight w:val="235"/>
        </w:trPr>
        <w:tc>
          <w:tcPr>
            <w:tcW w:w="1260" w:type="dxa"/>
            <w:vAlign w:val="bottom"/>
          </w:tcPr>
          <w:p>
            <w:pPr>
              <w:ind w:left="40"/>
              <w:spacing w:after="0"/>
              <w:rPr>
                <w:sz w:val="20"/>
                <w:szCs w:val="20"/>
                <w:color w:val="auto"/>
              </w:rPr>
            </w:pPr>
            <w:r>
              <w:rPr>
                <w:rFonts w:ascii="Arial" w:cs="Arial" w:eastAsia="Arial" w:hAnsi="Arial"/>
                <w:sz w:val="16"/>
                <w:szCs w:val="16"/>
                <w:color w:val="auto"/>
              </w:rPr>
              <w:t>2020</w:t>
            </w:r>
          </w:p>
        </w:tc>
        <w:tc>
          <w:tcPr>
            <w:tcW w:w="8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6,081</w:t>
            </w:r>
          </w:p>
        </w:tc>
      </w:tr>
      <w:tr>
        <w:trPr>
          <w:trHeight w:val="251"/>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86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6,081</w:t>
            </w:r>
          </w:p>
        </w:tc>
      </w:tr>
      <w:tr>
        <w:trPr>
          <w:trHeight w:val="235"/>
        </w:trPr>
        <w:tc>
          <w:tcPr>
            <w:tcW w:w="1260" w:type="dxa"/>
            <w:vAlign w:val="bottom"/>
          </w:tcPr>
          <w:p>
            <w:pPr>
              <w:ind w:left="40"/>
              <w:spacing w:after="0"/>
              <w:rPr>
                <w:sz w:val="20"/>
                <w:szCs w:val="20"/>
                <w:color w:val="auto"/>
              </w:rPr>
            </w:pPr>
            <w:r>
              <w:rPr>
                <w:rFonts w:ascii="Arial" w:cs="Arial" w:eastAsia="Arial" w:hAnsi="Arial"/>
                <w:sz w:val="16"/>
                <w:szCs w:val="16"/>
                <w:color w:val="auto"/>
              </w:rPr>
              <w:t>2022</w:t>
            </w:r>
          </w:p>
        </w:tc>
        <w:tc>
          <w:tcPr>
            <w:tcW w:w="8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4,427</w:t>
            </w:r>
          </w:p>
        </w:tc>
      </w:tr>
      <w:tr>
        <w:trPr>
          <w:trHeight w:val="251"/>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86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9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2024 and thereafter</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w:t>
            </w:r>
          </w:p>
        </w:tc>
      </w:tr>
      <w:tr>
        <w:trPr>
          <w:trHeight w:val="237"/>
        </w:trPr>
        <w:tc>
          <w:tcPr>
            <w:tcW w:w="9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expected future amortization expense</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21,316</w:t>
            </w:r>
          </w:p>
        </w:tc>
      </w:tr>
    </w:tbl>
    <w:p>
      <w:pPr>
        <w:spacing w:after="0" w:line="234" w:lineRule="exact"/>
        <w:rPr>
          <w:sz w:val="20"/>
          <w:szCs w:val="20"/>
          <w:color w:val="auto"/>
        </w:rPr>
      </w:pPr>
    </w:p>
    <w:p>
      <w:pPr>
        <w:jc w:val="both"/>
        <w:ind w:right="20" w:firstLine="486"/>
        <w:spacing w:after="0" w:line="292" w:lineRule="auto"/>
        <w:rPr>
          <w:sz w:val="20"/>
          <w:szCs w:val="20"/>
          <w:color w:val="auto"/>
        </w:rPr>
      </w:pPr>
      <w:r>
        <w:rPr>
          <w:rFonts w:ascii="Arial" w:cs="Arial" w:eastAsia="Arial" w:hAnsi="Arial"/>
          <w:sz w:val="18"/>
          <w:szCs w:val="18"/>
          <w:color w:val="231F20"/>
        </w:rPr>
        <w:t xml:space="preserve">Goodwill, which is not subject to amortization, totaled $7.3 million and </w:t>
      </w:r>
      <w:r>
        <w:rPr>
          <w:rFonts w:ascii="Arial" w:cs="Arial" w:eastAsia="Arial" w:hAnsi="Arial"/>
          <w:sz w:val="18"/>
          <w:szCs w:val="18"/>
          <w:color w:val="000000"/>
        </w:rPr>
        <w:t>$7.2 million</w:t>
      </w:r>
      <w:r>
        <w:rPr>
          <w:rFonts w:ascii="Arial" w:cs="Arial" w:eastAsia="Arial" w:hAnsi="Arial"/>
          <w:sz w:val="18"/>
          <w:szCs w:val="18"/>
          <w:color w:val="231F20"/>
        </w:rPr>
        <w:t xml:space="preserve"> as of </w:t>
      </w:r>
      <w:r>
        <w:rPr>
          <w:rFonts w:ascii="Arial" w:cs="Arial" w:eastAsia="Arial" w:hAnsi="Arial"/>
          <w:sz w:val="18"/>
          <w:szCs w:val="18"/>
          <w:color w:val="000000"/>
        </w:rPr>
        <w:t>March 31, 2019</w:t>
      </w:r>
      <w:r>
        <w:rPr>
          <w:rFonts w:ascii="Arial" w:cs="Arial" w:eastAsia="Arial" w:hAnsi="Arial"/>
          <w:sz w:val="18"/>
          <w:szCs w:val="18"/>
          <w:color w:val="231F20"/>
        </w:rPr>
        <w:t xml:space="preserve"> and December 31, 2018, respectively.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Leases</w:t>
      </w:r>
    </w:p>
    <w:p>
      <w:pPr>
        <w:spacing w:after="0" w:line="22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On January 1, 2019, the Company adopted ASU No. 2016-02, “Leases (Topic 842),” which requires leases with durations greater than twelve months to be recognized on the balance sheet. We adopted the standard using the current period adjustment method with an effective date of January 1, 2019. Prior year financial statements were not restated under the new standard and, therefore, those amounts are not presented below. For both operating and finance leases, we recognize a right-of-use asset, which represents our right to use the underlying asset for the lease term, and a lease liability, which represents the present value of our obligation to make payments arising over the lease term. The present value of the lease payments is calculated using the incremental borrowing rate for operating and finance leases. The incremental borrowing rate is determined using a portfolio approach based on the rate of interest that the Company would have to pay to borrow an amount equal to the lease payments on a collateralized basis over a similar term.</w:t>
      </w:r>
    </w:p>
    <w:p>
      <w:pPr>
        <w:spacing w:after="0" w:line="178"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color w:val="231F20"/>
        </w:rPr>
        <w:t>Where the Company is the lessee, we have elected to account for non-lease components associated with our leases (e.g., common area maintenance costs) and lease components separately for substantially all of our asset classes. In arrangements where we are the lessor, we have customer premise equipment for which we apply the lease and non-lease component practical expedient and account for non-lease component practical expedient and account for non-lease components (e.g., service revenue) and lease components as combined components under the revenue recognition guidance in ASU 2014-09, "Revenue from Contracts with Customers" (Topic 606) as the service revenues are the predominant components in the arrangements.</w:t>
      </w:r>
    </w:p>
    <w:p>
      <w:pPr>
        <w:spacing w:after="0" w:line="17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231F20"/>
        </w:rPr>
        <w:t>We lease property and equipment under finance and operating leases. For leases with terms greater than 12 months, we record the related asset and obligation at the present value of lease payments over the term. Many of our leases include rental escalation clauses, renewal options and/or termination options that are factored into our determination of lease payments when appropriate.</w:t>
      </w:r>
    </w:p>
    <w:p>
      <w:pPr>
        <w:spacing w:after="0" w:line="163"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231F20"/>
        </w:rPr>
        <w:t>When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table below presents the lease-related assets and liabilities recorded on the balance sheet.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4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March 31,</w:t>
            </w:r>
          </w:p>
        </w:tc>
      </w:tr>
      <w:tr>
        <w:trPr>
          <w:trHeight w:val="247"/>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6900" w:type="dxa"/>
            <w:vAlign w:val="bottom"/>
            <w:tcBorders>
              <w:bottom w:val="single" w:sz="8" w:color="auto"/>
            </w:tcBorders>
          </w:tcPr>
          <w:p>
            <w:pPr>
              <w:ind w:left="2680"/>
              <w:spacing w:after="0"/>
              <w:rPr>
                <w:sz w:val="20"/>
                <w:szCs w:val="20"/>
                <w:color w:val="auto"/>
              </w:rPr>
            </w:pPr>
            <w:r>
              <w:rPr>
                <w:rFonts w:ascii="Arial" w:cs="Arial" w:eastAsia="Arial" w:hAnsi="Arial"/>
                <w:sz w:val="16"/>
                <w:szCs w:val="16"/>
                <w:b w:val="1"/>
                <w:bCs w:val="1"/>
                <w:color w:val="auto"/>
              </w:rPr>
              <w:t>Classification on the Balance Sheet</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264"/>
        </w:trPr>
        <w:tc>
          <w:tcPr>
            <w:tcW w:w="30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6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47"/>
        </w:trPr>
        <w:tc>
          <w:tcPr>
            <w:tcW w:w="3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 assets</w:t>
            </w:r>
          </w:p>
        </w:tc>
        <w:tc>
          <w:tcPr>
            <w:tcW w:w="690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Operating lease - right of use asset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29,604</w:t>
            </w:r>
          </w:p>
        </w:tc>
      </w:tr>
      <w:tr>
        <w:trPr>
          <w:trHeight w:val="237"/>
        </w:trPr>
        <w:tc>
          <w:tcPr>
            <w:tcW w:w="3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Finance lease assets</w:t>
            </w:r>
          </w:p>
        </w:tc>
        <w:tc>
          <w:tcPr>
            <w:tcW w:w="6900" w:type="dxa"/>
            <w:vAlign w:val="bottom"/>
            <w:tcBorders>
              <w:bottom w:val="single" w:sz="8" w:color="CCEEFF"/>
            </w:tcBorders>
          </w:tcPr>
          <w:p>
            <w:pPr>
              <w:ind w:left="122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2,175</w:t>
            </w:r>
          </w:p>
        </w:tc>
      </w:tr>
      <w:tr>
        <w:trPr>
          <w:trHeight w:val="242"/>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lease assets</w:t>
            </w:r>
          </w:p>
        </w:tc>
        <w:tc>
          <w:tcPr>
            <w:tcW w:w="6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31,779</w:t>
            </w:r>
          </w:p>
        </w:tc>
      </w:tr>
      <w:tr>
        <w:trPr>
          <w:trHeight w:val="20"/>
        </w:trPr>
        <w:tc>
          <w:tcPr>
            <w:tcW w:w="30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2"/>
        </w:trPr>
        <w:tc>
          <w:tcPr>
            <w:tcW w:w="3040" w:type="dxa"/>
            <w:vAlign w:val="bottom"/>
          </w:tcPr>
          <w:p>
            <w:pPr>
              <w:spacing w:after="0"/>
              <w:rPr>
                <w:sz w:val="21"/>
                <w:szCs w:val="21"/>
                <w:color w:val="auto"/>
              </w:rPr>
            </w:pPr>
          </w:p>
        </w:tc>
        <w:tc>
          <w:tcPr>
            <w:tcW w:w="6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69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2"/>
        </w:trPr>
        <w:tc>
          <w:tcPr>
            <w:tcW w:w="3040" w:type="dxa"/>
            <w:vAlign w:val="bottom"/>
          </w:tcPr>
          <w:p>
            <w:pPr>
              <w:ind w:left="40"/>
              <w:spacing w:after="0"/>
              <w:rPr>
                <w:sz w:val="20"/>
                <w:szCs w:val="20"/>
                <w:color w:val="auto"/>
              </w:rPr>
            </w:pPr>
            <w:r>
              <w:rPr>
                <w:rFonts w:ascii="Arial" w:cs="Arial" w:eastAsia="Arial" w:hAnsi="Arial"/>
                <w:sz w:val="16"/>
                <w:szCs w:val="16"/>
                <w:color w:val="auto"/>
              </w:rPr>
              <w:t>Current</w:t>
            </w:r>
          </w:p>
        </w:tc>
        <w:tc>
          <w:tcPr>
            <w:tcW w:w="6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1"/>
        </w:trPr>
        <w:tc>
          <w:tcPr>
            <w:tcW w:w="3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w:t>
            </w:r>
          </w:p>
        </w:tc>
        <w:tc>
          <w:tcPr>
            <w:tcW w:w="690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Accrued liabilities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6,760</w:t>
            </w:r>
          </w:p>
        </w:tc>
      </w:tr>
      <w:tr>
        <w:trPr>
          <w:trHeight w:val="235"/>
        </w:trPr>
        <w:tc>
          <w:tcPr>
            <w:tcW w:w="3040" w:type="dxa"/>
            <w:vAlign w:val="bottom"/>
          </w:tcPr>
          <w:p>
            <w:pPr>
              <w:ind w:left="180"/>
              <w:spacing w:after="0"/>
              <w:rPr>
                <w:sz w:val="20"/>
                <w:szCs w:val="20"/>
                <w:color w:val="auto"/>
              </w:rPr>
            </w:pPr>
            <w:r>
              <w:rPr>
                <w:rFonts w:ascii="Arial" w:cs="Arial" w:eastAsia="Arial" w:hAnsi="Arial"/>
                <w:sz w:val="16"/>
                <w:szCs w:val="16"/>
                <w:color w:val="auto"/>
              </w:rPr>
              <w:t>Finance</w:t>
            </w:r>
          </w:p>
        </w:tc>
        <w:tc>
          <w:tcPr>
            <w:tcW w:w="6900" w:type="dxa"/>
            <w:vAlign w:val="bottom"/>
          </w:tcPr>
          <w:p>
            <w:pPr>
              <w:ind w:left="1220"/>
              <w:spacing w:after="0"/>
              <w:rPr>
                <w:sz w:val="20"/>
                <w:szCs w:val="20"/>
                <w:color w:val="auto"/>
              </w:rPr>
            </w:pPr>
            <w:r>
              <w:rPr>
                <w:rFonts w:ascii="Arial" w:cs="Arial" w:eastAsia="Arial" w:hAnsi="Arial"/>
                <w:sz w:val="16"/>
                <w:szCs w:val="16"/>
                <w:color w:val="auto"/>
              </w:rPr>
              <w:t>Finance lease, current</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1,153</w:t>
            </w:r>
          </w:p>
        </w:tc>
      </w:tr>
      <w:tr>
        <w:trPr>
          <w:trHeight w:val="278"/>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w:t>
            </w:r>
          </w:p>
        </w:tc>
        <w:tc>
          <w:tcPr>
            <w:tcW w:w="6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35"/>
        </w:trPr>
        <w:tc>
          <w:tcPr>
            <w:tcW w:w="3040" w:type="dxa"/>
            <w:vAlign w:val="bottom"/>
          </w:tcPr>
          <w:p>
            <w:pPr>
              <w:ind w:left="180"/>
              <w:spacing w:after="0"/>
              <w:rPr>
                <w:sz w:val="20"/>
                <w:szCs w:val="20"/>
                <w:color w:val="auto"/>
              </w:rPr>
            </w:pPr>
            <w:r>
              <w:rPr>
                <w:rFonts w:ascii="Arial" w:cs="Arial" w:eastAsia="Arial" w:hAnsi="Arial"/>
                <w:sz w:val="16"/>
                <w:szCs w:val="16"/>
                <w:color w:val="auto"/>
              </w:rPr>
              <w:t>Operating</w:t>
            </w:r>
          </w:p>
        </w:tc>
        <w:tc>
          <w:tcPr>
            <w:tcW w:w="6900" w:type="dxa"/>
            <w:vAlign w:val="bottom"/>
          </w:tcPr>
          <w:p>
            <w:pPr>
              <w:ind w:left="1220"/>
              <w:spacing w:after="0"/>
              <w:rPr>
                <w:sz w:val="20"/>
                <w:szCs w:val="20"/>
                <w:color w:val="auto"/>
              </w:rPr>
            </w:pPr>
            <w:r>
              <w:rPr>
                <w:rFonts w:ascii="Arial" w:cs="Arial" w:eastAsia="Arial" w:hAnsi="Arial"/>
                <w:sz w:val="16"/>
                <w:szCs w:val="16"/>
                <w:color w:val="auto"/>
              </w:rPr>
              <w:t>Operating lease liability, noncurrent</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33,589</w:t>
            </w:r>
          </w:p>
        </w:tc>
      </w:tr>
      <w:tr>
        <w:trPr>
          <w:trHeight w:val="244"/>
        </w:trPr>
        <w:tc>
          <w:tcPr>
            <w:tcW w:w="3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w:t>
            </w:r>
          </w:p>
        </w:tc>
        <w:tc>
          <w:tcPr>
            <w:tcW w:w="690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r>
      <w:tr>
        <w:trPr>
          <w:trHeight w:val="242"/>
        </w:trPr>
        <w:tc>
          <w:tcPr>
            <w:tcW w:w="3040" w:type="dxa"/>
            <w:vAlign w:val="bottom"/>
          </w:tcPr>
          <w:p>
            <w:pPr>
              <w:ind w:left="280"/>
              <w:spacing w:after="0"/>
              <w:rPr>
                <w:sz w:val="20"/>
                <w:szCs w:val="20"/>
                <w:color w:val="auto"/>
              </w:rPr>
            </w:pPr>
            <w:r>
              <w:rPr>
                <w:rFonts w:ascii="Arial" w:cs="Arial" w:eastAsia="Arial" w:hAnsi="Arial"/>
                <w:sz w:val="16"/>
                <w:szCs w:val="16"/>
                <w:color w:val="auto"/>
              </w:rPr>
              <w:t>Total lease liabilities</w:t>
            </w:r>
          </w:p>
        </w:tc>
        <w:tc>
          <w:tcPr>
            <w:tcW w:w="690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41,650</w:t>
            </w:r>
          </w:p>
        </w:tc>
      </w:tr>
      <w:tr>
        <w:trPr>
          <w:trHeight w:val="20"/>
        </w:trPr>
        <w:tc>
          <w:tcPr>
            <w:tcW w:w="30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231F20"/>
        </w:rPr>
        <w:t>The Company leases certain computer equipment and its corporate office and data center facilities under non-cancelable operating leases for varying periods through 2028. In January 2018, the Company entered into a $3.5 million financing arrangement for data center storage equipment, accounted for as a finance lease, with an implied interest rate of 5%.</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are the minimum annual lease payments due under these leases at </w:t>
      </w:r>
      <w:r>
        <w:rPr>
          <w:rFonts w:ascii="Arial" w:cs="Arial" w:eastAsia="Arial" w:hAnsi="Arial"/>
          <w:sz w:val="18"/>
          <w:szCs w:val="18"/>
          <w:color w:val="000000"/>
        </w:rPr>
        <w:t>March 31, 2019</w:t>
      </w:r>
      <w:r>
        <w:rPr>
          <w:rFonts w:ascii="Arial" w:cs="Arial" w:eastAsia="Arial" w:hAnsi="Arial"/>
          <w:sz w:val="18"/>
          <w:szCs w:val="18"/>
          <w:color w:val="231F20"/>
        </w:rPr>
        <w:t xml:space="preserve"> (in thousands):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460" w:type="dxa"/>
            <w:vAlign w:val="bottom"/>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Operating Leases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8"/>
              </w:rPr>
              <w:t>Finance Leases</w:t>
            </w:r>
          </w:p>
        </w:tc>
      </w:tr>
      <w:tr>
        <w:trPr>
          <w:trHeight w:val="246"/>
        </w:trPr>
        <w:tc>
          <w:tcPr>
            <w:tcW w:w="8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43"/>
        </w:trPr>
        <w:tc>
          <w:tcPr>
            <w:tcW w:w="8460" w:type="dxa"/>
            <w:vAlign w:val="bottom"/>
          </w:tcPr>
          <w:p>
            <w:pPr>
              <w:ind w:left="40"/>
              <w:spacing w:after="0"/>
              <w:rPr>
                <w:sz w:val="20"/>
                <w:szCs w:val="20"/>
                <w:color w:val="auto"/>
              </w:rPr>
            </w:pPr>
            <w:r>
              <w:rPr>
                <w:rFonts w:ascii="Arial" w:cs="Arial" w:eastAsia="Arial" w:hAnsi="Arial"/>
                <w:sz w:val="16"/>
                <w:szCs w:val="16"/>
                <w:color w:val="auto"/>
              </w:rPr>
              <w:t>2019 (remaining nine months)</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6,601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1,328</w:t>
            </w:r>
          </w:p>
        </w:tc>
      </w:tr>
      <w:tr>
        <w:trPr>
          <w:trHeight w:val="251"/>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7,819</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35"/>
        </w:trPr>
        <w:tc>
          <w:tcPr>
            <w:tcW w:w="8460" w:type="dxa"/>
            <w:vAlign w:val="bottom"/>
          </w:tcPr>
          <w:p>
            <w:pPr>
              <w:ind w:left="40"/>
              <w:spacing w:after="0"/>
              <w:rPr>
                <w:sz w:val="20"/>
                <w:szCs w:val="20"/>
                <w:color w:val="auto"/>
              </w:rPr>
            </w:pPr>
            <w:r>
              <w:rPr>
                <w:rFonts w:ascii="Arial" w:cs="Arial" w:eastAsia="Arial" w:hAnsi="Arial"/>
                <w:sz w:val="16"/>
                <w:szCs w:val="16"/>
                <w:color w:val="auto"/>
              </w:rPr>
              <w:t>2021</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6,124</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251"/>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4,542</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5"/>
        </w:trPr>
        <w:tc>
          <w:tcPr>
            <w:tcW w:w="8460" w:type="dxa"/>
            <w:vAlign w:val="bottom"/>
          </w:tcPr>
          <w:p>
            <w:pPr>
              <w:ind w:left="40"/>
              <w:spacing w:after="0"/>
              <w:rPr>
                <w:sz w:val="20"/>
                <w:szCs w:val="20"/>
                <w:color w:val="auto"/>
              </w:rPr>
            </w:pPr>
            <w:r>
              <w:rPr>
                <w:rFonts w:ascii="Arial" w:cs="Arial" w:eastAsia="Arial" w:hAnsi="Arial"/>
                <w:sz w:val="16"/>
                <w:szCs w:val="16"/>
                <w:color w:val="auto"/>
              </w:rPr>
              <w:t>2023</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4,298</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 and thereafter</w:t>
            </w: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19,299</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5"/>
        </w:trPr>
        <w:tc>
          <w:tcPr>
            <w:tcW w:w="8460" w:type="dxa"/>
            <w:vAlign w:val="bottom"/>
          </w:tcPr>
          <w:p>
            <w:pPr>
              <w:ind w:left="40"/>
              <w:spacing w:after="0"/>
              <w:rPr>
                <w:sz w:val="20"/>
                <w:szCs w:val="20"/>
                <w:color w:val="auto"/>
              </w:rPr>
            </w:pPr>
            <w:r>
              <w:rPr>
                <w:rFonts w:ascii="Arial" w:cs="Arial" w:eastAsia="Arial" w:hAnsi="Arial"/>
                <w:sz w:val="16"/>
                <w:szCs w:val="16"/>
                <w:color w:val="auto"/>
              </w:rPr>
              <w:t>Total minimum lease payments</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48,683</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1,512</w:t>
            </w:r>
          </w:p>
        </w:tc>
      </w:tr>
      <w:tr>
        <w:trPr>
          <w:trHeight w:val="244"/>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amount representing interest</w:t>
            </w: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(8,334)</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35"/>
        </w:trPr>
        <w:tc>
          <w:tcPr>
            <w:tcW w:w="8460" w:type="dxa"/>
            <w:vAlign w:val="bottom"/>
          </w:tcPr>
          <w:p>
            <w:pPr>
              <w:ind w:left="40"/>
              <w:spacing w:after="0"/>
              <w:rPr>
                <w:sz w:val="20"/>
                <w:szCs w:val="20"/>
                <w:color w:val="auto"/>
              </w:rPr>
            </w:pPr>
            <w:r>
              <w:rPr>
                <w:rFonts w:ascii="Arial" w:cs="Arial" w:eastAsia="Arial" w:hAnsi="Arial"/>
                <w:sz w:val="16"/>
                <w:szCs w:val="16"/>
                <w:color w:val="auto"/>
              </w:rPr>
              <w:t>Present value of minimum payments</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40,349</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1,301</w:t>
            </w:r>
          </w:p>
        </w:tc>
      </w:tr>
      <w:tr>
        <w:trPr>
          <w:trHeight w:val="244"/>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(6,760)</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w:t>
            </w:r>
          </w:p>
        </w:tc>
      </w:tr>
      <w:tr>
        <w:trPr>
          <w:trHeight w:val="242"/>
        </w:trPr>
        <w:tc>
          <w:tcPr>
            <w:tcW w:w="8460" w:type="dxa"/>
            <w:vAlign w:val="bottom"/>
          </w:tcPr>
          <w:p>
            <w:pPr>
              <w:ind w:left="40"/>
              <w:spacing w:after="0"/>
              <w:rPr>
                <w:sz w:val="20"/>
                <w:szCs w:val="20"/>
                <w:color w:val="auto"/>
              </w:rPr>
            </w:pPr>
            <w:r>
              <w:rPr>
                <w:rFonts w:ascii="Arial" w:cs="Arial" w:eastAsia="Arial" w:hAnsi="Arial"/>
                <w:sz w:val="16"/>
                <w:szCs w:val="16"/>
                <w:color w:val="auto"/>
              </w:rPr>
              <w:t>Lease obligations, noncurrent</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33,589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w:t>
            </w:r>
          </w:p>
        </w:tc>
      </w:tr>
      <w:tr>
        <w:trPr>
          <w:trHeight w:val="20"/>
        </w:trPr>
        <w:tc>
          <w:tcPr>
            <w:tcW w:w="8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Lease expense was $1.6 million and $2.2 million for the </w:t>
      </w:r>
      <w:r>
        <w:rPr>
          <w:rFonts w:ascii="Arial" w:cs="Arial" w:eastAsia="Arial" w:hAnsi="Arial"/>
          <w:sz w:val="18"/>
          <w:szCs w:val="18"/>
          <w:color w:val="000000"/>
        </w:rPr>
        <w:t>three months ended March 31, 2019</w:t>
      </w:r>
      <w:r>
        <w:rPr>
          <w:rFonts w:ascii="Arial" w:cs="Arial" w:eastAsia="Arial" w:hAnsi="Arial"/>
          <w:sz w:val="18"/>
          <w:szCs w:val="18"/>
          <w:color w:val="231F20"/>
        </w:rPr>
        <w:t xml:space="preserve"> and </w:t>
      </w:r>
      <w:r>
        <w:rPr>
          <w:rFonts w:ascii="Arial" w:cs="Arial" w:eastAsia="Arial" w:hAnsi="Arial"/>
          <w:sz w:val="18"/>
          <w:szCs w:val="18"/>
          <w:color w:val="000000"/>
        </w:rPr>
        <w:t>2018</w:t>
      </w:r>
      <w:r>
        <w:rPr>
          <w:rFonts w:ascii="Arial" w:cs="Arial" w:eastAsia="Arial" w:hAnsi="Arial"/>
          <w:sz w:val="18"/>
          <w:szCs w:val="18"/>
          <w:color w:val="231F20"/>
        </w:rPr>
        <w:t>, respectively.</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weighted average remaining lease term and the weighted average discount rate of our leases were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78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March 31, 2019</w:t>
            </w:r>
          </w:p>
        </w:tc>
      </w:tr>
      <w:tr>
        <w:trPr>
          <w:trHeight w:val="267"/>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remaining lease term (years)</w:t>
            </w:r>
          </w:p>
        </w:tc>
        <w:tc>
          <w:tcPr>
            <w:tcW w:w="1640" w:type="dxa"/>
            <w:vAlign w:val="bottom"/>
            <w:shd w:val="clear" w:color="auto" w:fill="CCEEFF"/>
          </w:tcPr>
          <w:p>
            <w:pPr>
              <w:spacing w:after="0"/>
              <w:rPr>
                <w:sz w:val="23"/>
                <w:szCs w:val="23"/>
                <w:color w:val="auto"/>
              </w:rPr>
            </w:pPr>
          </w:p>
        </w:tc>
      </w:tr>
      <w:tr>
        <w:trPr>
          <w:trHeight w:val="235"/>
        </w:trPr>
        <w:tc>
          <w:tcPr>
            <w:tcW w:w="978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1640" w:type="dxa"/>
            <w:vAlign w:val="bottom"/>
          </w:tcPr>
          <w:p>
            <w:pPr>
              <w:jc w:val="right"/>
              <w:ind w:right="99"/>
              <w:spacing w:after="0"/>
              <w:rPr>
                <w:sz w:val="20"/>
                <w:szCs w:val="20"/>
                <w:color w:val="auto"/>
              </w:rPr>
            </w:pPr>
            <w:r>
              <w:rPr>
                <w:rFonts w:ascii="Arial" w:cs="Arial" w:eastAsia="Arial" w:hAnsi="Arial"/>
                <w:sz w:val="16"/>
                <w:szCs w:val="16"/>
                <w:color w:val="auto"/>
              </w:rPr>
              <w:t>8</w:t>
            </w:r>
          </w:p>
        </w:tc>
      </w:tr>
      <w:tr>
        <w:trPr>
          <w:trHeight w:val="251"/>
        </w:trPr>
        <w:tc>
          <w:tcPr>
            <w:tcW w:w="9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1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r>
      <w:tr>
        <w:trPr>
          <w:trHeight w:val="266"/>
        </w:trPr>
        <w:tc>
          <w:tcPr>
            <w:tcW w:w="9780" w:type="dxa"/>
            <w:vAlign w:val="bottom"/>
          </w:tcPr>
          <w:p>
            <w:pPr>
              <w:ind w:left="40"/>
              <w:spacing w:after="0"/>
              <w:rPr>
                <w:sz w:val="20"/>
                <w:szCs w:val="20"/>
                <w:color w:val="auto"/>
              </w:rPr>
            </w:pPr>
            <w:r>
              <w:rPr>
                <w:rFonts w:ascii="Arial" w:cs="Arial" w:eastAsia="Arial" w:hAnsi="Arial"/>
                <w:sz w:val="16"/>
                <w:szCs w:val="16"/>
                <w:b w:val="1"/>
                <w:bCs w:val="1"/>
                <w:color w:val="auto"/>
              </w:rPr>
              <w:t>Weighted average discount rates</w:t>
            </w:r>
          </w:p>
        </w:tc>
        <w:tc>
          <w:tcPr>
            <w:tcW w:w="1640" w:type="dxa"/>
            <w:vAlign w:val="bottom"/>
          </w:tcPr>
          <w:p>
            <w:pPr>
              <w:spacing w:after="0"/>
              <w:rPr>
                <w:sz w:val="23"/>
                <w:szCs w:val="23"/>
                <w:color w:val="auto"/>
              </w:rPr>
            </w:pPr>
          </w:p>
        </w:tc>
      </w:tr>
      <w:tr>
        <w:trPr>
          <w:trHeight w:val="247"/>
        </w:trPr>
        <w:tc>
          <w:tcPr>
            <w:tcW w:w="9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leases</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28"/>
        </w:trPr>
        <w:tc>
          <w:tcPr>
            <w:tcW w:w="9780" w:type="dxa"/>
            <w:vAlign w:val="bottom"/>
          </w:tcPr>
          <w:p>
            <w:pPr>
              <w:ind w:left="180"/>
              <w:spacing w:after="0"/>
              <w:rPr>
                <w:sz w:val="20"/>
                <w:szCs w:val="20"/>
                <w:color w:val="auto"/>
              </w:rPr>
            </w:pPr>
            <w:r>
              <w:rPr>
                <w:rFonts w:ascii="Arial" w:cs="Arial" w:eastAsia="Arial" w:hAnsi="Arial"/>
                <w:sz w:val="16"/>
                <w:szCs w:val="16"/>
                <w:color w:val="auto"/>
              </w:rPr>
              <w:t>Finance leases</w:t>
            </w:r>
          </w:p>
        </w:tc>
        <w:tc>
          <w:tcPr>
            <w:tcW w:w="1640" w:type="dxa"/>
            <w:vAlign w:val="bottom"/>
          </w:tcPr>
          <w:p>
            <w:pPr>
              <w:jc w:val="right"/>
              <w:spacing w:after="0"/>
              <w:rPr>
                <w:sz w:val="20"/>
                <w:szCs w:val="20"/>
                <w:color w:val="auto"/>
              </w:rPr>
            </w:pPr>
            <w:r>
              <w:rPr>
                <w:rFonts w:ascii="Arial" w:cs="Arial" w:eastAsia="Arial" w:hAnsi="Arial"/>
                <w:sz w:val="16"/>
                <w:szCs w:val="16"/>
                <w:color w:val="auto"/>
              </w:rPr>
              <w:t>5.0%</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8. Commitments and Contingencies</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9. Stock-based Compensation</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Equity Incentive Plans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23"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231F20"/>
        </w:rPr>
        <w:t>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11,791,179 shares of common stock as of March 31, 2019. Options may be granted with an exercise price that is at least equal to the fair market value of the Company's stock at the date of grant and are exercisable when vested. As of March 31, 2019, 3,827,360 shares were available for grant under the 2012 Plan.</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2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Under the 2000 Equity Incentive Plan (the "2000 Plan"), the Company was authorized to grant to eligible participants either ISOs or NSOs. The 2000 Plan was terminated in connection with the closing of the Company's initial public offering, and accordingly, no shares are currently available for grant under the 2000 Plan. The 2000 Plan continues to govern outstanding awards granted thereunder.</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225"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8"/>
          <w:szCs w:val="18"/>
          <w:color w:val="231F20"/>
        </w:rPr>
        <w:t xml:space="preserve">The following table shows a summary of the stock-based compensation expense included in the condensed consolidated statements of operations for the </w:t>
      </w:r>
      <w:r>
        <w:rPr>
          <w:rFonts w:ascii="Arial" w:cs="Arial" w:eastAsia="Arial" w:hAnsi="Arial"/>
          <w:sz w:val="18"/>
          <w:szCs w:val="18"/>
          <w:color w:val="000000"/>
        </w:rPr>
        <w:t>three months ended March 31, 2019</w:t>
      </w:r>
      <w:r>
        <w:rPr>
          <w:rFonts w:ascii="Arial" w:cs="Arial" w:eastAsia="Arial" w:hAnsi="Arial"/>
          <w:sz w:val="18"/>
          <w:szCs w:val="18"/>
          <w:color w:val="231F20"/>
        </w:rPr>
        <w:t xml:space="preserve"> and </w:t>
      </w:r>
      <w:r>
        <w:rPr>
          <w:rFonts w:ascii="Arial" w:cs="Arial" w:eastAsia="Arial" w:hAnsi="Arial"/>
          <w:sz w:val="18"/>
          <w:szCs w:val="18"/>
          <w:color w:val="000000"/>
        </w:rPr>
        <w:t>2018</w:t>
      </w:r>
      <w:r>
        <w:rPr>
          <w:rFonts w:ascii="Arial" w:cs="Arial" w:eastAsia="Arial" w:hAnsi="Arial"/>
          <w:sz w:val="18"/>
          <w:szCs w:val="18"/>
          <w:color w:val="231F20"/>
        </w:rPr>
        <w:t>:</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40" w:type="dxa"/>
            <w:vAlign w:val="bottom"/>
          </w:tcPr>
          <w:p>
            <w:pPr>
              <w:spacing w:after="0"/>
              <w:rPr>
                <w:sz w:val="19"/>
                <w:szCs w:val="19"/>
                <w:color w:val="auto"/>
              </w:rPr>
            </w:pPr>
          </w:p>
        </w:tc>
        <w:tc>
          <w:tcPr>
            <w:tcW w:w="2540" w:type="dxa"/>
            <w:vAlign w:val="bottom"/>
            <w:gridSpan w:val="4"/>
          </w:tcPr>
          <w:p>
            <w:pPr>
              <w:jc w:val="center"/>
              <w:ind w:left="49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9"/>
                <w:szCs w:val="19"/>
                <w:color w:val="auto"/>
              </w:rPr>
            </w:pPr>
          </w:p>
        </w:tc>
      </w:tr>
      <w:tr>
        <w:trPr>
          <w:trHeight w:val="274"/>
        </w:trPr>
        <w:tc>
          <w:tcPr>
            <w:tcW w:w="834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6"/>
                <w:szCs w:val="16"/>
                <w:b w:val="1"/>
                <w:bCs w:val="1"/>
                <w:color w:val="auto"/>
              </w:rPr>
              <w:t>March 31,</w:t>
            </w:r>
          </w:p>
        </w:tc>
        <w:tc>
          <w:tcPr>
            <w:tcW w:w="540" w:type="dxa"/>
            <w:vAlign w:val="bottom"/>
            <w:tcBorders>
              <w:bottom w:val="single" w:sz="8" w:color="auto"/>
            </w:tcBorders>
          </w:tcPr>
          <w:p>
            <w:pPr>
              <w:spacing w:after="0"/>
              <w:rPr>
                <w:sz w:val="23"/>
                <w:szCs w:val="23"/>
                <w:color w:val="auto"/>
              </w:rPr>
            </w:pPr>
          </w:p>
        </w:tc>
      </w:tr>
      <w:tr>
        <w:trPr>
          <w:trHeight w:val="264"/>
        </w:trPr>
        <w:tc>
          <w:tcPr>
            <w:tcW w:w="83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tcBorders>
          </w:tcPr>
          <w:p>
            <w:pPr>
              <w:spacing w:after="0"/>
              <w:rPr>
                <w:sz w:val="22"/>
                <w:szCs w:val="22"/>
                <w:color w:val="auto"/>
              </w:rPr>
            </w:pPr>
          </w:p>
        </w:tc>
      </w:tr>
      <w:tr>
        <w:trPr>
          <w:trHeight w:val="250"/>
        </w:trPr>
        <w:tc>
          <w:tcPr>
            <w:tcW w:w="8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80" w:type="dxa"/>
            <w:vAlign w:val="bottom"/>
            <w:gridSpan w:val="3"/>
          </w:tcPr>
          <w:p>
            <w:pPr>
              <w:jc w:val="center"/>
              <w:ind w:right="299"/>
              <w:spacing w:after="0"/>
              <w:rPr>
                <w:sz w:val="20"/>
                <w:szCs w:val="20"/>
                <w:color w:val="auto"/>
              </w:rPr>
            </w:pPr>
            <w:r>
              <w:rPr>
                <w:rFonts w:ascii="Arial" w:cs="Arial" w:eastAsia="Arial" w:hAnsi="Arial"/>
                <w:sz w:val="16"/>
                <w:szCs w:val="16"/>
                <w:b w:val="1"/>
                <w:bCs w:val="1"/>
                <w:color w:val="auto"/>
              </w:rPr>
              <w:t>(in thousands)</w:t>
            </w:r>
          </w:p>
        </w:tc>
        <w:tc>
          <w:tcPr>
            <w:tcW w:w="540" w:type="dxa"/>
            <w:vAlign w:val="bottom"/>
          </w:tcPr>
          <w:p>
            <w:pPr>
              <w:spacing w:after="0"/>
              <w:rPr>
                <w:sz w:val="21"/>
                <w:szCs w:val="21"/>
                <w:color w:val="auto"/>
              </w:rPr>
            </w:pP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654</w:t>
            </w: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2,340</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1,841</w:t>
            </w: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4,492</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4,995</w:t>
            </w:r>
          </w:p>
        </w:tc>
      </w:tr>
      <w:tr>
        <w:trPr>
          <w:trHeight w:val="242"/>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compensation</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8,445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8,891</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2019</w:t>
      </w:r>
      <w:r>
        <w:rPr>
          <w:rFonts w:ascii="Arial" w:cs="Arial" w:eastAsia="Arial" w:hAnsi="Arial"/>
          <w:sz w:val="18"/>
          <w:szCs w:val="18"/>
          <w:color w:val="231F20"/>
        </w:rPr>
        <w:t xml:space="preserve">, the Company had $13.9 million of total unrecognized stock-based compensation cost related to unvested options that it expects to recognize over a weighted-average period of 2.1 years, and $52.6 million </w:t>
      </w:r>
      <w:r>
        <w:rPr>
          <w:rFonts w:ascii="Arial" w:cs="Arial" w:eastAsia="Arial" w:hAnsi="Arial"/>
          <w:sz w:val="18"/>
          <w:szCs w:val="18"/>
          <w:color w:val="000000"/>
        </w:rPr>
        <w:t>of unrecognized stock-based compensation cost</w:t>
      </w:r>
      <w:r>
        <w:rPr>
          <w:rFonts w:ascii="Arial" w:cs="Arial" w:eastAsia="Arial" w:hAnsi="Arial"/>
          <w:sz w:val="18"/>
          <w:szCs w:val="18"/>
          <w:color w:val="231F20"/>
        </w:rPr>
        <w:t xml:space="preserve"> </w:t>
      </w:r>
      <w:r>
        <w:rPr>
          <w:rFonts w:ascii="Arial" w:cs="Arial" w:eastAsia="Arial" w:hAnsi="Arial"/>
          <w:sz w:val="18"/>
          <w:szCs w:val="18"/>
          <w:color w:val="000000"/>
        </w:rPr>
        <w:t xml:space="preserve">related to unvested awards that it expects to recognize over a weighted-average period of 2.6 years. </w:t>
      </w:r>
      <w:r>
        <w:rPr>
          <w:rFonts w:ascii="Arial" w:cs="Arial" w:eastAsia="Arial" w:hAnsi="Arial"/>
          <w:sz w:val="18"/>
          <w:szCs w:val="18"/>
          <w:color w:val="231F20"/>
        </w:rPr>
        <w:t>Compensation cost is recognized on a</w:t>
      </w:r>
      <w:r>
        <w:rPr>
          <w:rFonts w:ascii="Arial" w:cs="Arial" w:eastAsia="Arial" w:hAnsi="Arial"/>
          <w:sz w:val="18"/>
          <w:szCs w:val="18"/>
          <w:color w:val="000000"/>
        </w:rPr>
        <w:t xml:space="preserve"> </w:t>
      </w:r>
      <w:r>
        <w:rPr>
          <w:rFonts w:ascii="Arial" w:cs="Arial" w:eastAsia="Arial" w:hAnsi="Arial"/>
          <w:sz w:val="18"/>
          <w:szCs w:val="18"/>
          <w:color w:val="231F20"/>
        </w:rPr>
        <w:t>straight-line basis over the service period. Forfeitures are estimated at the time of grant and revised, if necessary, in subsequent periods if actual forfeitures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 Plan Activity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 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Life</w:t>
            </w:r>
          </w:p>
        </w:tc>
        <w:tc>
          <w:tcPr>
            <w:tcW w:w="160" w:type="dxa"/>
            <w:vAlign w:val="bottom"/>
          </w:tcPr>
          <w:p>
            <w:pPr>
              <w:spacing w:after="0"/>
              <w:rPr>
                <w:sz w:val="16"/>
                <w:szCs w:val="16"/>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Aggregate</w:t>
            </w:r>
          </w:p>
        </w:tc>
      </w:tr>
      <w:tr>
        <w:trPr>
          <w:trHeight w:val="232"/>
        </w:trPr>
        <w:tc>
          <w:tcPr>
            <w:tcW w:w="5260" w:type="dxa"/>
            <w:vAlign w:val="bottom"/>
          </w:tcPr>
          <w:p>
            <w:pPr>
              <w:spacing w:after="0"/>
              <w:rPr>
                <w:sz w:val="20"/>
                <w:szCs w:val="20"/>
                <w:color w:val="auto"/>
              </w:rPr>
            </w:pPr>
          </w:p>
        </w:tc>
        <w:tc>
          <w:tcPr>
            <w:tcW w:w="1500" w:type="dxa"/>
            <w:vAlign w:val="bottom"/>
          </w:tcPr>
          <w:p>
            <w:pPr>
              <w:jc w:val="right"/>
              <w:ind w:right="35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60" w:type="dxa"/>
            <w:vAlign w:val="bottom"/>
          </w:tcPr>
          <w:p>
            <w:pPr>
              <w:spacing w:after="0"/>
              <w:rPr>
                <w:sz w:val="20"/>
                <w:szCs w:val="20"/>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Intrinsic Value</w:t>
            </w:r>
          </w:p>
        </w:tc>
      </w:tr>
      <w:tr>
        <w:trPr>
          <w:trHeight w:val="264"/>
        </w:trPr>
        <w:tc>
          <w:tcPr>
            <w:tcW w:w="526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(in thousands)</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2018</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3,429,309</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31.79</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149,935</w:t>
            </w:r>
          </w:p>
        </w:tc>
      </w:tr>
      <w:tr>
        <w:trPr>
          <w:trHeight w:val="262"/>
        </w:trPr>
        <w:tc>
          <w:tcPr>
            <w:tcW w:w="5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103,275</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94.45</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8"/>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(152,164)</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26.59</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(33,355)</w:t>
            </w:r>
          </w:p>
        </w:tc>
        <w:tc>
          <w:tcPr>
            <w:tcW w:w="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50.49</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r>
      <w:tr>
        <w:trPr>
          <w:trHeight w:val="242"/>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March 31, 2019</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3,347,065</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166,381</w:t>
            </w: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Vested and expected to vest - March 31, 2019</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3,160,808</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31.89</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162,480</w:t>
            </w:r>
          </w:p>
        </w:tc>
      </w:tr>
      <w:tr>
        <w:trPr>
          <w:trHeight w:val="278"/>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 March 31, 2019</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2,446,532</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25.76</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139,401</w:t>
            </w: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RSU activity is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Weighted Average</w:t>
            </w:r>
          </w:p>
        </w:tc>
      </w:tr>
      <w:tr>
        <w:trPr>
          <w:trHeight w:val="189"/>
        </w:trPr>
        <w:tc>
          <w:tcPr>
            <w:tcW w:w="8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Grant Date Fair</w:t>
            </w:r>
          </w:p>
        </w:tc>
      </w:tr>
      <w:tr>
        <w:trPr>
          <w:trHeight w:val="232"/>
        </w:trPr>
        <w:tc>
          <w:tcPr>
            <w:tcW w:w="834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Outstanding RSUs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Value Per Share</w:t>
            </w:r>
          </w:p>
        </w:tc>
      </w:tr>
      <w:tr>
        <w:trPr>
          <w:trHeight w:val="281"/>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2018</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1,226,883</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55.71</w:t>
            </w:r>
          </w:p>
        </w:tc>
      </w:tr>
      <w:tr>
        <w:trPr>
          <w:trHeight w:val="262"/>
        </w:trPr>
        <w:tc>
          <w:tcPr>
            <w:tcW w:w="83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124,857</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79.69</w:t>
            </w:r>
          </w:p>
        </w:tc>
      </w:tr>
      <w:tr>
        <w:trPr>
          <w:trHeight w:val="278"/>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(99,601)</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47.71</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(53,272)</w:t>
            </w:r>
          </w:p>
        </w:tc>
        <w:tc>
          <w:tcPr>
            <w:tcW w:w="22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56.56</w:t>
            </w:r>
          </w:p>
        </w:tc>
      </w:tr>
      <w:tr>
        <w:trPr>
          <w:trHeight w:val="242"/>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March 31, 2019</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1,198,867</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58.83</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9"/>
        </w:trPr>
        <w:tc>
          <w:tcPr>
            <w:tcW w:w="8340" w:type="dxa"/>
            <w:vAlign w:val="bottom"/>
          </w:tcPr>
          <w:p>
            <w:pPr>
              <w:ind w:left="40"/>
              <w:spacing w:after="0"/>
              <w:rPr>
                <w:sz w:val="20"/>
                <w:szCs w:val="20"/>
                <w:color w:val="auto"/>
              </w:rPr>
            </w:pPr>
            <w:r>
              <w:rPr>
                <w:rFonts w:ascii="Arial" w:cs="Arial" w:eastAsia="Arial" w:hAnsi="Arial"/>
                <w:sz w:val="16"/>
                <w:szCs w:val="16"/>
                <w:color w:val="auto"/>
              </w:rPr>
              <w:t>Outstanding and expected to vest - March 31, 2019</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883,174</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57.74</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10.Net Income Per Share</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income per share are as follows: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74"/>
        </w:trPr>
        <w:tc>
          <w:tcPr>
            <w:tcW w:w="83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3"/>
          </w:tcPr>
          <w:p>
            <w:pPr>
              <w:jc w:val="center"/>
              <w:ind w:left="859"/>
              <w:spacing w:after="0"/>
              <w:rPr>
                <w:sz w:val="20"/>
                <w:szCs w:val="20"/>
                <w:color w:val="auto"/>
              </w:rPr>
            </w:pPr>
            <w:r>
              <w:rPr>
                <w:rFonts w:ascii="Arial" w:cs="Arial" w:eastAsia="Arial" w:hAnsi="Arial"/>
                <w:sz w:val="16"/>
                <w:szCs w:val="16"/>
                <w:b w:val="1"/>
                <w:bCs w:val="1"/>
                <w:color w:val="auto"/>
              </w:rPr>
              <w:t>March 31,</w:t>
            </w:r>
          </w:p>
        </w:tc>
        <w:tc>
          <w:tcPr>
            <w:tcW w:w="1040" w:type="dxa"/>
            <w:vAlign w:val="bottom"/>
            <w:tcBorders>
              <w:bottom w:val="single" w:sz="8" w:color="auto"/>
            </w:tcBorders>
          </w:tcPr>
          <w:p>
            <w:pPr>
              <w:spacing w:after="0"/>
              <w:rPr>
                <w:sz w:val="23"/>
                <w:szCs w:val="23"/>
                <w:color w:val="auto"/>
              </w:rPr>
            </w:pPr>
          </w:p>
        </w:tc>
      </w:tr>
      <w:tr>
        <w:trPr>
          <w:trHeight w:val="264"/>
        </w:trPr>
        <w:tc>
          <w:tcPr>
            <w:tcW w:w="83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50"/>
        </w:trPr>
        <w:tc>
          <w:tcPr>
            <w:tcW w:w="8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gridSpan w:val="4"/>
          </w:tcPr>
          <w:p>
            <w:pPr>
              <w:jc w:val="center"/>
              <w:spacing w:after="0"/>
              <w:rPr>
                <w:sz w:val="20"/>
                <w:szCs w:val="20"/>
                <w:color w:val="auto"/>
              </w:rPr>
            </w:pPr>
            <w:r>
              <w:rPr>
                <w:rFonts w:ascii="Arial" w:cs="Arial" w:eastAsia="Arial" w:hAnsi="Arial"/>
                <w:sz w:val="16"/>
                <w:szCs w:val="16"/>
                <w:b w:val="1"/>
                <w:bCs w:val="1"/>
                <w:color w:val="auto"/>
              </w:rPr>
              <w:t>(in thousands, except per share data)</w:t>
            </w: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13,266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9,142</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2"/>
        </w:trPr>
        <w:tc>
          <w:tcPr>
            <w:tcW w:w="8340" w:type="dxa"/>
            <w:vAlign w:val="bottom"/>
          </w:tcPr>
          <w:p>
            <w:pPr>
              <w:ind w:left="280"/>
              <w:spacing w:after="0"/>
              <w:rPr>
                <w:sz w:val="20"/>
                <w:szCs w:val="20"/>
                <w:color w:val="auto"/>
              </w:rPr>
            </w:pPr>
            <w:r>
              <w:rPr>
                <w:rFonts w:ascii="Arial" w:cs="Arial" w:eastAsia="Arial" w:hAnsi="Arial"/>
                <w:sz w:val="16"/>
                <w:szCs w:val="16"/>
                <w:color w:val="auto"/>
              </w:rPr>
              <w:t>Weighted-average shares used in computing net income per share:</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8"/>
        </w:trPr>
        <w:tc>
          <w:tcPr>
            <w:tcW w:w="8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Basic</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39,109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38,789</w:t>
            </w:r>
          </w:p>
        </w:tc>
      </w:tr>
      <w:tr>
        <w:trPr>
          <w:trHeight w:val="262"/>
        </w:trPr>
        <w:tc>
          <w:tcPr>
            <w:tcW w:w="8340" w:type="dxa"/>
            <w:vAlign w:val="bottom"/>
          </w:tcPr>
          <w:p>
            <w:pPr>
              <w:ind w:left="500"/>
              <w:spacing w:after="0"/>
              <w:rPr>
                <w:sz w:val="20"/>
                <w:szCs w:val="20"/>
                <w:color w:val="auto"/>
              </w:rPr>
            </w:pPr>
            <w:r>
              <w:rPr>
                <w:rFonts w:ascii="Arial" w:cs="Arial" w:eastAsia="Arial" w:hAnsi="Arial"/>
                <w:sz w:val="16"/>
                <w:szCs w:val="16"/>
                <w:color w:val="auto"/>
              </w:rPr>
              <w:t>Effect of potentially dilutive securities:</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8"/>
        </w:trPr>
        <w:tc>
          <w:tcPr>
            <w:tcW w:w="83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Common stock options</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2,503</w:t>
            </w:r>
          </w:p>
        </w:tc>
      </w:tr>
      <w:tr>
        <w:trPr>
          <w:trHeight w:val="264"/>
        </w:trPr>
        <w:tc>
          <w:tcPr>
            <w:tcW w:w="8340" w:type="dxa"/>
            <w:vAlign w:val="bottom"/>
            <w:tcBorders>
              <w:bottom w:val="single" w:sz="8" w:color="CCEEFF"/>
            </w:tcBorders>
          </w:tcPr>
          <w:p>
            <w:pPr>
              <w:ind w:left="620"/>
              <w:spacing w:after="0"/>
              <w:rPr>
                <w:sz w:val="20"/>
                <w:szCs w:val="20"/>
                <w:color w:val="auto"/>
              </w:rPr>
            </w:pPr>
            <w:r>
              <w:rPr>
                <w:rFonts w:ascii="Arial" w:cs="Arial" w:eastAsia="Arial" w:hAnsi="Arial"/>
                <w:sz w:val="16"/>
                <w:szCs w:val="16"/>
                <w:color w:val="auto"/>
              </w:rPr>
              <w:t>Restricted stock units</w:t>
            </w: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642</w:t>
            </w:r>
          </w:p>
        </w:tc>
      </w:tr>
      <w:tr>
        <w:trPr>
          <w:trHeight w:val="257"/>
        </w:trPr>
        <w:tc>
          <w:tcPr>
            <w:tcW w:w="8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41,546</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41,934</w:t>
            </w:r>
          </w:p>
        </w:tc>
      </w:tr>
      <w:tr>
        <w:trPr>
          <w:trHeight w:val="256"/>
        </w:trPr>
        <w:tc>
          <w:tcPr>
            <w:tcW w:w="8340" w:type="dxa"/>
            <w:vAlign w:val="bottom"/>
          </w:tcPr>
          <w:p>
            <w:pPr>
              <w:ind w:left="40"/>
              <w:spacing w:after="0"/>
              <w:rPr>
                <w:sz w:val="20"/>
                <w:szCs w:val="20"/>
                <w:color w:val="auto"/>
              </w:rPr>
            </w:pPr>
            <w:r>
              <w:rPr>
                <w:rFonts w:ascii="Arial" w:cs="Arial" w:eastAsia="Arial" w:hAnsi="Arial"/>
                <w:sz w:val="16"/>
                <w:szCs w:val="16"/>
                <w:color w:val="auto"/>
              </w:rPr>
              <w:t>Net income per share:</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63"/>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8340" w:type="dxa"/>
            <w:vAlign w:val="bottom"/>
          </w:tcPr>
          <w:p>
            <w:pPr>
              <w:ind w:left="28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0.22</w:t>
            </w: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40" w:type="dxa"/>
            <w:vAlign w:val="bottom"/>
          </w:tcPr>
          <w:p>
            <w:pPr>
              <w:spacing w:after="0"/>
              <w:rPr>
                <w:sz w:val="19"/>
                <w:szCs w:val="19"/>
                <w:color w:val="auto"/>
              </w:rPr>
            </w:pPr>
          </w:p>
        </w:tc>
        <w:tc>
          <w:tcPr>
            <w:tcW w:w="308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74"/>
        </w:trPr>
        <w:tc>
          <w:tcPr>
            <w:tcW w:w="8340" w:type="dxa"/>
            <w:vAlign w:val="bottom"/>
          </w:tcPr>
          <w:p>
            <w:pPr>
              <w:spacing w:after="0"/>
              <w:rPr>
                <w:sz w:val="23"/>
                <w:szCs w:val="23"/>
                <w:color w:val="auto"/>
              </w:rPr>
            </w:pPr>
          </w:p>
        </w:tc>
        <w:tc>
          <w:tcPr>
            <w:tcW w:w="2140" w:type="dxa"/>
            <w:vAlign w:val="bottom"/>
            <w:tcBorders>
              <w:bottom w:val="single" w:sz="8" w:color="auto"/>
            </w:tcBorders>
            <w:gridSpan w:val="3"/>
          </w:tcPr>
          <w:p>
            <w:pPr>
              <w:jc w:val="center"/>
              <w:ind w:left="87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3"/>
                <w:szCs w:val="23"/>
                <w:color w:val="auto"/>
              </w:rPr>
            </w:pPr>
          </w:p>
        </w:tc>
      </w:tr>
      <w:tr>
        <w:trPr>
          <w:trHeight w:val="264"/>
        </w:trPr>
        <w:tc>
          <w:tcPr>
            <w:tcW w:w="8340" w:type="dxa"/>
            <w:vAlign w:val="bottom"/>
          </w:tcPr>
          <w:p>
            <w:pPr>
              <w:spacing w:after="0"/>
              <w:rPr>
                <w:sz w:val="22"/>
                <w:szCs w:val="22"/>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50"/>
        </w:trPr>
        <w:tc>
          <w:tcPr>
            <w:tcW w:w="8340" w:type="dxa"/>
            <w:vAlign w:val="bottom"/>
          </w:tcPr>
          <w:p>
            <w:pPr>
              <w:spacing w:after="0"/>
              <w:rPr>
                <w:sz w:val="21"/>
                <w:szCs w:val="21"/>
                <w:color w:val="auto"/>
              </w:rPr>
            </w:pPr>
          </w:p>
        </w:tc>
        <w:tc>
          <w:tcPr>
            <w:tcW w:w="2140" w:type="dxa"/>
            <w:vAlign w:val="bottom"/>
            <w:gridSpan w:val="3"/>
          </w:tcPr>
          <w:p>
            <w:pPr>
              <w:jc w:val="center"/>
              <w:ind w:left="89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options</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Restricted stock units</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11.Stockholder's Equity</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Share Repurchase Program</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February 5, 2018, the Company's board of directors authorized a $ 100.0 million share repurchase program, which was announced on February 12, 2018. On October 30, 2018, the Company announced that the board of directors had authorized an increase of $100.0 million to the original share repurchase program authorization. Share repurchases may be effected from time to time through open market purchases or pursuant to a Rule 10b5-1 plan until October 30, 2020. Repurchased shares are retired and reclassified as authorized and unissued shares of common stock. On retirement of the repurchased shares, common stock is reduced by an amount equal to the number of shares being retired multiplied by the par value. The excess of the cost of treasury stock that is retired over its par value is first allocated as a reduction to additional paid-in capital based on the initial public offering price of the stock, with the remaining excess to retained earnings.</w:t>
      </w:r>
    </w:p>
    <w:p>
      <w:pPr>
        <w:spacing w:after="0" w:line="17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 xml:space="preserve">During the </w:t>
      </w:r>
      <w:r>
        <w:rPr>
          <w:rFonts w:ascii="Arial" w:cs="Arial" w:eastAsia="Arial" w:hAnsi="Arial"/>
          <w:sz w:val="18"/>
          <w:szCs w:val="18"/>
          <w:color w:val="231F20"/>
        </w:rPr>
        <w:t>three months ended March 31, 2019</w:t>
      </w:r>
      <w:r>
        <w:rPr>
          <w:rFonts w:ascii="Arial" w:cs="Arial" w:eastAsia="Arial" w:hAnsi="Arial"/>
          <w:sz w:val="18"/>
          <w:szCs w:val="18"/>
          <w:color w:val="auto"/>
        </w:rPr>
        <w:t>, the Company repurchased 94,090 shares of its common stock for approximately $7.9 million. During the three months ended March 31, 2018, the Company repurchased 21,288 shares of its common stock for approximately $ 1.5 million. All share repurchases were made using cash resources. As of March 31, 2019, approximately $107.1 million remained available for share repurchases pursuant to the share repurchase program.</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22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231F20"/>
        </w:rPr>
        <w:t>The Company's provision for income taxes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w:t>
      </w:r>
    </w:p>
    <w:p>
      <w:pPr>
        <w:spacing w:after="0" w:line="16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8"/>
          <w:szCs w:val="18"/>
          <w:color w:val="231F20"/>
        </w:rPr>
        <w:t>The Company's quarterly tax provision, and estimate of its annual effective tax rate, is subject to variation due to several factors, including variability in pre-tax income (or loss), the mix of jurisdictions to which such income relates, changes in how the Company does business, and tax law developments. The Company's estimated effective tax rate for the year differs from the U.S. statutory rate of 21% primarily due to non-deductible stock-based compensation expense, state taxes, foreign income subject to different tax rates than the U.S., and the benefit of U.S. federal income tax credits.</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 xml:space="preserve">The Company recorded an income tax provision of $2.6 million and income tax provision of $0.5 million for the three months ended March 31, 2019 and 2018, respectively, resulting in an effective </w:t>
      </w:r>
      <w:r>
        <w:rPr>
          <w:rFonts w:ascii="Arial" w:cs="Arial" w:eastAsia="Arial" w:hAnsi="Arial"/>
          <w:sz w:val="18"/>
          <w:szCs w:val="18"/>
          <w:color w:val="231F20"/>
        </w:rPr>
        <w:t>tax rate of 16.2% and 5.3%, respectively. The tax provision for the</w:t>
      </w:r>
      <w:r>
        <w:rPr>
          <w:rFonts w:ascii="Arial" w:cs="Arial" w:eastAsia="Arial" w:hAnsi="Arial"/>
          <w:sz w:val="18"/>
          <w:szCs w:val="18"/>
          <w:color w:val="auto"/>
        </w:rPr>
        <w:t xml:space="preserve"> three months ended March 31, 2019 </w:t>
      </w:r>
      <w:r>
        <w:rPr>
          <w:rFonts w:ascii="Arial" w:cs="Arial" w:eastAsia="Arial" w:hAnsi="Arial"/>
          <w:sz w:val="18"/>
          <w:szCs w:val="18"/>
          <w:color w:val="231F20"/>
        </w:rPr>
        <w:t>as compared to the tax provision for the three months ended March 31, 2018 changed primarily due to an</w:t>
      </w:r>
      <w:r>
        <w:rPr>
          <w:rFonts w:ascii="Arial" w:cs="Arial" w:eastAsia="Arial" w:hAnsi="Arial"/>
          <w:sz w:val="18"/>
          <w:szCs w:val="18"/>
          <w:color w:val="auto"/>
        </w:rPr>
        <w:t xml:space="preserve"> </w:t>
      </w:r>
      <w:r>
        <w:rPr>
          <w:rFonts w:ascii="Arial" w:cs="Arial" w:eastAsia="Arial" w:hAnsi="Arial"/>
          <w:sz w:val="18"/>
          <w:szCs w:val="18"/>
          <w:color w:val="231F20"/>
        </w:rPr>
        <w:t>increase in pre-tax income and decrease in the tax benefit of excess stock-based compensation deductions.</w:t>
      </w:r>
    </w:p>
    <w:p>
      <w:pPr>
        <w:spacing w:after="0" w:line="1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2019</w:t>
      </w:r>
      <w:r>
        <w:rPr>
          <w:rFonts w:ascii="Arial" w:cs="Arial" w:eastAsia="Arial" w:hAnsi="Arial"/>
          <w:sz w:val="18"/>
          <w:szCs w:val="18"/>
          <w:color w:val="231F20"/>
        </w:rPr>
        <w:t xml:space="preserve">, the Company had unrecognized tax benefits of </w:t>
      </w:r>
      <w:r>
        <w:rPr>
          <w:rFonts w:ascii="Arial" w:cs="Arial" w:eastAsia="Arial" w:hAnsi="Arial"/>
          <w:sz w:val="18"/>
          <w:szCs w:val="18"/>
          <w:color w:val="000000"/>
        </w:rPr>
        <w:t>$6.9 million</w:t>
      </w:r>
      <w:r>
        <w:rPr>
          <w:rFonts w:ascii="Arial" w:cs="Arial" w:eastAsia="Arial" w:hAnsi="Arial"/>
          <w:sz w:val="18"/>
          <w:szCs w:val="18"/>
          <w:color w:val="231F20"/>
        </w:rPr>
        <w:t xml:space="preserve">, of which </w:t>
      </w:r>
      <w:r>
        <w:rPr>
          <w:rFonts w:ascii="Arial" w:cs="Arial" w:eastAsia="Arial" w:hAnsi="Arial"/>
          <w:sz w:val="18"/>
          <w:szCs w:val="18"/>
          <w:color w:val="000000"/>
        </w:rPr>
        <w:t>$ 3.8 million</w:t>
      </w:r>
      <w:r>
        <w:rPr>
          <w:rFonts w:ascii="Arial" w:cs="Arial" w:eastAsia="Arial" w:hAnsi="Arial"/>
          <w:sz w:val="18"/>
          <w:szCs w:val="18"/>
          <w:color w:val="231F20"/>
        </w:rPr>
        <w:t xml:space="preserve">, if recognized, would favorably impact the Company's effective tax rate. As of December 31, 2018, the Company had unrecognized tax benefits of </w:t>
      </w:r>
      <w:r>
        <w:rPr>
          <w:rFonts w:ascii="Arial" w:cs="Arial" w:eastAsia="Arial" w:hAnsi="Arial"/>
          <w:sz w:val="18"/>
          <w:szCs w:val="18"/>
          <w:color w:val="000000"/>
        </w:rPr>
        <w:t>$ 6.4 million</w:t>
      </w:r>
      <w:r>
        <w:rPr>
          <w:rFonts w:ascii="Arial" w:cs="Arial" w:eastAsia="Arial" w:hAnsi="Arial"/>
          <w:sz w:val="18"/>
          <w:szCs w:val="18"/>
          <w:color w:val="231F20"/>
        </w:rPr>
        <w:t xml:space="preserve">, of which </w:t>
      </w:r>
      <w:r>
        <w:rPr>
          <w:rFonts w:ascii="Arial" w:cs="Arial" w:eastAsia="Arial" w:hAnsi="Arial"/>
          <w:sz w:val="18"/>
          <w:szCs w:val="18"/>
          <w:color w:val="000000"/>
        </w:rPr>
        <w:t>$ 3.5</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if recognized, would favorably impact the Company's effective tax rate. The Company does not anticipate a material change in its</w:t>
      </w:r>
      <w:r>
        <w:rPr>
          <w:rFonts w:ascii="Arial" w:cs="Arial" w:eastAsia="Arial" w:hAnsi="Arial"/>
          <w:sz w:val="18"/>
          <w:szCs w:val="18"/>
          <w:color w:val="000000"/>
        </w:rPr>
        <w:t xml:space="preserve"> </w:t>
      </w:r>
      <w:r>
        <w:rPr>
          <w:rFonts w:ascii="Arial" w:cs="Arial" w:eastAsia="Arial" w:hAnsi="Arial"/>
          <w:sz w:val="18"/>
          <w:szCs w:val="18"/>
          <w:color w:val="231F20"/>
        </w:rPr>
        <w:t>unrecognized tax benefits in the next 12 months.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 and Information about Geographic Area</w:t>
      </w:r>
    </w:p>
    <w:p>
      <w:pPr>
        <w:spacing w:after="0" w:line="22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 </w:t>
      </w:r>
      <w:r>
        <w:rPr>
          <w:rFonts w:ascii="Arial" w:cs="Arial" w:eastAsia="Arial" w:hAnsi="Arial"/>
          <w:sz w:val="18"/>
          <w:szCs w:val="18"/>
          <w:color w:val="000000"/>
        </w:rPr>
        <w:t>determines its reportable operating segments in accordance with the provisions</w:t>
      </w:r>
      <w:r>
        <w:rPr>
          <w:rFonts w:ascii="Arial" w:cs="Arial" w:eastAsia="Arial" w:hAnsi="Arial"/>
          <w:sz w:val="18"/>
          <w:szCs w:val="18"/>
          <w:color w:val="231F20"/>
        </w:rPr>
        <w:t xml:space="preserve"> </w:t>
      </w:r>
      <w:r>
        <w:rPr>
          <w:rFonts w:ascii="Arial" w:cs="Arial" w:eastAsia="Arial" w:hAnsi="Arial"/>
          <w:sz w:val="18"/>
          <w:szCs w:val="18"/>
          <w:color w:val="000000"/>
        </w:rPr>
        <w:t xml:space="preserve">in the FASB guidance on segment reporting, which establishes standards for, and requires disclosure of, certain financial information related to reportable operating segments and geographic regions. </w:t>
      </w:r>
      <w:r>
        <w:rPr>
          <w:rFonts w:ascii="Arial" w:cs="Arial" w:eastAsia="Arial" w:hAnsi="Arial"/>
          <w:sz w:val="18"/>
          <w:szCs w:val="18"/>
          <w:color w:val="231F20"/>
        </w:rPr>
        <w:t>The Company’s chief operating decision maker is the Chairman, President and Chief</w:t>
      </w:r>
      <w:r>
        <w:rPr>
          <w:rFonts w:ascii="Arial" w:cs="Arial" w:eastAsia="Arial" w:hAnsi="Arial"/>
          <w:sz w:val="18"/>
          <w:szCs w:val="18"/>
          <w:color w:val="000000"/>
        </w:rPr>
        <w:t xml:space="preserve"> </w:t>
      </w:r>
      <w:r>
        <w:rPr>
          <w:rFonts w:ascii="Arial" w:cs="Arial" w:eastAsia="Arial" w:hAnsi="Arial"/>
          <w:sz w:val="18"/>
          <w:szCs w:val="18"/>
          <w:color w:val="231F20"/>
        </w:rPr>
        <w:t>Executive Officer, who makes operating decisions, assesses performance and allocates resources on a consolidated basis. All of the Company’s principal operations and decision-making functions are located in the United States.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Revenues by geographic area, based on the location of the customer, are as follows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Three Month Ended March 31,</w:t>
            </w:r>
          </w:p>
        </w:tc>
      </w:tr>
      <w:tr>
        <w:trPr>
          <w:trHeight w:val="264"/>
        </w:trPr>
        <w:tc>
          <w:tcPr>
            <w:tcW w:w="8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54"/>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48,621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44,314</w:t>
            </w:r>
          </w:p>
        </w:tc>
      </w:tr>
      <w:tr>
        <w:trPr>
          <w:trHeight w:val="264"/>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26,722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20,564</w:t>
            </w:r>
          </w:p>
        </w:tc>
      </w:tr>
      <w:tr>
        <w:trPr>
          <w:trHeight w:val="242"/>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75,343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64,878</w:t>
            </w: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9"/>
                <w:szCs w:val="19"/>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74"/>
        </w:trPr>
        <w:tc>
          <w:tcPr>
            <w:tcW w:w="83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50"/>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57,810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59,222</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2,676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2,220</w:t>
            </w:r>
          </w:p>
        </w:tc>
      </w:tr>
      <w:tr>
        <w:trPr>
          <w:trHeight w:val="242"/>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60,486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61,442</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29"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condensed consolidated financial statements (unaudited) and the related notes included elsewhere in this report, and (2) the audited consolidated financial statements and the related notes and management’s discussion and analysis of financial condition and results of operations included in our Annual Report on Form 10-K for the fiscal year ended December 31, 2018, filed with the Securities and Exchange Commission, or SEC, on February 27, 2019.</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77" w:lineRule="exact"/>
        <w:rPr>
          <w:sz w:val="20"/>
          <w:szCs w:val="20"/>
          <w:color w:val="auto"/>
        </w:rPr>
      </w:pPr>
    </w:p>
    <w:p>
      <w:pPr>
        <w:ind w:left="1060" w:hanging="323"/>
        <w:spacing w:after="0" w:line="262"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fund our operations and sustain profitability;</w:t>
      </w: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8" w:lineRule="exact"/>
        <w:rPr>
          <w:rFonts w:ascii="Times New Roman" w:cs="Times New Roman" w:eastAsia="Times New Roman" w:hAnsi="Times New Roman"/>
          <w:sz w:val="18"/>
          <w:szCs w:val="18"/>
          <w:i w:val="1"/>
          <w:iCs w:val="1"/>
          <w:color w:val="auto"/>
        </w:rPr>
      </w:pPr>
    </w:p>
    <w:p>
      <w:pPr>
        <w:ind w:left="1060" w:right="20" w:hanging="323"/>
        <w:spacing w:after="0" w:line="250" w:lineRule="auto"/>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our ability to diversify our sources of revenues, including selling additional solutions to our existing customers and our ability to pursue new customers;</w:t>
      </w: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innovate and enhance our cloud solutions and platform and introduce new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line="250" w:lineRule="auto"/>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our anticipated investments in sales and marketing, our infrastructure, new solutions, and research and development, and acquisitions;</w:t>
      </w: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our ability to attract and retain qualified employees and key personnel, including sales and marketing personnel;</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w:t>
      </w:r>
    </w:p>
    <w:p>
      <w:pPr>
        <w:spacing w:after="0" w:line="8" w:lineRule="exact"/>
        <w:rPr>
          <w:rFonts w:ascii="Times New Roman" w:cs="Times New Roman" w:eastAsia="Times New Roman" w:hAnsi="Times New Roman"/>
          <w:sz w:val="18"/>
          <w:szCs w:val="18"/>
          <w:i w:val="1"/>
          <w:iCs w:val="1"/>
          <w:color w:val="auto"/>
        </w:rPr>
      </w:pPr>
    </w:p>
    <w:p>
      <w:pPr>
        <w:ind w:left="1060" w:right="20" w:hanging="323"/>
        <w:spacing w:after="0" w:line="25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expectations, assumptions and conclusions related to our provision for income taxes, our deferred tax assets and our effective tax rate; and</w:t>
      </w:r>
    </w:p>
    <w:p>
      <w:pPr>
        <w:ind w:left="1060" w:right="20" w:hanging="323"/>
        <w:spacing w:after="0" w:line="264" w:lineRule="auto"/>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 xml:space="preserve">other factors discussed in this Quarterly Report on Form 10-Q in the sections titled </w:t>
      </w:r>
      <w:r>
        <w:rPr>
          <w:rFonts w:ascii="Times New Roman" w:cs="Times New Roman" w:eastAsia="Times New Roman" w:hAnsi="Times New Roman"/>
          <w:sz w:val="18"/>
          <w:szCs w:val="18"/>
          <w:i w:val="1"/>
          <w:iCs w:val="1"/>
          <w:color w:val="231F20"/>
        </w:rPr>
        <w:t>“</w:t>
      </w:r>
      <w:r>
        <w:rPr>
          <w:rFonts w:ascii="Arial" w:cs="Arial" w:eastAsia="Arial" w:hAnsi="Arial"/>
          <w:sz w:val="18"/>
          <w:szCs w:val="18"/>
          <w:i w:val="1"/>
          <w:iCs w:val="1"/>
          <w:color w:val="231F20"/>
        </w:rPr>
        <w:t xml:space="preserve">Risk Factors” and </w:t>
      </w:r>
      <w:r>
        <w:rPr>
          <w:rFonts w:ascii="Times New Roman" w:cs="Times New Roman" w:eastAsia="Times New Roman" w:hAnsi="Times New Roman"/>
          <w:sz w:val="18"/>
          <w:szCs w:val="18"/>
          <w:i w:val="1"/>
          <w:iCs w:val="1"/>
          <w:color w:val="231F20"/>
        </w:rPr>
        <w:t>“</w:t>
      </w:r>
      <w:r>
        <w:rPr>
          <w:rFonts w:ascii="Arial" w:cs="Arial" w:eastAsia="Arial" w:hAnsi="Arial"/>
          <w:sz w:val="18"/>
          <w:szCs w:val="18"/>
          <w:i w:val="1"/>
          <w:iCs w:val="1"/>
          <w:color w:val="231F20"/>
        </w:rPr>
        <w:t>Management</w:t>
      </w:r>
      <w:r>
        <w:rPr>
          <w:rFonts w:ascii="Times New Roman" w:cs="Times New Roman" w:eastAsia="Times New Roman" w:hAnsi="Times New Roman"/>
          <w:sz w:val="18"/>
          <w:szCs w:val="18"/>
          <w:i w:val="1"/>
          <w:iCs w:val="1"/>
          <w:color w:val="231F20"/>
        </w:rPr>
        <w:t>'</w:t>
      </w:r>
      <w:r>
        <w:rPr>
          <w:rFonts w:ascii="Arial" w:cs="Arial" w:eastAsia="Arial" w:hAnsi="Arial"/>
          <w:sz w:val="18"/>
          <w:szCs w:val="18"/>
          <w:i w:val="1"/>
          <w:iCs w:val="1"/>
          <w:color w:val="231F20"/>
        </w:rPr>
        <w:t>s Discussion and Analysis of Financial Condition and Results of Operations.</w:t>
      </w:r>
      <w:r>
        <w:rPr>
          <w:rFonts w:ascii="Times New Roman" w:cs="Times New Roman" w:eastAsia="Times New Roman" w:hAnsi="Times New Roman"/>
          <w:sz w:val="18"/>
          <w:szCs w:val="18"/>
          <w:i w:val="1"/>
          <w:iCs w:val="1"/>
          <w:color w:val="231F20"/>
        </w:rPr>
        <w:t>”</w:t>
      </w:r>
    </w:p>
    <w:p>
      <w:pPr>
        <w:spacing w:after="0" w:line="17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i w:val="1"/>
          <w:iCs w:val="1"/>
          <w:color w:val="231F20"/>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and those discussed in other documents we file with the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89"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27"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231F20"/>
        </w:rPr>
        <w:t xml:space="preserve">We </w:t>
      </w:r>
      <w:r>
        <w:rPr>
          <w:rFonts w:ascii="Arial" w:cs="Arial" w:eastAsia="Arial" w:hAnsi="Arial"/>
          <w:sz w:val="18"/>
          <w:szCs w:val="18"/>
          <w:color w:val="000000"/>
        </w:rPr>
        <w:t>are a pioneer and leading provider of a cloud-based platform delivering security and compliance solutions that enable organizations to</w:t>
      </w:r>
      <w:r>
        <w:rPr>
          <w:rFonts w:ascii="Arial" w:cs="Arial" w:eastAsia="Arial" w:hAnsi="Arial"/>
          <w:sz w:val="18"/>
          <w:szCs w:val="18"/>
          <w:color w:val="231F20"/>
        </w:rPr>
        <w:t xml:space="preserve"> </w:t>
      </w:r>
      <w:r>
        <w:rPr>
          <w:rFonts w:ascii="Arial" w:cs="Arial" w:eastAsia="Arial" w:hAnsi="Arial"/>
          <w:sz w:val="18"/>
          <w:szCs w:val="18"/>
          <w:color w:val="000000"/>
        </w:rPr>
        <w:t>identify security risks to their information technology (IT) infrastructures, help protect their IT systems and a</w:t>
      </w:r>
      <w:r>
        <w:rPr>
          <w:rFonts w:ascii="Arial" w:cs="Arial" w:eastAsia="Arial" w:hAnsi="Arial"/>
          <w:sz w:val="18"/>
          <w:szCs w:val="18"/>
          <w:color w:val="231F20"/>
        </w:rPr>
        <w:t>pplications from ever-evolving</w:t>
      </w:r>
      <w:r>
        <w:rPr>
          <w:rFonts w:ascii="Arial" w:cs="Arial" w:eastAsia="Arial" w:hAnsi="Arial"/>
          <w:sz w:val="18"/>
          <w:szCs w:val="18"/>
          <w:color w:val="000000"/>
        </w:rPr>
        <w:t xml:space="preserve"> </w:t>
      </w:r>
      <w:r>
        <w:rPr>
          <w:rFonts w:ascii="Arial" w:cs="Arial" w:eastAsia="Arial" w:hAnsi="Arial"/>
          <w:sz w:val="18"/>
          <w:szCs w:val="18"/>
          <w:color w:val="231F20"/>
        </w:rPr>
        <w:t>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Our integrated suite of security and compliance solutions delivered on our Qualys Cloud Platform enables our customers to identify and manage their IT assets, collect and analyze large amounts of IT security data, discover and prioritize vulnerabilities, recommend remediation actions and verify the implementati</w:t>
      </w:r>
      <w:r>
        <w:rPr>
          <w:rFonts w:ascii="Arial" w:cs="Arial" w:eastAsia="Arial" w:hAnsi="Arial"/>
          <w:sz w:val="18"/>
          <w:szCs w:val="18"/>
          <w:color w:val="000000"/>
        </w:rPr>
        <w:t>on of such actions. Organizations use our integrated suite of solutions delivered on our Qualys Cloud</w:t>
      </w:r>
      <w:r>
        <w:rPr>
          <w:rFonts w:ascii="Arial" w:cs="Arial" w:eastAsia="Arial" w:hAnsi="Arial"/>
          <w:sz w:val="18"/>
          <w:szCs w:val="18"/>
          <w:color w:val="231F20"/>
        </w:rPr>
        <w:t xml:space="preserve"> </w:t>
      </w:r>
      <w:r>
        <w:rPr>
          <w:rFonts w:ascii="Arial" w:cs="Arial" w:eastAsia="Arial" w:hAnsi="Arial"/>
          <w:sz w:val="18"/>
          <w:szCs w:val="18"/>
          <w:color w:val="000000"/>
        </w:rPr>
        <w:t>Platform to cost-effectively obtain a unified view of their IT asset inventory as well as security and compliance posture across globally-distributed IT infrastructures as our solution offers a single platform for information technology, information security, application security, endpoint, developer security and cloud teams.</w:t>
      </w:r>
    </w:p>
    <w:p>
      <w:pPr>
        <w:spacing w:after="0" w:line="183" w:lineRule="exact"/>
        <w:rPr>
          <w:sz w:val="20"/>
          <w:szCs w:val="20"/>
          <w:color w:val="auto"/>
        </w:rPr>
      </w:pPr>
    </w:p>
    <w:p>
      <w:pPr>
        <w:ind w:firstLine="405"/>
        <w:spacing w:after="0" w:line="260" w:lineRule="auto"/>
        <w:rPr>
          <w:sz w:val="20"/>
          <w:szCs w:val="20"/>
          <w:color w:val="auto"/>
        </w:rPr>
      </w:pPr>
      <w:r>
        <w:rPr>
          <w:rFonts w:ascii="Arial" w:cs="Arial" w:eastAsia="Arial" w:hAnsi="Arial"/>
          <w:sz w:val="18"/>
          <w:szCs w:val="18"/>
          <w:color w:val="231F20"/>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helps our customers protect a range of on-premise assets, endpoints and cloud environments. These solutions and their Cloud Apps address and include</w:t>
      </w:r>
      <w:r>
        <w:rPr>
          <w:rFonts w:ascii="Arial" w:cs="Arial" w:eastAsia="Arial" w:hAnsi="Arial"/>
          <w:sz w:val="18"/>
          <w:szCs w:val="18"/>
          <w:color w:val="000000"/>
        </w:rPr>
        <w:t>:</w:t>
      </w:r>
    </w:p>
    <w:p>
      <w:pPr>
        <w:spacing w:after="0" w:line="229" w:lineRule="exact"/>
        <w:rPr>
          <w:sz w:val="20"/>
          <w:szCs w:val="20"/>
          <w:color w:val="auto"/>
        </w:rPr>
      </w:pPr>
    </w:p>
    <w:p>
      <w:pPr>
        <w:ind w:left="1300" w:right="260" w:hanging="320"/>
        <w:spacing w:after="0" w:line="359" w:lineRule="auto"/>
        <w:tabs>
          <w:tab w:leader="none" w:pos="13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231F20"/>
        </w:rPr>
        <w:t xml:space="preserve">IT Security: </w:t>
      </w:r>
      <w:r>
        <w:rPr>
          <w:rFonts w:ascii="Arial" w:cs="Arial" w:eastAsia="Arial" w:hAnsi="Arial"/>
          <w:sz w:val="18"/>
          <w:szCs w:val="18"/>
          <w:color w:val="231F20"/>
        </w:rPr>
        <w:t>Vulnerability Management (VM), Threat Protection (TP), Continuous Monitoring (CM), Patch Management (PM),</w:t>
      </w:r>
      <w:r>
        <w:rPr>
          <w:rFonts w:ascii="Arial" w:cs="Arial" w:eastAsia="Arial" w:hAnsi="Arial"/>
          <w:sz w:val="18"/>
          <w:szCs w:val="18"/>
          <w:i w:val="1"/>
          <w:iCs w:val="1"/>
          <w:color w:val="231F20"/>
        </w:rPr>
        <w:t xml:space="preserve"> </w:t>
      </w:r>
      <w:r>
        <w:rPr>
          <w:rFonts w:ascii="Arial" w:cs="Arial" w:eastAsia="Arial" w:hAnsi="Arial"/>
          <w:sz w:val="18"/>
          <w:szCs w:val="18"/>
          <w:color w:val="231F20"/>
        </w:rPr>
        <w:t>Indication of Compromise (IOC);</w:t>
      </w:r>
    </w:p>
    <w:p>
      <w:pPr>
        <w:ind w:left="1300" w:right="80" w:hanging="320"/>
        <w:spacing w:after="0" w:line="359" w:lineRule="auto"/>
        <w:tabs>
          <w:tab w:leader="none" w:pos="13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231F20"/>
        </w:rPr>
        <w:t xml:space="preserve">Compliance Monitoring: </w:t>
      </w:r>
      <w:r>
        <w:rPr>
          <w:rFonts w:ascii="Arial" w:cs="Arial" w:eastAsia="Arial" w:hAnsi="Arial"/>
          <w:sz w:val="18"/>
          <w:szCs w:val="18"/>
          <w:color w:val="231F20"/>
        </w:rPr>
        <w:t>Policy Compliance (PC), PCI Compliance (PCI), File Integrity Monitoring (FIM), Security Configuration</w:t>
      </w:r>
      <w:r>
        <w:rPr>
          <w:rFonts w:ascii="Arial" w:cs="Arial" w:eastAsia="Arial" w:hAnsi="Arial"/>
          <w:sz w:val="18"/>
          <w:szCs w:val="18"/>
          <w:i w:val="1"/>
          <w:iCs w:val="1"/>
          <w:color w:val="231F20"/>
        </w:rPr>
        <w:t xml:space="preserve"> </w:t>
      </w:r>
      <w:r>
        <w:rPr>
          <w:rFonts w:ascii="Arial" w:cs="Arial" w:eastAsia="Arial" w:hAnsi="Arial"/>
          <w:sz w:val="18"/>
          <w:szCs w:val="18"/>
          <w:color w:val="231F20"/>
        </w:rPr>
        <w:t>Assessment (SCA), Security Assessment Questionnaire (SAQ) Out of-Band Configuration Assessment (OCA);</w:t>
      </w:r>
    </w:p>
    <w:p>
      <w:pPr>
        <w:ind w:left="1300" w:hanging="320"/>
        <w:spacing w:after="0"/>
        <w:tabs>
          <w:tab w:leader="none" w:pos="1300" w:val="left"/>
        </w:tabs>
        <w:numPr>
          <w:ilvl w:val="0"/>
          <w:numId w:val="4"/>
        </w:numPr>
        <w:rPr>
          <w:rFonts w:ascii="Arial" w:cs="Arial" w:eastAsia="Arial" w:hAnsi="Arial"/>
          <w:sz w:val="18"/>
          <w:szCs w:val="18"/>
          <w:i w:val="1"/>
          <w:iCs w:val="1"/>
          <w:color w:val="231F20"/>
        </w:rPr>
      </w:pPr>
      <w:r>
        <w:rPr>
          <w:rFonts w:ascii="Arial" w:cs="Arial" w:eastAsia="Arial" w:hAnsi="Arial"/>
          <w:sz w:val="18"/>
          <w:szCs w:val="18"/>
          <w:i w:val="1"/>
          <w:iCs w:val="1"/>
          <w:color w:val="231F20"/>
        </w:rPr>
        <w:t xml:space="preserve">Web Application Security: </w:t>
      </w:r>
      <w:r>
        <w:rPr>
          <w:rFonts w:ascii="Arial" w:cs="Arial" w:eastAsia="Arial" w:hAnsi="Arial"/>
          <w:sz w:val="18"/>
          <w:szCs w:val="18"/>
          <w:color w:val="231F20"/>
        </w:rPr>
        <w:t>Web Application Scanning (WAS), Web Application Firewall (WAF);</w:t>
      </w:r>
    </w:p>
    <w:p>
      <w:pPr>
        <w:spacing w:after="0" w:line="103" w:lineRule="exact"/>
        <w:rPr>
          <w:rFonts w:ascii="Arial" w:cs="Arial" w:eastAsia="Arial" w:hAnsi="Arial"/>
          <w:sz w:val="18"/>
          <w:szCs w:val="18"/>
          <w:i w:val="1"/>
          <w:iCs w:val="1"/>
          <w:color w:val="231F20"/>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231F20"/>
        </w:rPr>
        <w:t xml:space="preserve">Global IT Asset Management: </w:t>
      </w:r>
      <w:r>
        <w:rPr>
          <w:rFonts w:ascii="Arial" w:cs="Arial" w:eastAsia="Arial" w:hAnsi="Arial"/>
          <w:sz w:val="18"/>
          <w:szCs w:val="18"/>
          <w:color w:val="231F20"/>
        </w:rPr>
        <w:t>Asset Inventory (AI), CMDB Sync (SYN), Certificate Inventory (CRI); and,</w:t>
      </w:r>
    </w:p>
    <w:p>
      <w:pPr>
        <w:spacing w:after="0" w:line="10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231F20"/>
        </w:rPr>
        <w:t xml:space="preserve">Cloud/Container Security: </w:t>
      </w:r>
      <w:r>
        <w:rPr>
          <w:rFonts w:ascii="Arial" w:cs="Arial" w:eastAsia="Arial" w:hAnsi="Arial"/>
          <w:sz w:val="18"/>
          <w:szCs w:val="18"/>
          <w:color w:val="231F20"/>
        </w:rPr>
        <w:t>Cloud Inventory (CI), Cloud Security Assessment (CSA), Container Security (CS).</w:t>
      </w:r>
    </w:p>
    <w:p>
      <w:pPr>
        <w:spacing w:after="0" w:line="265" w:lineRule="exact"/>
        <w:rPr>
          <w:sz w:val="20"/>
          <w:szCs w:val="20"/>
          <w:color w:val="auto"/>
        </w:rPr>
      </w:pPr>
    </w:p>
    <w:p>
      <w:pPr>
        <w:ind w:right="20" w:firstLine="392"/>
        <w:spacing w:after="0" w:line="292" w:lineRule="auto"/>
        <w:rPr>
          <w:sz w:val="20"/>
          <w:szCs w:val="20"/>
          <w:color w:val="auto"/>
        </w:rPr>
      </w:pPr>
      <w:r>
        <w:rPr>
          <w:rFonts w:ascii="Arial" w:cs="Arial" w:eastAsia="Arial" w:hAnsi="Arial"/>
          <w:sz w:val="18"/>
          <w:szCs w:val="18"/>
          <w:color w:val="auto"/>
        </w:rPr>
        <w:t xml:space="preserve">Our VM solutions (including </w:t>
      </w:r>
      <w:r>
        <w:rPr>
          <w:rFonts w:ascii="Arial" w:cs="Arial" w:eastAsia="Arial" w:hAnsi="Arial"/>
          <w:sz w:val="18"/>
          <w:szCs w:val="18"/>
          <w:color w:val="231F20"/>
        </w:rPr>
        <w:t>VM, CM, TP, Cloud Agent for VM</w:t>
      </w:r>
      <w:r>
        <w:rPr>
          <w:rFonts w:ascii="Arial" w:cs="Arial" w:eastAsia="Arial" w:hAnsi="Arial"/>
          <w:sz w:val="18"/>
          <w:szCs w:val="18"/>
          <w:color w:val="auto"/>
        </w:rPr>
        <w:t xml:space="preserve">, allocated scanner revenue and Qualys Private Cloud Platform) have provided a substantial majority of our revenues to date, representing 73% of our revenues for the </w:t>
      </w:r>
      <w:r>
        <w:rPr>
          <w:rFonts w:ascii="Arial" w:cs="Arial" w:eastAsia="Arial" w:hAnsi="Arial"/>
          <w:sz w:val="18"/>
          <w:szCs w:val="18"/>
          <w:color w:val="231F20"/>
        </w:rPr>
        <w:t>three months ended March 31, 2019</w:t>
      </w:r>
      <w:r>
        <w:rPr>
          <w:rFonts w:ascii="Arial" w:cs="Arial" w:eastAsia="Arial" w:hAnsi="Arial"/>
          <w:sz w:val="18"/>
          <w:szCs w:val="18"/>
          <w:color w:val="auto"/>
        </w:rPr>
        <w:t>.</w:t>
      </w:r>
    </w:p>
    <w:p>
      <w:pPr>
        <w:spacing w:after="0" w:line="145" w:lineRule="exact"/>
        <w:rPr>
          <w:sz w:val="20"/>
          <w:szCs w:val="20"/>
          <w:color w:val="auto"/>
        </w:rPr>
      </w:pPr>
    </w:p>
    <w:p>
      <w:pPr>
        <w:ind w:right="280" w:firstLine="405"/>
        <w:spacing w:after="0" w:line="260"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significant revenue growth from our existing customers as they renew and purchase additional subscriptions</w:t>
      </w:r>
      <w:r>
        <w:rPr>
          <w:rFonts w:ascii="Times New Roman" w:cs="Times New Roman" w:eastAsia="Times New Roman" w:hAnsi="Times New Roman"/>
          <w:sz w:val="18"/>
          <w:szCs w:val="18"/>
          <w:color w:val="000000"/>
        </w:rPr>
        <w:t>.</w:t>
      </w:r>
    </w:p>
    <w:p>
      <w:pPr>
        <w:spacing w:after="0" w:line="174" w:lineRule="exact"/>
        <w:rPr>
          <w:sz w:val="20"/>
          <w:szCs w:val="20"/>
          <w:color w:val="auto"/>
        </w:rPr>
      </w:pPr>
    </w:p>
    <w:p>
      <w:pPr>
        <w:jc w:val="both"/>
        <w:ind w:firstLine="392"/>
        <w:spacing w:after="0" w:line="258" w:lineRule="auto"/>
        <w:rPr>
          <w:sz w:val="20"/>
          <w:szCs w:val="20"/>
          <w:color w:val="auto"/>
        </w:rPr>
      </w:pPr>
      <w:r>
        <w:rPr>
          <w:rFonts w:ascii="Arial" w:cs="Arial" w:eastAsia="Arial" w:hAnsi="Arial"/>
          <w:sz w:val="18"/>
          <w:szCs w:val="18"/>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In the three months ended March 31, 2019 and the corresponding period of 2018, approximately 65% and 68%, respectively,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231F20"/>
        </w:rPr>
        <w:t>Our revenues increased to $75.3 million in the three months ended March 31, 2019 from $64.9 million for the corresponding period in 2018, representing an increase of $10.5 million or 16%.</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Key Metric</w:t>
      </w:r>
    </w:p>
    <w:p>
      <w:pPr>
        <w:spacing w:after="0" w:line="22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auto"/>
        </w:rPr>
        <w:t>In addition to measures of financial performance presented in our condensed consolidated financial statements, we monitor the key metric set forth below to help us evaluate growth trends, establish budgets, measure the effectiveness of our sales and marketing efforts and assess operational efficiencies.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gridSpan w:val="4"/>
          </w:tcPr>
          <w:p>
            <w:pPr>
              <w:jc w:val="center"/>
              <w:ind w:right="79"/>
              <w:spacing w:after="0"/>
              <w:rPr>
                <w:sz w:val="20"/>
                <w:szCs w:val="20"/>
                <w:color w:val="auto"/>
              </w:rPr>
            </w:pPr>
            <w:r>
              <w:rPr>
                <w:rFonts w:ascii="Arial" w:cs="Arial" w:eastAsia="Arial" w:hAnsi="Arial"/>
                <w:sz w:val="16"/>
                <w:szCs w:val="16"/>
                <w:b w:val="1"/>
                <w:bCs w:val="1"/>
                <w:color w:val="auto"/>
              </w:rPr>
              <w:t>Three Months Ended</w:t>
            </w:r>
          </w:p>
        </w:tc>
      </w:tr>
      <w:tr>
        <w:trPr>
          <w:trHeight w:val="274"/>
        </w:trPr>
        <w:tc>
          <w:tcPr>
            <w:tcW w:w="82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3"/>
          </w:tcPr>
          <w:p>
            <w:pPr>
              <w:jc w:val="center"/>
              <w:ind w:left="839"/>
              <w:spacing w:after="0"/>
              <w:rPr>
                <w:sz w:val="20"/>
                <w:szCs w:val="20"/>
                <w:color w:val="auto"/>
              </w:rPr>
            </w:pPr>
            <w:r>
              <w:rPr>
                <w:rFonts w:ascii="Arial" w:cs="Arial" w:eastAsia="Arial" w:hAnsi="Arial"/>
                <w:sz w:val="16"/>
                <w:szCs w:val="16"/>
                <w:b w:val="1"/>
                <w:bCs w:val="1"/>
                <w:color w:val="auto"/>
              </w:rPr>
              <w:t>March 31,</w:t>
            </w:r>
          </w:p>
        </w:tc>
        <w:tc>
          <w:tcPr>
            <w:tcW w:w="1080" w:type="dxa"/>
            <w:vAlign w:val="bottom"/>
            <w:tcBorders>
              <w:bottom w:val="single" w:sz="8" w:color="auto"/>
            </w:tcBorders>
          </w:tcPr>
          <w:p>
            <w:pPr>
              <w:spacing w:after="0"/>
              <w:rPr>
                <w:sz w:val="23"/>
                <w:szCs w:val="23"/>
                <w:color w:val="auto"/>
              </w:rPr>
            </w:pPr>
          </w:p>
        </w:tc>
      </w:tr>
      <w:tr>
        <w:trPr>
          <w:trHeight w:val="264"/>
        </w:trPr>
        <w:tc>
          <w:tcPr>
            <w:tcW w:w="8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r>
      <w:tr>
        <w:trPr>
          <w:trHeight w:val="250"/>
        </w:trPr>
        <w:tc>
          <w:tcPr>
            <w:tcW w:w="8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auto"/>
              </w:rPr>
              <w:t>(in thousands, except percentages)</w:t>
            </w:r>
          </w:p>
        </w:tc>
      </w:tr>
      <w:tr>
        <w:trPr>
          <w:trHeight w:val="25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30,625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24,618</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8"/>
        </w:trPr>
        <w:tc>
          <w:tcPr>
            <w:tcW w:w="82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Adjusted EBITDA</w:t>
      </w:r>
    </w:p>
    <w:p>
      <w:pPr>
        <w:spacing w:after="0" w:line="227" w:lineRule="exact"/>
        <w:rPr>
          <w:sz w:val="20"/>
          <w:szCs w:val="20"/>
          <w:color w:val="auto"/>
        </w:rPr>
      </w:pPr>
    </w:p>
    <w:p>
      <w:pPr>
        <w:jc w:val="both"/>
        <w:ind w:firstLine="392"/>
        <w:spacing w:after="0" w:line="258" w:lineRule="auto"/>
        <w:rPr>
          <w:sz w:val="20"/>
          <w:szCs w:val="20"/>
          <w:color w:val="auto"/>
        </w:rPr>
      </w:pPr>
      <w:r>
        <w:rPr>
          <w:rFonts w:ascii="Arial" w:cs="Arial" w:eastAsia="Arial" w:hAnsi="Arial"/>
          <w:sz w:val="18"/>
          <w:szCs w:val="18"/>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7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Adjusted EBITDA should not be considered in isolation from, or as a substitute for, financial information prepared in accordance with U.S. GAAP. Qualys defines Adjusted EBITDA as earnings before interest expense, taxes, depreciation, amortization, stock-based compensation, interest income and other income (expense), net, non-recurring expenses, and acquisition-related expenses that do not reflect ongoing costs of operating the business.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firstLine="405"/>
        <w:spacing w:after="0" w:line="292" w:lineRule="auto"/>
        <w:rPr>
          <w:sz w:val="20"/>
          <w:szCs w:val="20"/>
          <w:color w:val="auto"/>
        </w:rPr>
      </w:pPr>
      <w:r>
        <w:rPr>
          <w:rFonts w:ascii="Arial" w:cs="Arial" w:eastAsia="Arial" w:hAnsi="Arial"/>
          <w:sz w:val="18"/>
          <w:szCs w:val="18"/>
          <w:color w:val="auto"/>
        </w:rPr>
        <w:t>The following unaudited table presents the reconciliation of net income to Adjusted EBITDA for the three months ended March 31, 2019 and 2018:</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4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rPr>
              <w:t>Three Months Ended</w:t>
            </w:r>
          </w:p>
        </w:tc>
      </w:tr>
      <w:tr>
        <w:trPr>
          <w:trHeight w:val="274"/>
        </w:trPr>
        <w:tc>
          <w:tcPr>
            <w:tcW w:w="83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3"/>
                <w:szCs w:val="23"/>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50"/>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3"/>
          </w:tcPr>
          <w:p>
            <w:pPr>
              <w:jc w:val="center"/>
              <w:ind w:left="59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13,266</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9,142</w:t>
            </w:r>
          </w:p>
        </w:tc>
      </w:tr>
      <w:tr>
        <w:trPr>
          <w:trHeight w:val="262"/>
        </w:trPr>
        <w:tc>
          <w:tcPr>
            <w:tcW w:w="8340" w:type="dxa"/>
            <w:vAlign w:val="bottom"/>
          </w:tcPr>
          <w:p>
            <w:pPr>
              <w:ind w:left="280"/>
              <w:spacing w:after="0"/>
              <w:rPr>
                <w:sz w:val="20"/>
                <w:szCs w:val="20"/>
                <w:color w:val="auto"/>
              </w:rPr>
            </w:pPr>
            <w:r>
              <w:rPr>
                <w:rFonts w:ascii="Arial" w:cs="Arial" w:eastAsia="Arial" w:hAnsi="Arial"/>
                <w:sz w:val="16"/>
                <w:szCs w:val="16"/>
                <w:color w:val="auto"/>
              </w:rPr>
              <w:t>Depreciation and amortization of property and equipment</w:t>
            </w: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6,415</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6,410</w:t>
            </w:r>
          </w:p>
        </w:tc>
      </w:tr>
      <w:tr>
        <w:trPr>
          <w:trHeight w:val="278"/>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633</w:t>
            </w:r>
          </w:p>
        </w:tc>
      </w:tr>
      <w:tr>
        <w:trPr>
          <w:trHeight w:val="262"/>
        </w:trPr>
        <w:tc>
          <w:tcPr>
            <w:tcW w:w="83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271"/>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2,571</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509</w:t>
            </w: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EBITDA</w:t>
            </w:r>
          </w:p>
        </w:tc>
        <w:tc>
          <w:tcPr>
            <w:tcW w:w="34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23,814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16,732</w:t>
            </w:r>
          </w:p>
        </w:tc>
      </w:tr>
      <w:tr>
        <w:trPr>
          <w:trHeight w:val="278"/>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8,445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8,891</w:t>
            </w:r>
          </w:p>
        </w:tc>
      </w:tr>
      <w:tr>
        <w:trPr>
          <w:trHeight w:val="262"/>
        </w:trPr>
        <w:tc>
          <w:tcPr>
            <w:tcW w:w="8340" w:type="dxa"/>
            <w:vAlign w:val="bottom"/>
          </w:tcPr>
          <w:p>
            <w:pPr>
              <w:ind w:left="280"/>
              <w:spacing w:after="0"/>
              <w:rPr>
                <w:sz w:val="20"/>
                <w:szCs w:val="20"/>
                <w:color w:val="auto"/>
              </w:rPr>
            </w:pPr>
            <w:r>
              <w:rPr>
                <w:rFonts w:ascii="Arial" w:cs="Arial" w:eastAsia="Arial" w:hAnsi="Arial"/>
                <w:sz w:val="16"/>
                <w:szCs w:val="16"/>
                <w:color w:val="auto"/>
              </w:rPr>
              <w:t>Interest income and Other income (expense), net</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(1,828)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(1,283)</w:t>
            </w:r>
          </w:p>
        </w:tc>
      </w:tr>
      <w:tr>
        <w:trPr>
          <w:trHeight w:val="271"/>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Acquisition-related expense(1)</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w:t>
            </w:r>
          </w:p>
        </w:tc>
      </w:tr>
      <w:tr>
        <w:trPr>
          <w:trHeight w:val="242"/>
        </w:trPr>
        <w:tc>
          <w:tcPr>
            <w:tcW w:w="834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30,625</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24,618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340" w:firstLine="8"/>
        <w:spacing w:after="0" w:line="264" w:lineRule="auto"/>
        <w:tabs>
          <w:tab w:leader="none" w:pos="21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Adjusted EBITDA for the three months ended March 31, 2019 includes $0.3 million and $1.3 million of compensation related to acquisitions in 2019 and 2018, respectively, offset by $1.4 million of reversals of previous obligations. Adjusted EBITDA for the three months ended March 31, 2018 includes $0.3 million of compensation related to acquisitions in 2017.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Adjusted EBITDA</w:t>
      </w:r>
    </w:p>
    <w:p>
      <w:pPr>
        <w:spacing w:after="0" w:line="266" w:lineRule="exact"/>
        <w:rPr>
          <w:sz w:val="20"/>
          <w:szCs w:val="20"/>
          <w:color w:val="auto"/>
        </w:rPr>
      </w:pPr>
    </w:p>
    <w:p>
      <w:pPr>
        <w:ind w:firstLine="405"/>
        <w:spacing w:after="0" w:line="292" w:lineRule="auto"/>
        <w:rPr>
          <w:sz w:val="20"/>
          <w:szCs w:val="20"/>
          <w:color w:val="auto"/>
        </w:rPr>
      </w:pPr>
      <w:r>
        <w:rPr>
          <w:rFonts w:ascii="Arial" w:cs="Arial" w:eastAsia="Arial" w:hAnsi="Arial"/>
          <w:sz w:val="18"/>
          <w:szCs w:val="18"/>
          <w:color w:val="auto"/>
        </w:rPr>
        <w:t>Adjusted EBITDA, a non-GAAP financial measure, has limitations as an analytical tool, and should not be considered in isolation from or as a substitute for the measures presented in accordance with U.S. GAAP. Some of these limitations are:</w:t>
      </w:r>
    </w:p>
    <w:p>
      <w:pPr>
        <w:spacing w:after="0" w:line="14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although these are non-cash charges, the assets being depreciated and amortized may have to be replaced in the future; and</w:t>
      </w:r>
    </w:p>
    <w:p>
      <w:pPr>
        <w:ind w:left="660" w:hanging="328"/>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or not at all, which reduces its usefulness as a comparative measure.</w:t>
      </w:r>
    </w:p>
    <w:p>
      <w:pPr>
        <w:spacing w:after="0" w:line="167"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color w:val="auto"/>
        </w:rPr>
        <w:t>Because of these limitations, Adjusted EBITDA should be considered alongside other financial performance measures, including revenues, net income, cash flows from operating activities and our financial results presented in accordance with U.S. GAAP.</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Revenues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We derive revenues from the sale of subscriptions to our security and compliance solutions, which are delivered on our cloud platform. Subscriptions to our solutions allow customers to access our cloud-based security and compliance solutions through a unified, web-based interface. Customers generally enter into one-year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w:t>
      </w:r>
      <w:r>
        <w:rPr>
          <w:rFonts w:ascii="Arial" w:cs="Arial" w:eastAsia="Arial" w:hAnsi="Arial"/>
          <w:sz w:val="18"/>
          <w:szCs w:val="18"/>
          <w:color w:val="000000"/>
        </w:rPr>
        <w:t>solutions. In some limited cases, we also provide certain computer equipment used to extend our Qualys cloud platform into our</w:t>
      </w:r>
      <w:r>
        <w:rPr>
          <w:rFonts w:ascii="Arial" w:cs="Arial" w:eastAsia="Arial" w:hAnsi="Arial"/>
          <w:sz w:val="18"/>
          <w:szCs w:val="18"/>
          <w:color w:val="231F20"/>
        </w:rPr>
        <w:t xml:space="preserve"> </w:t>
      </w:r>
      <w:r>
        <w:rPr>
          <w:rFonts w:ascii="Arial" w:cs="Arial" w:eastAsia="Arial" w:hAnsi="Arial"/>
          <w:sz w:val="18"/>
          <w:szCs w:val="18"/>
          <w:color w:val="000000"/>
        </w:rPr>
        <w:t>customers’ private cloud environment. Customers are required to return physical scanner appliances and computer equipment if they do not renew their subscript</w:t>
      </w:r>
      <w:r>
        <w:rPr>
          <w:rFonts w:ascii="Arial" w:cs="Arial" w:eastAsia="Arial" w:hAnsi="Arial"/>
          <w:sz w:val="18"/>
          <w:szCs w:val="18"/>
          <w:color w:val="231F20"/>
        </w:rPr>
        <w: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Cost of revenues consists primarily of personnel expenses, comprised of salaries, benefits, amortization of internal-use software,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amortization of intangibles related to acquisitions, maintenance support,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Research and Development</w:t>
      </w:r>
    </w:p>
    <w:p>
      <w:pPr>
        <w:spacing w:after="0" w:line="22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acquisitions and overhead allocations. All research and development costs are expensed as incurred.</w:t>
      </w:r>
    </w:p>
    <w:p>
      <w:pPr>
        <w:spacing w:after="0" w:line="16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We capitalize some research and development costs related to new products' internal-use software development. Capitalized costs include salaries, benefits, and stock-based compensation charges for employees that are directly involved in developing new products for our cloud security platform during the application development stage. Capitalized costs related to internally developed software under development are treated as construction in progress until the program, feature or functionality is ready for its intended use, at which time amortization commences. We expect to continue to devote substantial resources to research and development in an effort to continuously improve our existing solutions as well as develop new solutions and capabilities and expect that research and development expenses will increase in absolute dollars.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Sales and Marketing</w:t>
      </w:r>
    </w:p>
    <w:p>
      <w:pPr>
        <w:spacing w:after="0" w:line="22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Sales commissions related to new business and upsells are capitalized as an asset. We amortize the capitalized commission cost as a selling expense on a straight-line basis over a period of five years. We expense sales commissions related to contract renewals.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General and Administrative</w:t>
      </w:r>
    </w:p>
    <w:p>
      <w:pPr>
        <w:spacing w:after="0" w:line="22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and human resources teams, as well as professional services, insurance, fees, and software licenses. We expect that general and administrative expenses will increase in absolute dollars, as we continue to add personnel and incur professional services to support our growth and compliance with legal requirements.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Other Income, Net</w:t>
      </w:r>
    </w:p>
    <w:p>
      <w:pPr>
        <w:spacing w:after="0" w:line="11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Our other income, net consists primarily of interest and investment income from our short-term and long-term investments; foreign exchange gains and losses, the majority of which result from fluctuations between the U.S. Dollar and the Euro, British Pound and Indian Rupee; losses on disposal of property and equipment; and impairment of long-lived assets.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country which are generally higher than U.S. tax rates, and may be subject to U.S. income taxes.</w:t>
      </w:r>
    </w:p>
    <w:p>
      <w:pPr>
        <w:spacing w:after="0" w:line="163"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231F20"/>
        </w:rPr>
        <w:t>Our provision for income taxes for interim periods is determined using an estimate of our annual effective tax rate, adjusted for discrete items, if any, that arise during the period. Each quarter, we update our estimate of the annual effective tax rate, and if the estimated annual effective tax rate changes, we make a cumulative adjustment in such period. Our estimated effective rate for the year differs from the U.S. statutory rate of 21% primarily due to non-deductible stock-based compensation expense, state taxes, foreign income subject to different tax rates than the U.S., and the benefit of U.S. federal income tax credits.</w:t>
      </w:r>
    </w:p>
    <w:p>
      <w:pPr>
        <w:spacing w:after="0" w:line="175"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following tables set forth selected condensed consolidated statements of operations data for each of the periods presented.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4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rPr>
              <w:t>Three Months Ended</w:t>
            </w:r>
          </w:p>
        </w:tc>
      </w:tr>
      <w:tr>
        <w:trPr>
          <w:trHeight w:val="274"/>
        </w:trPr>
        <w:tc>
          <w:tcPr>
            <w:tcW w:w="83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3"/>
                <w:szCs w:val="23"/>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50"/>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3"/>
          </w:tcPr>
          <w:p>
            <w:pPr>
              <w:jc w:val="center"/>
              <w:ind w:left="55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Condensed Consolidated Statements of Operations data:</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tcPr>
          <w:p>
            <w:pPr>
              <w:jc w:val="right"/>
              <w:ind w:right="139"/>
              <w:spacing w:after="0"/>
              <w:rPr>
                <w:sz w:val="20"/>
                <w:szCs w:val="20"/>
                <w:color w:val="auto"/>
              </w:rPr>
            </w:pPr>
            <w:r>
              <w:rPr>
                <w:rFonts w:ascii="Arial" w:cs="Arial" w:eastAsia="Arial" w:hAnsi="Arial"/>
                <w:sz w:val="16"/>
                <w:szCs w:val="16"/>
                <w:color w:val="231F20"/>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231F20"/>
              </w:rPr>
              <w:t>75,343</w:t>
            </w:r>
          </w:p>
        </w:tc>
        <w:tc>
          <w:tcPr>
            <w:tcW w:w="100" w:type="dxa"/>
            <w:vAlign w:val="bottom"/>
          </w:tcPr>
          <w:p>
            <w:pPr>
              <w:spacing w:after="0"/>
              <w:rPr>
                <w:sz w:val="22"/>
                <w:szCs w:val="22"/>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231F20"/>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231F20"/>
              </w:rPr>
              <w:t>64,878</w:t>
            </w: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w:t>
            </w:r>
          </w:p>
        </w:tc>
        <w:tc>
          <w:tcPr>
            <w:tcW w:w="340" w:type="dxa"/>
            <w:vAlign w:val="bottom"/>
            <w:tcBorders>
              <w:bottom w:val="single" w:sz="8" w:color="231F20"/>
            </w:tcBorders>
            <w:shd w:val="clear" w:color="auto" w:fill="CCEEFF"/>
          </w:tcPr>
          <w:p>
            <w:pPr>
              <w:spacing w:after="0"/>
              <w:rPr>
                <w:sz w:val="24"/>
                <w:szCs w:val="24"/>
                <w:color w:val="auto"/>
              </w:rPr>
            </w:pPr>
          </w:p>
        </w:tc>
        <w:tc>
          <w:tcPr>
            <w:tcW w:w="116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17,709</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231F20"/>
            </w:tcBorders>
            <w:shd w:val="clear" w:color="auto" w:fill="CCEEFF"/>
          </w:tcPr>
          <w:p>
            <w:pPr>
              <w:spacing w:after="0"/>
              <w:rPr>
                <w:sz w:val="24"/>
                <w:szCs w:val="24"/>
                <w:color w:val="auto"/>
              </w:rPr>
            </w:pPr>
          </w:p>
        </w:tc>
        <w:tc>
          <w:tcPr>
            <w:tcW w:w="9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15,901</w:t>
            </w:r>
          </w:p>
        </w:tc>
      </w:tr>
      <w:tr>
        <w:trPr>
          <w:trHeight w:val="242"/>
        </w:trPr>
        <w:tc>
          <w:tcPr>
            <w:tcW w:w="8340" w:type="dxa"/>
            <w:vAlign w:val="bottom"/>
          </w:tcPr>
          <w:p>
            <w:pPr>
              <w:ind w:left="28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57,634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48,977</w:t>
            </w: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w:t>
            </w: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231F20"/>
              </w:rPr>
              <w:t>15,837</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231F20"/>
              </w:rPr>
              <w:t>12,553</w:t>
            </w: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17,315</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16,233</w:t>
            </w:r>
          </w:p>
        </w:tc>
      </w:tr>
      <w:tr>
        <w:trPr>
          <w:trHeight w:val="270"/>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w:t>
            </w:r>
          </w:p>
        </w:tc>
        <w:tc>
          <w:tcPr>
            <w:tcW w:w="340" w:type="dxa"/>
            <w:vAlign w:val="bottom"/>
            <w:tcBorders>
              <w:bottom w:val="single" w:sz="8" w:color="231F20"/>
            </w:tcBorders>
          </w:tcPr>
          <w:p>
            <w:pPr>
              <w:spacing w:after="0"/>
              <w:rPr>
                <w:sz w:val="23"/>
                <w:szCs w:val="23"/>
                <w:color w:val="auto"/>
              </w:rPr>
            </w:pPr>
          </w:p>
        </w:tc>
        <w:tc>
          <w:tcPr>
            <w:tcW w:w="116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10,431</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11,785</w:t>
            </w:r>
          </w:p>
        </w:tc>
      </w:tr>
      <w:tr>
        <w:trPr>
          <w:trHeight w:val="244"/>
        </w:trPr>
        <w:tc>
          <w:tcPr>
            <w:tcW w:w="8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43,583</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40,571</w:t>
            </w: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34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14,051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8,406</w:t>
            </w:r>
          </w:p>
        </w:tc>
      </w:tr>
      <w:tr>
        <w:trPr>
          <w:trHeight w:val="271"/>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1,786</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231F20"/>
              </w:rPr>
              <w:t>1,245</w:t>
            </w: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34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15,837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9,651</w:t>
            </w:r>
          </w:p>
        </w:tc>
      </w:tr>
      <w:tr>
        <w:trPr>
          <w:trHeight w:val="271"/>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231F20"/>
            </w:tcBorders>
            <w:shd w:val="clear" w:color="auto" w:fill="CCEEFF"/>
          </w:tcPr>
          <w:p>
            <w:pPr>
              <w:spacing w:after="0"/>
              <w:rPr>
                <w:sz w:val="23"/>
                <w:szCs w:val="23"/>
                <w:color w:val="auto"/>
              </w:rPr>
            </w:pPr>
          </w:p>
        </w:tc>
        <w:tc>
          <w:tcPr>
            <w:tcW w:w="116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2,571</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231F20"/>
            </w:tcBorders>
            <w:shd w:val="clear" w:color="auto" w:fill="CCEEFF"/>
          </w:tcPr>
          <w:p>
            <w:pPr>
              <w:spacing w:after="0"/>
              <w:rPr>
                <w:sz w:val="23"/>
                <w:szCs w:val="23"/>
                <w:color w:val="auto"/>
              </w:rPr>
            </w:pPr>
          </w:p>
        </w:tc>
        <w:tc>
          <w:tcPr>
            <w:tcW w:w="9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509</w:t>
            </w:r>
          </w:p>
        </w:tc>
      </w:tr>
      <w:tr>
        <w:trPr>
          <w:trHeight w:val="242"/>
        </w:trPr>
        <w:tc>
          <w:tcPr>
            <w:tcW w:w="8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13,266</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9,142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231F20"/>
          <w:vertAlign w:val="superscript"/>
        </w:rPr>
      </w:pPr>
      <w:r>
        <w:rPr>
          <w:rFonts w:ascii="Arial" w:cs="Arial" w:eastAsia="Arial" w:hAnsi="Arial"/>
          <w:sz w:val="14"/>
          <w:szCs w:val="14"/>
          <w:color w:val="231F20"/>
        </w:rPr>
        <w:t>Includes stock-based compensation as follows:</w:t>
      </w:r>
    </w:p>
    <w:p>
      <w:pPr>
        <w:spacing w:after="0" w:line="380"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400" w:type="dxa"/>
            <w:vAlign w:val="bottom"/>
            <w:gridSpan w:val="4"/>
          </w:tcPr>
          <w:p>
            <w:pPr>
              <w:jc w:val="center"/>
              <w:ind w:left="43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9"/>
                <w:szCs w:val="19"/>
                <w:color w:val="auto"/>
              </w:rPr>
            </w:pPr>
          </w:p>
        </w:tc>
      </w:tr>
      <w:tr>
        <w:trPr>
          <w:trHeight w:val="274"/>
        </w:trPr>
        <w:tc>
          <w:tcPr>
            <w:tcW w:w="786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6"/>
                <w:szCs w:val="16"/>
                <w:b w:val="1"/>
                <w:bCs w:val="1"/>
                <w:color w:val="auto"/>
              </w:rPr>
              <w:t>March 31,</w:t>
            </w:r>
          </w:p>
        </w:tc>
        <w:tc>
          <w:tcPr>
            <w:tcW w:w="500" w:type="dxa"/>
            <w:vAlign w:val="bottom"/>
            <w:tcBorders>
              <w:bottom w:val="single" w:sz="8" w:color="auto"/>
            </w:tcBorders>
          </w:tcPr>
          <w:p>
            <w:pPr>
              <w:spacing w:after="0"/>
              <w:rPr>
                <w:sz w:val="23"/>
                <w:szCs w:val="23"/>
                <w:color w:val="auto"/>
              </w:rPr>
            </w:pPr>
          </w:p>
        </w:tc>
      </w:tr>
      <w:tr>
        <w:trPr>
          <w:trHeight w:val="264"/>
        </w:trPr>
        <w:tc>
          <w:tcPr>
            <w:tcW w:w="78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250"/>
        </w:trPr>
        <w:tc>
          <w:tcPr>
            <w:tcW w:w="7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20" w:type="dxa"/>
            <w:vAlign w:val="bottom"/>
            <w:gridSpan w:val="3"/>
          </w:tcPr>
          <w:p>
            <w:pPr>
              <w:jc w:val="center"/>
              <w:ind w:right="279"/>
              <w:spacing w:after="0"/>
              <w:rPr>
                <w:sz w:val="20"/>
                <w:szCs w:val="20"/>
                <w:color w:val="auto"/>
              </w:rPr>
            </w:pPr>
            <w:r>
              <w:rPr>
                <w:rFonts w:ascii="Arial" w:cs="Arial" w:eastAsia="Arial" w:hAnsi="Arial"/>
                <w:sz w:val="16"/>
                <w:szCs w:val="16"/>
                <w:b w:val="1"/>
                <w:bCs w:val="1"/>
                <w:color w:val="auto"/>
              </w:rPr>
              <w:t>(in thousands)</w:t>
            </w:r>
          </w:p>
        </w:tc>
        <w:tc>
          <w:tcPr>
            <w:tcW w:w="500" w:type="dxa"/>
            <w:vAlign w:val="bottom"/>
          </w:tcPr>
          <w:p>
            <w:pPr>
              <w:spacing w:after="0"/>
              <w:rPr>
                <w:sz w:val="21"/>
                <w:szCs w:val="21"/>
                <w:color w:val="auto"/>
              </w:rPr>
            </w:pPr>
          </w:p>
        </w:tc>
      </w:tr>
      <w:tr>
        <w:trPr>
          <w:trHeight w:val="274"/>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654</w:t>
            </w:r>
          </w:p>
        </w:tc>
      </w:tr>
      <w:tr>
        <w:trPr>
          <w:trHeight w:val="262"/>
        </w:trPr>
        <w:tc>
          <w:tcPr>
            <w:tcW w:w="78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88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2,340</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1,841</w:t>
            </w:r>
          </w:p>
        </w:tc>
      </w:tr>
      <w:tr>
        <w:trPr>
          <w:trHeight w:val="278"/>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8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1,068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4"/>
              </w:rPr>
              <w:t>1,401</w:t>
            </w:r>
          </w:p>
        </w:tc>
      </w:tr>
      <w:tr>
        <w:trPr>
          <w:trHeight w:val="264"/>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8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4,492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4"/>
              </w:rPr>
              <w:t>4,995</w:t>
            </w:r>
          </w:p>
        </w:tc>
      </w:tr>
      <w:tr>
        <w:trPr>
          <w:trHeight w:val="242"/>
        </w:trPr>
        <w:tc>
          <w:tcPr>
            <w:tcW w:w="7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stock-based compensation</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8,445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8,891</w:t>
            </w:r>
          </w:p>
        </w:tc>
      </w:tr>
      <w:tr>
        <w:trPr>
          <w:trHeight w:val="20"/>
        </w:trPr>
        <w:tc>
          <w:tcPr>
            <w:tcW w:w="7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336" w:lineRule="exact"/>
        <w:rPr>
          <w:sz w:val="20"/>
          <w:szCs w:val="20"/>
          <w:color w:val="auto"/>
        </w:rPr>
      </w:pPr>
    </w:p>
    <w:p>
      <w:pPr>
        <w:jc w:val="center"/>
        <w:ind w:left="8260"/>
        <w:spacing w:after="0"/>
        <w:rPr>
          <w:sz w:val="20"/>
          <w:szCs w:val="20"/>
          <w:color w:val="auto"/>
        </w:rPr>
      </w:pPr>
      <w:r>
        <w:rPr>
          <w:rFonts w:ascii="Arial" w:cs="Arial" w:eastAsia="Arial" w:hAnsi="Arial"/>
          <w:sz w:val="16"/>
          <w:szCs w:val="16"/>
          <w:b w:val="1"/>
          <w:bCs w:val="1"/>
          <w:color w:val="auto"/>
        </w:rPr>
        <w:t>Three Months Ended</w:t>
      </w:r>
    </w:p>
    <w:p>
      <w:pPr>
        <w:spacing w:after="0" w:line="86" w:lineRule="exact"/>
        <w:rPr>
          <w:sz w:val="20"/>
          <w:szCs w:val="20"/>
          <w:color w:val="auto"/>
        </w:rPr>
      </w:pPr>
    </w:p>
    <w:p>
      <w:pPr>
        <w:jc w:val="center"/>
        <w:ind w:left="82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33020</wp:posOffset>
            </wp:positionV>
            <wp:extent cx="2023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2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r>
      <w:tr>
        <w:trPr>
          <w:trHeight w:val="254"/>
        </w:trPr>
        <w:tc>
          <w:tcPr>
            <w:tcW w:w="9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10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w:t>
            </w:r>
          </w:p>
        </w:tc>
      </w:tr>
      <w:tr>
        <w:trPr>
          <w:trHeight w:val="257"/>
        </w:trPr>
        <w:tc>
          <w:tcPr>
            <w:tcW w:w="92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75</w:t>
            </w:r>
          </w:p>
        </w:tc>
      </w:tr>
      <w:tr>
        <w:trPr>
          <w:trHeight w:val="262"/>
        </w:trPr>
        <w:tc>
          <w:tcPr>
            <w:tcW w:w="926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78"/>
        </w:trPr>
        <w:tc>
          <w:tcPr>
            <w:tcW w:w="92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r>
      <w:tr>
        <w:trPr>
          <w:trHeight w:val="262"/>
        </w:trPr>
        <w:tc>
          <w:tcPr>
            <w:tcW w:w="926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25</w:t>
            </w:r>
          </w:p>
        </w:tc>
      </w:tr>
      <w:tr>
        <w:trPr>
          <w:trHeight w:val="271"/>
        </w:trPr>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0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w:t>
            </w:r>
          </w:p>
        </w:tc>
      </w:tr>
      <w:tr>
        <w:trPr>
          <w:trHeight w:val="250"/>
        </w:trPr>
        <w:tc>
          <w:tcPr>
            <w:tcW w:w="82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62</w:t>
            </w:r>
          </w:p>
        </w:tc>
      </w:tr>
      <w:tr>
        <w:trPr>
          <w:trHeight w:val="257"/>
        </w:trPr>
        <w:tc>
          <w:tcPr>
            <w:tcW w:w="9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net</w:t>
            </w:r>
          </w:p>
        </w:tc>
        <w:tc>
          <w:tcPr>
            <w:tcW w:w="10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w:t>
            </w:r>
          </w:p>
        </w:tc>
      </w:tr>
      <w:tr>
        <w:trPr>
          <w:trHeight w:val="257"/>
        </w:trPr>
        <w:tc>
          <w:tcPr>
            <w:tcW w:w="9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10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r>
      <w:tr>
        <w:trPr>
          <w:trHeight w:val="242"/>
        </w:trPr>
        <w:tc>
          <w:tcPr>
            <w:tcW w:w="9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Three </w:t>
      </w:r>
      <w:r>
        <w:rPr>
          <w:rFonts w:ascii="Arial" w:cs="Arial" w:eastAsia="Arial" w:hAnsi="Arial"/>
          <w:sz w:val="18"/>
          <w:szCs w:val="18"/>
          <w:b w:val="1"/>
          <w:bCs w:val="1"/>
          <w:color w:val="000000"/>
        </w:rPr>
        <w:t>Months Ended March 31, 2019</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2018</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gridSpan w:val="3"/>
          </w:tcPr>
          <w:p>
            <w:pPr>
              <w:jc w:val="center"/>
              <w:ind w:left="499"/>
              <w:spacing w:after="0"/>
              <w:rPr>
                <w:sz w:val="20"/>
                <w:szCs w:val="20"/>
                <w:color w:val="auto"/>
              </w:rPr>
            </w:pPr>
            <w:r>
              <w:rPr>
                <w:rFonts w:ascii="Arial" w:cs="Arial" w:eastAsia="Arial" w:hAnsi="Arial"/>
                <w:sz w:val="16"/>
                <w:szCs w:val="16"/>
                <w:b w:val="1"/>
                <w:bCs w:val="1"/>
                <w:color w:val="auto"/>
              </w:rPr>
              <w:t>Three Months Ended</w:t>
            </w:r>
          </w:p>
        </w:tc>
        <w:tc>
          <w:tcPr>
            <w:tcW w:w="12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4"/>
        </w:trPr>
        <w:tc>
          <w:tcPr>
            <w:tcW w:w="5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20" w:type="dxa"/>
            <w:vAlign w:val="bottom"/>
            <w:gridSpan w:val="4"/>
          </w:tcPr>
          <w:p>
            <w:pPr>
              <w:ind w:left="820"/>
              <w:spacing w:after="0"/>
              <w:rPr>
                <w:sz w:val="20"/>
                <w:szCs w:val="20"/>
                <w:color w:val="auto"/>
              </w:rPr>
            </w:pPr>
            <w:r>
              <w:rPr>
                <w:rFonts w:ascii="Arial" w:cs="Arial" w:eastAsia="Arial" w:hAnsi="Arial"/>
                <w:sz w:val="16"/>
                <w:szCs w:val="16"/>
                <w:b w:val="1"/>
                <w:bCs w:val="1"/>
                <w:color w:val="auto"/>
              </w:rPr>
              <w:t>March 31,</w:t>
            </w:r>
          </w:p>
        </w:tc>
        <w:tc>
          <w:tcPr>
            <w:tcW w:w="840" w:type="dxa"/>
            <w:vAlign w:val="bottom"/>
          </w:tcPr>
          <w:p>
            <w:pPr>
              <w:spacing w:after="0"/>
              <w:rPr>
                <w:sz w:val="23"/>
                <w:szCs w:val="23"/>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Pr>
          <w:p>
            <w:pPr>
              <w:spacing w:after="0"/>
              <w:rPr>
                <w:sz w:val="23"/>
                <w:szCs w:val="23"/>
                <w:color w:val="auto"/>
              </w:rPr>
            </w:pPr>
          </w:p>
        </w:tc>
      </w:tr>
      <w:tr>
        <w:trPr>
          <w:trHeight w:val="264"/>
        </w:trPr>
        <w:tc>
          <w:tcPr>
            <w:tcW w:w="514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50"/>
        </w:trPr>
        <w:tc>
          <w:tcPr>
            <w:tcW w:w="5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00" w:type="dxa"/>
            <w:vAlign w:val="bottom"/>
            <w:gridSpan w:val="4"/>
          </w:tcPr>
          <w:p>
            <w:pPr>
              <w:jc w:val="center"/>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74"/>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75,343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64,878</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10,465</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bl>
    <w:p>
      <w:pPr>
        <w:spacing w:after="0" w:line="24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8"/>
          <w:szCs w:val="18"/>
          <w:color w:val="231F20"/>
        </w:rPr>
        <w:t xml:space="preserve">Revenues increased $10.5 million for the </w:t>
      </w:r>
      <w:r>
        <w:rPr>
          <w:rFonts w:ascii="Arial" w:cs="Arial" w:eastAsia="Arial" w:hAnsi="Arial"/>
          <w:sz w:val="18"/>
          <w:szCs w:val="18"/>
          <w:color w:val="000000"/>
        </w:rPr>
        <w:t>three months ended March 31, 2019</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March 31, 2018</w:t>
      </w:r>
      <w:r>
        <w:rPr>
          <w:rFonts w:ascii="Arial" w:cs="Arial" w:eastAsia="Arial" w:hAnsi="Arial"/>
          <w:sz w:val="18"/>
          <w:szCs w:val="18"/>
          <w:color w:val="231F20"/>
        </w:rPr>
        <w:t xml:space="preserve">, due to an increase in the purchase of subscriptions from existing customers and new customer subscriptions entered into after March 31, 2018. Of the total increase of </w:t>
      </w:r>
      <w:r>
        <w:rPr>
          <w:rFonts w:ascii="Arial" w:cs="Arial" w:eastAsia="Arial" w:hAnsi="Arial"/>
          <w:sz w:val="18"/>
          <w:szCs w:val="18"/>
          <w:color w:val="000000"/>
        </w:rPr>
        <w:t>$ 10.5 million</w:t>
      </w:r>
      <w:r>
        <w:rPr>
          <w:rFonts w:ascii="Arial" w:cs="Arial" w:eastAsia="Arial" w:hAnsi="Arial"/>
          <w:sz w:val="18"/>
          <w:szCs w:val="18"/>
          <w:color w:val="231F20"/>
        </w:rPr>
        <w:t xml:space="preserve">, $4.3 million was from customers in the United States and the remaining $6.2 million was from customers in foreign countries. </w:t>
      </w:r>
      <w:r>
        <w:rPr>
          <w:rFonts w:ascii="Arial" w:cs="Arial" w:eastAsia="Arial" w:hAnsi="Arial"/>
          <w:sz w:val="18"/>
          <w:szCs w:val="18"/>
          <w:color w:val="000000"/>
        </w:rPr>
        <w:t>We expect revenue growth from existing and new customers to continue. The growth in revenues reflects the continued</w:t>
      </w:r>
      <w:r>
        <w:rPr>
          <w:rFonts w:ascii="Arial" w:cs="Arial" w:eastAsia="Arial" w:hAnsi="Arial"/>
          <w:sz w:val="18"/>
          <w:szCs w:val="18"/>
          <w:color w:val="231F20"/>
        </w:rPr>
        <w:t xml:space="preserve"> </w:t>
      </w:r>
      <w:r>
        <w:rPr>
          <w:rFonts w:ascii="Arial" w:cs="Arial" w:eastAsia="Arial" w:hAnsi="Arial"/>
          <w:sz w:val="18"/>
          <w:szCs w:val="18"/>
          <w:color w:val="000000"/>
        </w:rPr>
        <w:t>demand for our solutions.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4"/>
        </w:trPr>
        <w:tc>
          <w:tcPr>
            <w:tcW w:w="5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20" w:type="dxa"/>
            <w:vAlign w:val="bottom"/>
            <w:gridSpan w:val="4"/>
          </w:tcPr>
          <w:p>
            <w:pPr>
              <w:ind w:left="820"/>
              <w:spacing w:after="0"/>
              <w:rPr>
                <w:sz w:val="20"/>
                <w:szCs w:val="20"/>
                <w:color w:val="auto"/>
              </w:rPr>
            </w:pPr>
            <w:r>
              <w:rPr>
                <w:rFonts w:ascii="Arial" w:cs="Arial" w:eastAsia="Arial" w:hAnsi="Arial"/>
                <w:sz w:val="16"/>
                <w:szCs w:val="16"/>
                <w:b w:val="1"/>
                <w:bCs w:val="1"/>
                <w:color w:val="auto"/>
              </w:rPr>
              <w:t>March 31,</w:t>
            </w:r>
          </w:p>
        </w:tc>
        <w:tc>
          <w:tcPr>
            <w:tcW w:w="880" w:type="dxa"/>
            <w:vAlign w:val="bottom"/>
          </w:tcPr>
          <w:p>
            <w:pPr>
              <w:spacing w:after="0"/>
              <w:rPr>
                <w:sz w:val="23"/>
                <w:szCs w:val="23"/>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Pr>
          <w:p>
            <w:pPr>
              <w:spacing w:after="0"/>
              <w:rPr>
                <w:sz w:val="23"/>
                <w:szCs w:val="23"/>
                <w:color w:val="auto"/>
              </w:rPr>
            </w:pPr>
          </w:p>
        </w:tc>
      </w:tr>
      <w:tr>
        <w:trPr>
          <w:trHeight w:val="264"/>
        </w:trPr>
        <w:tc>
          <w:tcPr>
            <w:tcW w:w="514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50"/>
        </w:trPr>
        <w:tc>
          <w:tcPr>
            <w:tcW w:w="5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00" w:type="dxa"/>
            <w:vAlign w:val="bottom"/>
            <w:gridSpan w:val="4"/>
          </w:tcPr>
          <w:p>
            <w:pPr>
              <w:jc w:val="center"/>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74"/>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17,709</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15,901</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1,808</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bl>
    <w:p>
      <w:pPr>
        <w:spacing w:after="0" w:line="247"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color w:val="231F20"/>
        </w:rPr>
        <w:t xml:space="preserve">Cost of revenues increased $ 1.8 million for the </w:t>
      </w:r>
      <w:r>
        <w:rPr>
          <w:rFonts w:ascii="Arial" w:cs="Arial" w:eastAsia="Arial" w:hAnsi="Arial"/>
          <w:sz w:val="18"/>
          <w:szCs w:val="18"/>
          <w:color w:val="000000"/>
        </w:rPr>
        <w:t>three months ended March 31, 2019</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March 31,</w:t>
      </w:r>
      <w:r>
        <w:rPr>
          <w:rFonts w:ascii="Arial" w:cs="Arial" w:eastAsia="Arial" w:hAnsi="Arial"/>
          <w:sz w:val="18"/>
          <w:szCs w:val="18"/>
          <w:color w:val="231F20"/>
        </w:rPr>
        <w:t xml:space="preserve"> </w:t>
      </w:r>
      <w:r>
        <w:rPr>
          <w:rFonts w:ascii="Arial" w:cs="Arial" w:eastAsia="Arial" w:hAnsi="Arial"/>
          <w:sz w:val="18"/>
          <w:szCs w:val="18"/>
          <w:color w:val="000000"/>
        </w:rPr>
        <w:t>2018</w:t>
      </w:r>
      <w:r>
        <w:rPr>
          <w:rFonts w:ascii="Arial" w:cs="Arial" w:eastAsia="Arial" w:hAnsi="Arial"/>
          <w:sz w:val="18"/>
          <w:szCs w:val="18"/>
          <w:color w:val="231F20"/>
        </w:rPr>
        <w:t>. The increase was primarily a result of an increase of $0.9 million in amortization expense related to acquired technology resulting from</w:t>
      </w:r>
      <w:r>
        <w:rPr>
          <w:rFonts w:ascii="Arial" w:cs="Arial" w:eastAsia="Arial" w:hAnsi="Arial"/>
          <w:sz w:val="18"/>
          <w:szCs w:val="18"/>
          <w:color w:val="000000"/>
        </w:rPr>
        <w:t xml:space="preserve"> </w:t>
      </w:r>
      <w:r>
        <w:rPr>
          <w:rFonts w:ascii="Arial" w:cs="Arial" w:eastAsia="Arial" w:hAnsi="Arial"/>
          <w:sz w:val="18"/>
          <w:szCs w:val="18"/>
          <w:color w:val="231F20"/>
        </w:rPr>
        <w:t>our business acquisitions; increased third-party software license and maintenance expenses of $0.5 million resulting from our continued business growth; a $0.4 million increase in depreciation expense related to additional computer hardware and software; and increased data center and supply costs of $0.3 million. These increases were partially offset by a decrease in personnel expenses of $0.3 million, driven by lower compensation costs in international locations.</w:t>
      </w:r>
    </w:p>
    <w:p>
      <w:pPr>
        <w:spacing w:after="0" w:line="3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4"/>
        </w:trPr>
        <w:tc>
          <w:tcPr>
            <w:tcW w:w="5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20" w:type="dxa"/>
            <w:vAlign w:val="bottom"/>
            <w:gridSpan w:val="4"/>
          </w:tcPr>
          <w:p>
            <w:pPr>
              <w:ind w:left="820"/>
              <w:spacing w:after="0"/>
              <w:rPr>
                <w:sz w:val="20"/>
                <w:szCs w:val="20"/>
                <w:color w:val="auto"/>
              </w:rPr>
            </w:pPr>
            <w:r>
              <w:rPr>
                <w:rFonts w:ascii="Arial" w:cs="Arial" w:eastAsia="Arial" w:hAnsi="Arial"/>
                <w:sz w:val="16"/>
                <w:szCs w:val="16"/>
                <w:b w:val="1"/>
                <w:bCs w:val="1"/>
                <w:color w:val="auto"/>
              </w:rPr>
              <w:t>March 31,</w:t>
            </w:r>
          </w:p>
        </w:tc>
        <w:tc>
          <w:tcPr>
            <w:tcW w:w="880" w:type="dxa"/>
            <w:vAlign w:val="bottom"/>
          </w:tcPr>
          <w:p>
            <w:pPr>
              <w:spacing w:after="0"/>
              <w:rPr>
                <w:sz w:val="23"/>
                <w:szCs w:val="23"/>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Pr>
          <w:p>
            <w:pPr>
              <w:spacing w:after="0"/>
              <w:rPr>
                <w:sz w:val="23"/>
                <w:szCs w:val="23"/>
                <w:color w:val="auto"/>
              </w:rPr>
            </w:pPr>
          </w:p>
        </w:tc>
      </w:tr>
      <w:tr>
        <w:trPr>
          <w:trHeight w:val="264"/>
        </w:trPr>
        <w:tc>
          <w:tcPr>
            <w:tcW w:w="514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50"/>
        </w:trPr>
        <w:tc>
          <w:tcPr>
            <w:tcW w:w="5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00" w:type="dxa"/>
            <w:vAlign w:val="bottom"/>
            <w:gridSpan w:val="4"/>
          </w:tcPr>
          <w:p>
            <w:pPr>
              <w:jc w:val="center"/>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74"/>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15,837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12,553</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3,284</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bl>
    <w:p>
      <w:pPr>
        <w:spacing w:after="0" w:line="24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 xml:space="preserve">Research and development expenses increased $3.3 million for the three months ended March 31, 2019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March 31, 2018</w:t>
      </w:r>
      <w:r>
        <w:rPr>
          <w:rFonts w:ascii="Arial" w:cs="Arial" w:eastAsia="Arial" w:hAnsi="Arial"/>
          <w:sz w:val="18"/>
          <w:szCs w:val="18"/>
          <w:color w:val="231F20"/>
        </w:rPr>
        <w:t>, primarily due to an increase in personnel expenses of $2.6 million, driven by additional employees hired to support the</w:t>
      </w:r>
      <w:r>
        <w:rPr>
          <w:rFonts w:ascii="Arial" w:cs="Arial" w:eastAsia="Arial" w:hAnsi="Arial"/>
          <w:sz w:val="18"/>
          <w:szCs w:val="18"/>
          <w:color w:val="000000"/>
        </w:rPr>
        <w:t xml:space="preserve"> </w:t>
      </w:r>
      <w:r>
        <w:rPr>
          <w:rFonts w:ascii="Arial" w:cs="Arial" w:eastAsia="Arial" w:hAnsi="Arial"/>
          <w:sz w:val="18"/>
          <w:szCs w:val="18"/>
          <w:color w:val="231F20"/>
        </w:rPr>
        <w:t>growth of our business; an increase of acquisition-related expense of $1.6 million offset by reversals of previous acquisition related obligations of $1.4 million; increased allocation of overhead costs to the research and development department of $0.5 million related to the headcount increases; increased data center, third-party software license and consulting expenses of $0.1 million resulting from our continued business growth and increased depreciation expense of $0.1 million related to additional fixed assets placed into service. These increases were partially offset by $0.2 million of capitalization of internally developed software costs.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4"/>
        </w:trPr>
        <w:tc>
          <w:tcPr>
            <w:tcW w:w="5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20" w:type="dxa"/>
            <w:vAlign w:val="bottom"/>
            <w:gridSpan w:val="4"/>
          </w:tcPr>
          <w:p>
            <w:pPr>
              <w:ind w:left="820"/>
              <w:spacing w:after="0"/>
              <w:rPr>
                <w:sz w:val="20"/>
                <w:szCs w:val="20"/>
                <w:color w:val="auto"/>
              </w:rPr>
            </w:pPr>
            <w:r>
              <w:rPr>
                <w:rFonts w:ascii="Arial" w:cs="Arial" w:eastAsia="Arial" w:hAnsi="Arial"/>
                <w:sz w:val="16"/>
                <w:szCs w:val="16"/>
                <w:b w:val="1"/>
                <w:bCs w:val="1"/>
                <w:color w:val="auto"/>
              </w:rPr>
              <w:t>March 31,</w:t>
            </w:r>
          </w:p>
        </w:tc>
        <w:tc>
          <w:tcPr>
            <w:tcW w:w="880" w:type="dxa"/>
            <w:vAlign w:val="bottom"/>
          </w:tcPr>
          <w:p>
            <w:pPr>
              <w:spacing w:after="0"/>
              <w:rPr>
                <w:sz w:val="23"/>
                <w:szCs w:val="23"/>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Pr>
          <w:p>
            <w:pPr>
              <w:spacing w:after="0"/>
              <w:rPr>
                <w:sz w:val="23"/>
                <w:szCs w:val="23"/>
                <w:color w:val="auto"/>
              </w:rPr>
            </w:pPr>
          </w:p>
        </w:tc>
      </w:tr>
      <w:tr>
        <w:trPr>
          <w:trHeight w:val="264"/>
        </w:trPr>
        <w:tc>
          <w:tcPr>
            <w:tcW w:w="514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50"/>
        </w:trPr>
        <w:tc>
          <w:tcPr>
            <w:tcW w:w="5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00" w:type="dxa"/>
            <w:vAlign w:val="bottom"/>
            <w:gridSpan w:val="4"/>
          </w:tcPr>
          <w:p>
            <w:pPr>
              <w:jc w:val="center"/>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74"/>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17,315</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16,233</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1,082</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bl>
    <w:p>
      <w:pPr>
        <w:spacing w:after="0" w:line="19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8"/>
          <w:szCs w:val="18"/>
          <w:color w:val="231F20"/>
        </w:rPr>
        <w:t>Sales and marketing expenses increased $1.1 million for the three months ended March 31, 2019 compared to the three months ended March 31, 2018, primarily due to an increase in trade show expense of $1.3 million; and an increase in personnel expenses of $0.7 million, driven by additional employees hired to support the growth of our business. These increases were partially offset by a decrease in customer acquisition expense of $0.2 million and a decrease of $0.8 million of allocated overhead costs due to a lower proportion of sales and marketing employees in the employee base</w:t>
      </w:r>
      <w:r>
        <w:rPr>
          <w:rFonts w:ascii="Times New Roman" w:cs="Times New Roman" w:eastAsia="Times New Roman" w:hAnsi="Times New Roman"/>
          <w:sz w:val="18"/>
          <w:szCs w:val="18"/>
          <w:color w:val="231F20"/>
        </w:rPr>
        <w:t>.</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gridSpan w:val="3"/>
          </w:tcPr>
          <w:p>
            <w:pPr>
              <w:jc w:val="center"/>
              <w:ind w:left="499"/>
              <w:spacing w:after="0"/>
              <w:rPr>
                <w:sz w:val="20"/>
                <w:szCs w:val="20"/>
                <w:color w:val="auto"/>
              </w:rPr>
            </w:pPr>
            <w:r>
              <w:rPr>
                <w:rFonts w:ascii="Arial" w:cs="Arial" w:eastAsia="Arial" w:hAnsi="Arial"/>
                <w:sz w:val="16"/>
                <w:szCs w:val="16"/>
                <w:b w:val="1"/>
                <w:bCs w:val="1"/>
                <w:color w:val="auto"/>
              </w:rPr>
              <w:t>Three Months Ended</w:t>
            </w: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4"/>
        </w:trPr>
        <w:tc>
          <w:tcPr>
            <w:tcW w:w="5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20" w:type="dxa"/>
            <w:vAlign w:val="bottom"/>
            <w:gridSpan w:val="4"/>
          </w:tcPr>
          <w:p>
            <w:pPr>
              <w:ind w:left="840"/>
              <w:spacing w:after="0"/>
              <w:rPr>
                <w:sz w:val="20"/>
                <w:szCs w:val="20"/>
                <w:color w:val="auto"/>
              </w:rPr>
            </w:pPr>
            <w:r>
              <w:rPr>
                <w:rFonts w:ascii="Arial" w:cs="Arial" w:eastAsia="Arial" w:hAnsi="Arial"/>
                <w:sz w:val="16"/>
                <w:szCs w:val="16"/>
                <w:b w:val="1"/>
                <w:bCs w:val="1"/>
                <w:color w:val="auto"/>
              </w:rPr>
              <w:t>March 31,</w:t>
            </w:r>
          </w:p>
        </w:tc>
        <w:tc>
          <w:tcPr>
            <w:tcW w:w="860" w:type="dxa"/>
            <w:vAlign w:val="bottom"/>
          </w:tcPr>
          <w:p>
            <w:pPr>
              <w:spacing w:after="0"/>
              <w:rPr>
                <w:sz w:val="23"/>
                <w:szCs w:val="23"/>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80" w:type="dxa"/>
            <w:vAlign w:val="bottom"/>
          </w:tcPr>
          <w:p>
            <w:pPr>
              <w:spacing w:after="0"/>
              <w:rPr>
                <w:sz w:val="23"/>
                <w:szCs w:val="23"/>
                <w:color w:val="auto"/>
              </w:rPr>
            </w:pPr>
          </w:p>
        </w:tc>
      </w:tr>
      <w:tr>
        <w:trPr>
          <w:trHeight w:val="264"/>
        </w:trPr>
        <w:tc>
          <w:tcPr>
            <w:tcW w:w="50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50"/>
        </w:trPr>
        <w:tc>
          <w:tcPr>
            <w:tcW w:w="5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00" w:type="dxa"/>
            <w:vAlign w:val="bottom"/>
            <w:gridSpan w:val="4"/>
          </w:tcPr>
          <w:p>
            <w:pPr>
              <w:jc w:val="center"/>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1080" w:type="dxa"/>
            <w:vAlign w:val="bottom"/>
          </w:tcPr>
          <w:p>
            <w:pPr>
              <w:spacing w:after="0"/>
              <w:rPr>
                <w:sz w:val="21"/>
                <w:szCs w:val="21"/>
                <w:color w:val="auto"/>
              </w:rPr>
            </w:pPr>
          </w:p>
        </w:tc>
      </w:tr>
      <w:tr>
        <w:trPr>
          <w:trHeight w:val="274"/>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10,431</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11,785</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(1,354)</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bl>
    <w:p>
      <w:pPr>
        <w:spacing w:after="0" w:line="193"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231F20"/>
        </w:rPr>
        <w:t>General and administrative expenses decreased by $1.4 million for the three months ended March 31, 2019 compared to the three months ended March 31, 2018, primarily driven by lower employee related costs of $0.6 million, decreased allocated overhead costs of $0.5 million and consulting and professional services costs of $0.3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Total Other Income, Net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20" w:type="dxa"/>
            <w:vAlign w:val="bottom"/>
            <w:gridSpan w:val="4"/>
          </w:tcPr>
          <w:p>
            <w:pPr>
              <w:jc w:val="center"/>
              <w:ind w:left="659"/>
              <w:spacing w:after="0"/>
              <w:rPr>
                <w:sz w:val="20"/>
                <w:szCs w:val="20"/>
                <w:color w:val="auto"/>
              </w:rPr>
            </w:pPr>
            <w:r>
              <w:rPr>
                <w:rFonts w:ascii="Arial" w:cs="Arial" w:eastAsia="Arial" w:hAnsi="Arial"/>
                <w:sz w:val="16"/>
                <w:szCs w:val="16"/>
                <w:b w:val="1"/>
                <w:bCs w:val="1"/>
                <w:color w:val="auto"/>
              </w:rPr>
              <w:t>Three Months Ended</w:t>
            </w: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4"/>
        </w:trPr>
        <w:tc>
          <w:tcPr>
            <w:tcW w:w="514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2"/>
          </w:tcPr>
          <w:p>
            <w:pPr>
              <w:jc w:val="right"/>
              <w:ind w:right="519"/>
              <w:spacing w:after="0"/>
              <w:rPr>
                <w:sz w:val="20"/>
                <w:szCs w:val="20"/>
                <w:color w:val="auto"/>
              </w:rPr>
            </w:pPr>
            <w:r>
              <w:rPr>
                <w:rFonts w:ascii="Arial" w:cs="Arial" w:eastAsia="Arial" w:hAnsi="Arial"/>
                <w:sz w:val="16"/>
                <w:szCs w:val="16"/>
                <w:b w:val="1"/>
                <w:bCs w:val="1"/>
                <w:color w:val="auto"/>
              </w:rPr>
              <w:t>March 31,</w:t>
            </w:r>
          </w:p>
        </w:tc>
        <w:tc>
          <w:tcPr>
            <w:tcW w:w="5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3"/>
                <w:szCs w:val="23"/>
                <w:color w:val="auto"/>
              </w:rPr>
            </w:pPr>
          </w:p>
        </w:tc>
      </w:tr>
      <w:tr>
        <w:trPr>
          <w:trHeight w:val="264"/>
        </w:trPr>
        <w:tc>
          <w:tcPr>
            <w:tcW w:w="51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50"/>
        </w:trPr>
        <w:tc>
          <w:tcPr>
            <w:tcW w:w="5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760" w:type="dxa"/>
            <w:vAlign w:val="bottom"/>
            <w:gridSpan w:val="5"/>
          </w:tcPr>
          <w:p>
            <w:pPr>
              <w:jc w:val="center"/>
              <w:ind w:right="31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74"/>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other income, net</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1,786</w:t>
            </w:r>
          </w:p>
        </w:tc>
        <w:tc>
          <w:tcPr>
            <w:tcW w:w="10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231F20"/>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231F20"/>
                <w:w w:val="99"/>
              </w:rPr>
              <w:t>1,245</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541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bl>
    <w:p>
      <w:pPr>
        <w:spacing w:after="0" w:line="19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Total other income, net increased by $ 0.5 million for the three months ended March 31, 2019 compared to the three months ended March 31, 2018, primarily due to an increase of $0.9 million related to the accretion of purchase discounts from marketable securities balances increasing year over year as a result of increasing interest rates, partially offset by foreign exchange losses of $0.3 million.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Income Taxes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20" w:type="dxa"/>
            <w:vAlign w:val="bottom"/>
            <w:gridSpan w:val="4"/>
          </w:tcPr>
          <w:p>
            <w:pPr>
              <w:jc w:val="center"/>
              <w:ind w:right="939"/>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tcPr>
          <w:p>
            <w:pPr>
              <w:spacing w:after="0"/>
              <w:rPr>
                <w:sz w:val="19"/>
                <w:szCs w:val="19"/>
                <w:color w:val="auto"/>
              </w:rPr>
            </w:pPr>
          </w:p>
        </w:tc>
      </w:tr>
      <w:tr>
        <w:trPr>
          <w:trHeight w:val="274"/>
        </w:trPr>
        <w:tc>
          <w:tcPr>
            <w:tcW w:w="50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10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3"/>
                <w:szCs w:val="23"/>
                <w:color w:val="auto"/>
              </w:rPr>
            </w:pPr>
          </w:p>
        </w:tc>
      </w:tr>
      <w:tr>
        <w:trPr>
          <w:trHeight w:val="264"/>
        </w:trPr>
        <w:tc>
          <w:tcPr>
            <w:tcW w:w="50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50"/>
        </w:trPr>
        <w:tc>
          <w:tcPr>
            <w:tcW w:w="5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740" w:type="dxa"/>
            <w:vAlign w:val="bottom"/>
            <w:gridSpan w:val="5"/>
          </w:tcPr>
          <w:p>
            <w:pPr>
              <w:jc w:val="center"/>
              <w:ind w:right="41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74"/>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2,571</w:t>
            </w:r>
          </w:p>
        </w:tc>
        <w:tc>
          <w:tcPr>
            <w:tcW w:w="5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2,062</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r>
      <w:tr>
        <w:trPr>
          <w:trHeight w:val="255"/>
        </w:trPr>
        <w:tc>
          <w:tcPr>
            <w:tcW w:w="506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16.2%</w:t>
            </w: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40" w:type="dxa"/>
            <w:vAlign w:val="bottom"/>
          </w:tcPr>
          <w:p>
            <w:pPr>
              <w:spacing w:after="0"/>
              <w:rPr>
                <w:sz w:val="22"/>
                <w:szCs w:val="22"/>
                <w:color w:val="auto"/>
              </w:rPr>
            </w:pPr>
          </w:p>
        </w:tc>
      </w:tr>
    </w:tbl>
    <w:p>
      <w:pPr>
        <w:spacing w:after="0" w:line="23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231F20"/>
        </w:rPr>
        <w:t xml:space="preserve">We recorded </w:t>
      </w:r>
      <w:r>
        <w:rPr>
          <w:rFonts w:ascii="Arial" w:cs="Arial" w:eastAsia="Arial" w:hAnsi="Arial"/>
          <w:sz w:val="18"/>
          <w:szCs w:val="18"/>
          <w:color w:val="000000"/>
        </w:rPr>
        <w:t>an income tax provision of $2.6 million</w:t>
      </w:r>
      <w:r>
        <w:rPr>
          <w:rFonts w:ascii="Arial" w:cs="Arial" w:eastAsia="Arial" w:hAnsi="Arial"/>
          <w:sz w:val="18"/>
          <w:szCs w:val="18"/>
          <w:color w:val="231F20"/>
        </w:rPr>
        <w:t xml:space="preserve"> and $0.5 million for the three months ended March 31, 2019 and </w:t>
      </w:r>
      <w:r>
        <w:rPr>
          <w:rFonts w:ascii="Arial" w:cs="Arial" w:eastAsia="Arial" w:hAnsi="Arial"/>
          <w:sz w:val="18"/>
          <w:szCs w:val="18"/>
          <w:color w:val="000000"/>
        </w:rPr>
        <w:t>2018</w:t>
      </w:r>
      <w:r>
        <w:rPr>
          <w:rFonts w:ascii="Arial" w:cs="Arial" w:eastAsia="Arial" w:hAnsi="Arial"/>
          <w:sz w:val="18"/>
          <w:szCs w:val="18"/>
          <w:color w:val="231F20"/>
        </w:rPr>
        <w:t>, respectively. The increase in income tax provision for the three months ended March 31, 2019 is primarily due to an increase in pre-tax income and a decrease in the tax benefit of excess stock-based compensation deductions.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2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March 31, 2019</w:t>
      </w:r>
      <w:r>
        <w:rPr>
          <w:rFonts w:ascii="Arial" w:cs="Arial" w:eastAsia="Arial" w:hAnsi="Arial"/>
          <w:sz w:val="18"/>
          <w:szCs w:val="18"/>
          <w:color w:val="231F20"/>
        </w:rPr>
        <w:t>, our principal source of liquidity was cash, cash equivalents, and marketable securities of $ 394.5 million, including $8.8 million held outside of the United States by our foreign subsidiaries. We do not anticipate that we will need funds generated from foreign operations to fund our domestic operations. However, if we repatriate these funds, we could be subject to foreign withholding taxes.</w:t>
      </w:r>
    </w:p>
    <w:p>
      <w:pPr>
        <w:spacing w:after="0" w:line="16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8"/>
          <w:szCs w:val="18"/>
          <w:color w:val="231F20"/>
        </w:rPr>
        <w:t>We experienced positive cash flows from operations during each of the three months ended March 31, 2019 and 2018. We believe our existing cash, cash equivalents, marketable securities, and cash from operations will be sufficient to fund our operations for at least the next twelve months. Our future capital requirements will depend on many factors, including our rate of revenue growth, the expansion of our sales and marketing activities, the timing, type and extent of our spending on research and development efforts, international expansion and investment in data centers. We may also seek to invest in or acquire complementary businesses or technologies.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225" w:lineRule="exact"/>
        <w:rPr>
          <w:sz w:val="20"/>
          <w:szCs w:val="20"/>
          <w:color w:val="auto"/>
        </w:rPr>
      </w:pPr>
    </w:p>
    <w:p>
      <w:pPr>
        <w:ind w:right="220" w:firstLine="486"/>
        <w:spacing w:after="0" w:line="292"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rPr>
              <w:t>Three Months Ended</w:t>
            </w:r>
          </w:p>
        </w:tc>
      </w:tr>
      <w:tr>
        <w:trPr>
          <w:trHeight w:val="274"/>
        </w:trPr>
        <w:tc>
          <w:tcPr>
            <w:tcW w:w="83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gridSpan w:val="2"/>
          </w:tcPr>
          <w:p>
            <w:pPr>
              <w:jc w:val="center"/>
              <w:ind w:left="55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3"/>
                <w:szCs w:val="23"/>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250"/>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44,347</w:t>
            </w:r>
          </w:p>
        </w:tc>
        <w:tc>
          <w:tcPr>
            <w:tcW w:w="6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42,989</w:t>
            </w: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Cash provided by (used in) investing activities</w:t>
            </w:r>
          </w:p>
        </w:tc>
        <w:tc>
          <w:tcPr>
            <w:tcW w:w="340" w:type="dxa"/>
            <w:vAlign w:val="bottom"/>
          </w:tcPr>
          <w:p>
            <w:pPr>
              <w:spacing w:after="0"/>
              <w:rPr>
                <w:sz w:val="22"/>
                <w:szCs w:val="22"/>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15,364</w:t>
            </w:r>
          </w:p>
        </w:tc>
        <w:tc>
          <w:tcPr>
            <w:tcW w:w="6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(38,081)</w:t>
            </w: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in) provided by financing activities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(7,610)</w:t>
            </w: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1,675</w:t>
            </w: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231F20"/>
        </w:rPr>
        <w:t>For the three months ended March 31, 2019, cash flows from operating activities of $44.3 million primarily resulted from our net income of approximately $13.3 million, as adjusted for non-cash items including stock-based compensation of $8.4 million and depreciation and amortization expense of $7.9 million; and cash flows from working capital of $13.5 million mainly attributable to the continued growth in our deferred revenues.</w:t>
      </w:r>
    </w:p>
    <w:p>
      <w:pPr>
        <w:spacing w:after="0" w:line="17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231F20"/>
        </w:rPr>
        <w:t>For the three months ended March 31, 2018, cash flows from operating activities of $43.0 million primarily resulted from our net income of approximately $9.1 million, as adjusted for non-cash items including stock-based compensation of $8.9 million and depreciation and amortization expense of $7.0 million; and cash flows from working capital of $17.7 million mainly attributable to collections from our customers.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22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three months ended March 31, 2019</w:t>
      </w:r>
      <w:r>
        <w:rPr>
          <w:rFonts w:ascii="Arial" w:cs="Arial" w:eastAsia="Arial" w:hAnsi="Arial"/>
          <w:sz w:val="18"/>
          <w:szCs w:val="18"/>
          <w:color w:val="231F20"/>
        </w:rPr>
        <w:t xml:space="preserve">, cash provided by investing activities of </w:t>
      </w:r>
      <w:r>
        <w:rPr>
          <w:rFonts w:ascii="Arial" w:cs="Arial" w:eastAsia="Arial" w:hAnsi="Arial"/>
          <w:sz w:val="18"/>
          <w:szCs w:val="18"/>
          <w:color w:val="000000"/>
        </w:rPr>
        <w:t>$15.4 million was attributable to purchases of</w:t>
      </w:r>
      <w:r>
        <w:rPr>
          <w:rFonts w:ascii="Arial" w:cs="Arial" w:eastAsia="Arial" w:hAnsi="Arial"/>
          <w:sz w:val="18"/>
          <w:szCs w:val="18"/>
          <w:color w:val="231F20"/>
        </w:rPr>
        <w:t xml:space="preserve"> </w:t>
      </w:r>
      <w:r>
        <w:rPr>
          <w:rFonts w:ascii="Arial" w:cs="Arial" w:eastAsia="Arial" w:hAnsi="Arial"/>
          <w:sz w:val="18"/>
          <w:szCs w:val="18"/>
          <w:color w:val="000000"/>
        </w:rPr>
        <w:t xml:space="preserve">marketable securities, net of sales and maturities of </w:t>
      </w:r>
      <w:r>
        <w:rPr>
          <w:rFonts w:ascii="Arial" w:cs="Arial" w:eastAsia="Arial" w:hAnsi="Arial"/>
          <w:sz w:val="18"/>
          <w:szCs w:val="18"/>
          <w:color w:val="231F20"/>
        </w:rPr>
        <w:t>$24.8 million</w:t>
      </w:r>
      <w:r>
        <w:rPr>
          <w:rFonts w:ascii="Arial" w:cs="Arial" w:eastAsia="Arial" w:hAnsi="Arial"/>
          <w:sz w:val="18"/>
          <w:szCs w:val="18"/>
          <w:color w:val="000000"/>
        </w:rPr>
        <w:t xml:space="preserve">, and </w:t>
      </w:r>
      <w:r>
        <w:rPr>
          <w:rFonts w:ascii="Arial" w:cs="Arial" w:eastAsia="Arial" w:hAnsi="Arial"/>
          <w:sz w:val="18"/>
          <w:szCs w:val="18"/>
          <w:color w:val="231F20"/>
        </w:rPr>
        <w:t>$8.6 million</w:t>
      </w:r>
      <w:r>
        <w:rPr>
          <w:rFonts w:ascii="Arial" w:cs="Arial" w:eastAsia="Arial" w:hAnsi="Arial"/>
          <w:sz w:val="18"/>
          <w:szCs w:val="18"/>
          <w:color w:val="000000"/>
        </w:rPr>
        <w:t xml:space="preserve"> of cash used for capital expenditures, including computer hardware and software for our data centers to support our growth and development, and to purchase physical scanner appliances and computer hardware provided to certain customers as part of their subscriptions. Additionally, we paid $0.9 million in cash in connection with our acquisition of the assets of Adya.</w:t>
      </w:r>
    </w:p>
    <w:p>
      <w:pPr>
        <w:spacing w:after="0" w:line="175"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For the three months ended March 31, 2018, cash used in investing activities of $38.1 million was attributable to purchases of investments, net of sales and maturities of $ 32.1 million, and $6.0 million of cash used for capital expenditures, including computer hardware and software for our data centers to support our growth and development, and to purchase physical scanner appliances and computer hardware provided to certain customers as part of their subscriptions.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three months ended March 31, 2019</w:t>
      </w:r>
      <w:r>
        <w:rPr>
          <w:rFonts w:ascii="Arial" w:cs="Arial" w:eastAsia="Arial" w:hAnsi="Arial"/>
          <w:sz w:val="18"/>
          <w:szCs w:val="18"/>
          <w:color w:val="231F20"/>
        </w:rPr>
        <w:t xml:space="preserve">, cash used in financing activities of </w:t>
      </w:r>
      <w:r>
        <w:rPr>
          <w:rFonts w:ascii="Arial" w:cs="Arial" w:eastAsia="Arial" w:hAnsi="Arial"/>
          <w:sz w:val="18"/>
          <w:szCs w:val="18"/>
          <w:color w:val="000000"/>
        </w:rPr>
        <w:t>$7.6 million</w:t>
      </w:r>
      <w:r>
        <w:rPr>
          <w:rFonts w:ascii="Arial" w:cs="Arial" w:eastAsia="Arial" w:hAnsi="Arial"/>
          <w:sz w:val="18"/>
          <w:szCs w:val="18"/>
          <w:color w:val="231F20"/>
        </w:rPr>
        <w:t xml:space="preserve"> was attributable to share repurchases of $7.9 million</w:t>
      </w:r>
      <w:r>
        <w:rPr>
          <w:rFonts w:ascii="Arial" w:cs="Arial" w:eastAsia="Arial" w:hAnsi="Arial"/>
          <w:sz w:val="18"/>
          <w:szCs w:val="18"/>
          <w:color w:val="000000"/>
        </w:rPr>
        <w:t>, the payment of employee payroll taxes related to the net share settlement of equity awards of</w:t>
      </w:r>
      <w:r>
        <w:rPr>
          <w:rFonts w:ascii="Arial" w:cs="Arial" w:eastAsia="Arial" w:hAnsi="Arial"/>
          <w:sz w:val="18"/>
          <w:szCs w:val="18"/>
          <w:color w:val="231F20"/>
        </w:rPr>
        <w:t xml:space="preserve"> $3.4 million, and principal payments under finance lease obligations of $0.4 million. These decreases were offset by the proceeds from the exercise of stock options of $4.0 million.</w:t>
      </w:r>
    </w:p>
    <w:p>
      <w:pPr>
        <w:spacing w:after="0" w:line="163"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auto"/>
        </w:rPr>
        <w:t>For the three months ended March 31, 2018, cash provided by financing activities of $1.7 million was attributable to $7.9 million of proceeds from the exercise of stock options, offset by the payment of employee payroll taxes related to net share settlement of equity awards of $4.0 million, share repurchases of $1.5 million and principal payments under finance lease obligations of $0.7 million.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22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231F20"/>
        </w:rPr>
        <w:t xml:space="preserve">Our principal commitments consist of obligations under our outstanding leases for office space, third-party data centers, office equipment and finance leases. The following table summarizes our contractual cash obligations, including future interest payments, at </w:t>
      </w:r>
      <w:r>
        <w:rPr>
          <w:rFonts w:ascii="Arial" w:cs="Arial" w:eastAsia="Arial" w:hAnsi="Arial"/>
          <w:sz w:val="18"/>
          <w:szCs w:val="18"/>
          <w:color w:val="000000"/>
        </w:rPr>
        <w:t>March 31, 2019</w:t>
      </w:r>
      <w:r>
        <w:rPr>
          <w:rFonts w:ascii="Arial" w:cs="Arial" w:eastAsia="Arial" w:hAnsi="Arial"/>
          <w:sz w:val="18"/>
          <w:szCs w:val="18"/>
          <w:color w:val="231F20"/>
        </w:rPr>
        <w:t xml:space="preserve"> and the effect such obligations are expected to have on our liquidity and cash flows in future periods: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5"/>
          </w:tcPr>
          <w:p>
            <w:pPr>
              <w:ind w:left="500"/>
              <w:spacing w:after="0"/>
              <w:rPr>
                <w:sz w:val="20"/>
                <w:szCs w:val="20"/>
                <w:color w:val="auto"/>
              </w:rPr>
            </w:pPr>
            <w:r>
              <w:rPr>
                <w:rFonts w:ascii="Arial" w:cs="Arial" w:eastAsia="Arial" w:hAnsi="Arial"/>
                <w:sz w:val="16"/>
                <w:szCs w:val="16"/>
                <w:b w:val="1"/>
                <w:bCs w:val="1"/>
                <w:color w:val="auto"/>
              </w:rPr>
              <w:t>Payment Due by Period</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93"/>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2019 (remaining</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2024 and</w:t>
            </w:r>
          </w:p>
        </w:tc>
      </w:tr>
      <w:tr>
        <w:trPr>
          <w:trHeight w:val="182"/>
        </w:trPr>
        <w:tc>
          <w:tcPr>
            <w:tcW w:w="3540" w:type="dxa"/>
            <w:vAlign w:val="bottom"/>
            <w:gridSpan w:val="3"/>
          </w:tcPr>
          <w:p>
            <w:pPr>
              <w:ind w:left="40"/>
              <w:spacing w:after="0" w:line="182" w:lineRule="exact"/>
              <w:rPr>
                <w:sz w:val="20"/>
                <w:szCs w:val="20"/>
                <w:color w:val="auto"/>
              </w:rPr>
            </w:pPr>
            <w:r>
              <w:rPr>
                <w:rFonts w:ascii="Arial" w:cs="Arial" w:eastAsia="Arial" w:hAnsi="Arial"/>
                <w:sz w:val="16"/>
                <w:szCs w:val="16"/>
                <w:b w:val="1"/>
                <w:bCs w:val="1"/>
                <w:color w:val="auto"/>
              </w:rPr>
              <w:t>Contractual Obligations</w:t>
            </w:r>
          </w:p>
        </w:tc>
        <w:tc>
          <w:tcPr>
            <w:tcW w:w="340" w:type="dxa"/>
            <w:vAlign w:val="bottom"/>
          </w:tcPr>
          <w:p>
            <w:pPr>
              <w:spacing w:after="0"/>
              <w:rPr>
                <w:sz w:val="15"/>
                <w:szCs w:val="15"/>
                <w:color w:val="auto"/>
              </w:rPr>
            </w:pPr>
          </w:p>
        </w:tc>
        <w:tc>
          <w:tcPr>
            <w:tcW w:w="1300" w:type="dxa"/>
            <w:vAlign w:val="bottom"/>
            <w:gridSpan w:val="2"/>
          </w:tcPr>
          <w:p>
            <w:pPr>
              <w:ind w:left="240"/>
              <w:spacing w:after="0" w:line="182" w:lineRule="exact"/>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5"/>
                <w:szCs w:val="15"/>
                <w:color w:val="auto"/>
              </w:rPr>
            </w:pPr>
          </w:p>
        </w:tc>
        <w:tc>
          <w:tcPr>
            <w:tcW w:w="1480" w:type="dxa"/>
            <w:vAlign w:val="bottom"/>
            <w:gridSpan w:val="2"/>
          </w:tcPr>
          <w:p>
            <w:pPr>
              <w:jc w:val="center"/>
              <w:ind w:right="220"/>
              <w:spacing w:after="0" w:line="182" w:lineRule="exact"/>
              <w:rPr>
                <w:sz w:val="20"/>
                <w:szCs w:val="20"/>
                <w:color w:val="auto"/>
              </w:rPr>
            </w:pPr>
            <w:r>
              <w:rPr>
                <w:rFonts w:ascii="Arial" w:cs="Arial" w:eastAsia="Arial" w:hAnsi="Arial"/>
                <w:sz w:val="16"/>
                <w:szCs w:val="16"/>
                <w:b w:val="1"/>
                <w:bCs w:val="1"/>
                <w:color w:val="auto"/>
              </w:rPr>
              <w:t>nine months)</w:t>
            </w:r>
          </w:p>
        </w:tc>
        <w:tc>
          <w:tcPr>
            <w:tcW w:w="140" w:type="dxa"/>
            <w:vAlign w:val="bottom"/>
          </w:tcPr>
          <w:p>
            <w:pPr>
              <w:spacing w:after="0"/>
              <w:rPr>
                <w:sz w:val="15"/>
                <w:szCs w:val="15"/>
                <w:color w:val="auto"/>
              </w:rPr>
            </w:pPr>
          </w:p>
        </w:tc>
        <w:tc>
          <w:tcPr>
            <w:tcW w:w="1320" w:type="dxa"/>
            <w:vAlign w:val="bottom"/>
          </w:tcPr>
          <w:p>
            <w:pPr>
              <w:jc w:val="right"/>
              <w:ind w:right="259"/>
              <w:spacing w:after="0" w:line="182" w:lineRule="exact"/>
              <w:rPr>
                <w:sz w:val="20"/>
                <w:szCs w:val="20"/>
                <w:color w:val="auto"/>
              </w:rPr>
            </w:pPr>
            <w:r>
              <w:rPr>
                <w:rFonts w:ascii="Arial" w:cs="Arial" w:eastAsia="Arial" w:hAnsi="Arial"/>
                <w:sz w:val="16"/>
                <w:szCs w:val="16"/>
                <w:b w:val="1"/>
                <w:bCs w:val="1"/>
                <w:color w:val="auto"/>
              </w:rPr>
              <w:t>2020-2021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259"/>
              <w:spacing w:after="0" w:line="182" w:lineRule="exact"/>
              <w:rPr>
                <w:sz w:val="20"/>
                <w:szCs w:val="20"/>
                <w:color w:val="auto"/>
              </w:rPr>
            </w:pPr>
            <w:r>
              <w:rPr>
                <w:rFonts w:ascii="Arial" w:cs="Arial" w:eastAsia="Arial" w:hAnsi="Arial"/>
                <w:sz w:val="16"/>
                <w:szCs w:val="16"/>
                <w:b w:val="1"/>
                <w:bCs w:val="1"/>
                <w:color w:val="auto"/>
              </w:rPr>
              <w:t>2022-2023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279"/>
              <w:spacing w:after="0" w:line="182" w:lineRule="exact"/>
              <w:rPr>
                <w:sz w:val="20"/>
                <w:szCs w:val="20"/>
                <w:color w:val="auto"/>
              </w:rPr>
            </w:pPr>
            <w:r>
              <w:rPr>
                <w:rFonts w:ascii="Arial" w:cs="Arial" w:eastAsia="Arial" w:hAnsi="Arial"/>
                <w:sz w:val="16"/>
                <w:szCs w:val="16"/>
                <w:b w:val="1"/>
                <w:bCs w:val="1"/>
                <w:color w:val="auto"/>
              </w:rPr>
              <w:t>thereafter</w:t>
            </w:r>
          </w:p>
        </w:tc>
      </w:tr>
      <w:tr>
        <w:trPr>
          <w:trHeight w:val="34"/>
        </w:trPr>
        <w:tc>
          <w:tcPr>
            <w:tcW w:w="4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6"/>
        </w:trPr>
        <w:tc>
          <w:tcPr>
            <w:tcW w:w="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4"/>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48,683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13,943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8,840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19,299</w:t>
            </w:r>
          </w:p>
        </w:tc>
      </w:tr>
      <w:tr>
        <w:trPr>
          <w:trHeight w:val="262"/>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Finance lease obligations</w:t>
            </w:r>
          </w:p>
        </w:tc>
        <w:tc>
          <w:tcPr>
            <w:tcW w:w="34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1"/>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Purchase order obligations</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15,246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13,169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2"/>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65,441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21,098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16,204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8,840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19,299</w:t>
            </w:r>
          </w:p>
        </w:tc>
      </w:tr>
      <w:tr>
        <w:trPr>
          <w:trHeight w:val="20"/>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8"/>
          <w:szCs w:val="18"/>
          <w:color w:val="231F20"/>
        </w:rPr>
        <w:t xml:space="preserve">On October 14, 2016, we entered into a lease agreement (included in the table above) for our new headquarters office facility. The lease payments commenced on May 1, 2018 and the lease has a ten-year term through April 2028. The total commitment of $38.6 million is payable monthly with escalating rental payments throughout the lease term. In connection with this lease, we provided the landlord with a $1.2 million standby letter of credit </w:t>
      </w:r>
      <w:r>
        <w:rPr>
          <w:rFonts w:ascii="Arial" w:cs="Arial" w:eastAsia="Arial" w:hAnsi="Arial"/>
          <w:sz w:val="18"/>
          <w:szCs w:val="18"/>
          <w:color w:val="000000"/>
        </w:rPr>
        <w:t>to secure our obligations through the end of the lease term, which was classified as restricted cash in the accompanying</w:t>
      </w:r>
      <w:r>
        <w:rPr>
          <w:rFonts w:ascii="Arial" w:cs="Arial" w:eastAsia="Arial" w:hAnsi="Arial"/>
          <w:sz w:val="18"/>
          <w:szCs w:val="18"/>
          <w:color w:val="231F20"/>
        </w:rPr>
        <w:t xml:space="preserve"> </w:t>
      </w:r>
      <w:r>
        <w:rPr>
          <w:rFonts w:ascii="Arial" w:cs="Arial" w:eastAsia="Arial" w:hAnsi="Arial"/>
          <w:sz w:val="18"/>
          <w:szCs w:val="18"/>
          <w:color w:val="000000"/>
        </w:rPr>
        <w:t>condensed consolidated balance sheets. As of March 31, 2019, the remaining commitment on this lease was $35.5 million.</w:t>
      </w:r>
    </w:p>
    <w:p>
      <w:pPr>
        <w:spacing w:after="0" w:line="17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231F20"/>
        </w:rPr>
        <w:t xml:space="preserve">Operating lease obligations represent our obligations to make payments under the lease agreements for our facilities, data centers, and office equipment leases. During the </w:t>
      </w:r>
      <w:r>
        <w:rPr>
          <w:rFonts w:ascii="Arial" w:cs="Arial" w:eastAsia="Arial" w:hAnsi="Arial"/>
          <w:sz w:val="18"/>
          <w:szCs w:val="18"/>
          <w:color w:val="000000"/>
        </w:rPr>
        <w:t>three months ended March 31, 2019</w:t>
      </w:r>
      <w:r>
        <w:rPr>
          <w:rFonts w:ascii="Arial" w:cs="Arial" w:eastAsia="Arial" w:hAnsi="Arial"/>
          <w:sz w:val="18"/>
          <w:szCs w:val="18"/>
          <w:color w:val="231F20"/>
        </w:rPr>
        <w:t>, we made regular payments on our operating lease obligations of $1.3 million.</w:t>
      </w:r>
    </w:p>
    <w:p>
      <w:pPr>
        <w:spacing w:after="0" w:line="163"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8"/>
          <w:szCs w:val="18"/>
          <w:color w:val="231F20"/>
        </w:rPr>
        <w:t xml:space="preserve">Finance lease obligations represent financing on data center storage equipment. During the </w:t>
      </w:r>
      <w:r>
        <w:rPr>
          <w:rFonts w:ascii="Arial" w:cs="Arial" w:eastAsia="Arial" w:hAnsi="Arial"/>
          <w:sz w:val="18"/>
          <w:szCs w:val="18"/>
          <w:color w:val="000000"/>
        </w:rPr>
        <w:t>three months ended March 31, 2019</w:t>
      </w:r>
      <w:r>
        <w:rPr>
          <w:rFonts w:ascii="Arial" w:cs="Arial" w:eastAsia="Arial" w:hAnsi="Arial"/>
          <w:sz w:val="18"/>
          <w:szCs w:val="18"/>
          <w:color w:val="231F20"/>
        </w:rPr>
        <w:t>, we made regular principal payments on our finance lease obligations of $0.4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73"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227"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Form 10-Q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2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1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consolidated financial statements in our Annual Report on Form 10-K for the fiscal year ended December 31, 2018, filed with the SEC on February 27, 2019, the accounting policies related to revenue recognition, leases, derivative instruments,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Apart from the adoption of ASC 842 - Leases as of January 1, 2019 as described in Part 1, Item 1, Note 7 Leases of this Quarterly Report on Form 10-Q, there have been no material changes to our critical accounting policies and estimates as compared to the critical accounting policies and estimates as described in our Annual Report on Form 10-K for the fiscal year ended December 31, 2018, filed with the SEC on February 27,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58"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color w:val="231F20"/>
        </w:rPr>
        <w:t>Quantitative and Qualitative Disclosures about Market Risk</w:t>
      </w:r>
    </w:p>
    <w:p>
      <w:pPr>
        <w:spacing w:after="0" w:line="29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17"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Our results of operations and cash flows have been and will continue to be subject to fluctuations because of changes in foreign currency exchange rates, particularly changes in exchange rates between the U.S. Dollar and the Euro, British Pound, and Indian Rupee,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175"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color w:val="auto"/>
        </w:rPr>
        <w:t>The cash flow effects of our derivative contracts for the three months ended March 31, 2019 were included within net cash provided by operating activities on our condensed consolidated statements of cash flows. We had notional amounts on foreign currency exchange contracts designated as cash flow hedges outstanding of €17.7 million and £8.0 million as of March 31, 2019. The amount of unrealized foreign exchange gains on these contracts were recorded in AOCI and are $0.2 million. The effect of an immediate 10% adverse change in foreign exchange rates would not be material to our financial condition, operating results or cash flows. The fair value of our open cash flow hedge contracts on March 31, 2019 is $0.7 million.</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25"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color w:val="auto"/>
        </w:rPr>
        <w:t>We have $394.5 million in cash, cash equivalents and marketable securities at March 31, 2019. Cash and cash equivalents include cash held in banks, highly liquid money market funds, U.S. government agency securities, and commercial paper. Marketable securities consist of fixed-income U.S. government agency securities, corporate bonds, asset-backed securities and commercial paper. We determine the appropriate balance sheet classification of our marketable securities at the time of purchase and reevaluate such designation at each balance sheet date. We classify our marketable securities as either short-term or long-term based on each instrument's underlying contractual maturity date.</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March 31, 2019.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2019, our Chief Executive Officer and Chief Financial Officer concluded that, as of such date, our disclosure controls and procedures were effective at the reasonable assurance level.</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225" w:lineRule="exact"/>
        <w:rPr>
          <w:sz w:val="20"/>
          <w:szCs w:val="20"/>
          <w:color w:val="auto"/>
        </w:rPr>
      </w:pPr>
    </w:p>
    <w:p>
      <w:pPr>
        <w:jc w:val="both"/>
        <w:ind w:right="20" w:firstLine="486"/>
        <w:spacing w:after="0" w:line="271" w:lineRule="auto"/>
        <w:rPr>
          <w:sz w:val="20"/>
          <w:szCs w:val="20"/>
          <w:color w:val="auto"/>
        </w:rPr>
      </w:pPr>
      <w:r>
        <w:rPr>
          <w:rFonts w:ascii="Arial" w:cs="Arial" w:eastAsia="Arial" w:hAnsi="Arial"/>
          <w:sz w:val="18"/>
          <w:szCs w:val="18"/>
          <w:color w:val="auto"/>
        </w:rPr>
        <w:t>In the ordinary course of business, we routinely review our system of internal control over financial reporting and make changes to our systems and processes that are intended to ensure an effective internal control environment. We have completed the implementation of internal controls in connection with the new lease accounting standard, which we adopted effective January 1, 2019.</w:t>
      </w:r>
    </w:p>
    <w:p>
      <w:pPr>
        <w:spacing w:after="0" w:line="163"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auto"/>
        </w:rPr>
        <w:t>Other than the changes described above, there were no changes in our internal control over financial reporting identified in connection with the evaluation required by Rules 13a-15(d) and 15d-15(d) of the Exchange Act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2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75"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Subscriptions to our Vulnerability Management solutions generate most of our revenues, and if we are unable to continue to renew and grow subscriptions for these solutions, our operating results would suffer.</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We derived approximately 73% of our revenues from subscriptions to our VM solutions for the three months ended March 31, 2019.</w:t>
      </w:r>
    </w:p>
    <w:p>
      <w:pPr>
        <w:spacing w:after="0" w:line="225"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color w:val="231F20"/>
        </w:rPr>
        <w:t>We expect to continue to derive a significant majority of our revenues from subscriptions to our VM solutions. As a result, the market demand for our VM solutions is critical to our continued success. Demand for these solutions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178"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183" w:lineRule="exact"/>
        <w:rPr>
          <w:sz w:val="20"/>
          <w:szCs w:val="20"/>
          <w:color w:val="auto"/>
        </w:rPr>
      </w:pPr>
    </w:p>
    <w:p>
      <w:pPr>
        <w:jc w:val="both"/>
        <w:ind w:firstLine="392"/>
        <w:spacing w:after="0" w:line="360"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demand for our solutions;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expenses associated with our existing and new products and services;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customer renewals of our solutions;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customers subscribe for additional solutions;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seasonal buying patterns of our customers;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security breaches, technical difficulties or interruptions with our service;</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growth rate of the IT security and compliance market;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left="660" w:hanging="328"/>
        <w:spacing w:after="0" w:line="359" w:lineRule="auto"/>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sales commissions relative to the recognition of revenues;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our products and services to operate as designed;</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price competition;</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length of our sales cycle for our products and services;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timely invoicing or changes in billing terms of customers;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timing of deals signed within the quarter;</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pace and cost of hiring employees;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foreign currency exchange rates;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future accounting pronouncements or changes in our accounting policies;</w:t>
      </w:r>
    </w:p>
    <w:p>
      <w:pPr>
        <w:spacing w:after="0" w:line="102" w:lineRule="exact"/>
        <w:rPr>
          <w:rFonts w:ascii="Times New Roman" w:cs="Times New Roman" w:eastAsia="Times New Roman" w:hAnsi="Times New Roman"/>
          <w:sz w:val="18"/>
          <w:szCs w:val="18"/>
          <w:color w:val="auto"/>
        </w:rPr>
      </w:pPr>
    </w:p>
    <w:p>
      <w:pPr>
        <w:ind w:left="660" w:hanging="328"/>
        <w:spacing w:after="0" w:line="359" w:lineRule="auto"/>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effective tax rate;</w:t>
      </w:r>
    </w:p>
    <w:p>
      <w:pPr>
        <w:spacing w:after="0" w:line="102" w:lineRule="exact"/>
        <w:rPr>
          <w:rFonts w:ascii="Times New Roman" w:cs="Times New Roman" w:eastAsia="Times New Roman" w:hAnsi="Times New Roman"/>
          <w:sz w:val="18"/>
          <w:szCs w:val="18"/>
          <w:color w:val="auto"/>
        </w:rPr>
      </w:pPr>
    </w:p>
    <w:p>
      <w:pPr>
        <w:ind w:left="660" w:hanging="328"/>
        <w:spacing w:after="0" w:line="36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income tax benefits that we recognize resulting from excess tax benefits related to stock-based compensation;</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265"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8"/>
          <w:szCs w:val="18"/>
          <w:color w:val="231F20"/>
        </w:rPr>
        <w:t>Further, the interpretation and application of international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or to issue rulings that invalidate prior laws or regulations.</w:t>
      </w:r>
    </w:p>
    <w:p>
      <w:pPr>
        <w:spacing w:after="0" w:line="163"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231F20"/>
        </w:rPr>
        <w:t>For example, a Data Protection Act that substantially implements the European Union’s General Data Protection Regulation was implemented in the United Kingdom in May 2018, and "Brexit" could also lead to further legislative and regulatory changes. It is unclear, however, how United Kingdom data protection laws or regulations will develop in the medium to longer term, and how data transfers to and from the United Kingdom will be regulated.</w:t>
      </w:r>
    </w:p>
    <w:p>
      <w:pPr>
        <w:spacing w:after="0" w:line="170"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231F20"/>
        </w:rPr>
        <w:t>exceed expectations for our operating results for these or any other reasons, the trading price of our common stock could fall and we could face costly lawsuits, including securities class action suits.</w:t>
      </w:r>
    </w:p>
    <w:p>
      <w:pPr>
        <w:spacing w:after="0" w:line="14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50"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178"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continues to evolve, and it is uncertain whether our new solutions will gain market acceptance.</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33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17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170"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29"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VM for our business and revenues to grow as we expect. Revenues from our other solutions such as Policy Compliance, PCI Compliance, Security Assessment Questionnaire, Web Application Scanning, and Web Application Firewall have been relatively modest compared to revenues from our VM solutions.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29"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178"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8"/>
          <w:szCs w:val="18"/>
          <w:color w:val="231F20"/>
        </w:rPr>
        <w:t>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6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Our current research and development efforts may not produce successful products or enhancements to our platform that result in significant revenue, cost savings or other benefits in the near future.</w:t>
      </w:r>
    </w:p>
    <w:p>
      <w:pPr>
        <w:spacing w:after="0" w:line="12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Our platform, website and internal systems may be subject to intentional disruption or other security incidents that could result in liability and adversely impact our reputation and future sales.</w:t>
      </w:r>
    </w:p>
    <w:p>
      <w:pPr>
        <w:spacing w:after="0" w:line="129" w:lineRule="exact"/>
        <w:rPr>
          <w:sz w:val="20"/>
          <w:szCs w:val="20"/>
          <w:color w:val="auto"/>
        </w:rPr>
      </w:pPr>
    </w:p>
    <w:p>
      <w:pPr>
        <w:jc w:val="both"/>
        <w:ind w:firstLine="392"/>
        <w:spacing w:after="0" w:line="292" w:lineRule="auto"/>
        <w:rPr>
          <w:sz w:val="20"/>
          <w:szCs w:val="20"/>
          <w:color w:val="auto"/>
        </w:rPr>
      </w:pPr>
      <w:r>
        <w:rPr>
          <w:rFonts w:ascii="Arial" w:cs="Arial" w:eastAsia="Arial" w:hAnsi="Arial"/>
          <w:sz w:val="18"/>
          <w:szCs w:val="18"/>
          <w:color w:val="231F20"/>
        </w:rPr>
        <w:t>We and our service providers could be a target of cyber-attacks or other malfeasance designed to impede the performance of our solutions, penetrate our network security or the security of our cloud platform or our internal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systems, misappropriate proprietary information and/or cause interruptions to our services. Our solutions, platforms, and system may also suffer security incidents as a result of non-technical issues, including intentional or inadvertent breaches by our employees or service providers. Because our operations involve providing IT security solutions to our customers, we may be targeted for cyber-attacks and other security incidents. If an actual or perceived breach of our security measures or those of our service providers occurs, it could adversely affect the market perception of our solutions, negatively affecting our reputation, and may expose us to the loss of information, litigation, regulatory actions and possible liability. Any such actual or perceived security breach could also divert the efforts of our technical and management personnel.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8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2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63"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2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The timing of sales of subscriptions for our solutions can be difficult to forecast because of the length and unpredictability of our sales cycle, particularly with large transactions.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IT spending may adversely impact our business.</w:t>
      </w:r>
    </w:p>
    <w:p>
      <w:pPr>
        <w:spacing w:after="0" w:line="22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Economic 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 cycles for payments due from our customers, an increase in customer bad debt, restructuring initiatives and associated expenses, and impairment of</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163"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color w:val="231F20"/>
        </w:rPr>
        <w:t>Additionally, concerns regarding the effects of the "Brexit" decision, uncertainties related to changes in public policies such as domestic and international regulations, taxes or international trade agreements as well as geopolitical turmoil and other disruptions to global and regional economies and markets in many parts of the world, have and may continue to put pressure on global economic conditions and overall spending on IT security. We have operations, as well as current and potential customers, throughout most of Europe. If economic conditions in Europe and other key markets for our platform continue to remain uncertain or deteriorate further, many customers may delay or reduce their IT spending.</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231F20"/>
        </w:rPr>
        <w:t>Our security and compliance solutions are delivered from seven data centers, and any disruption of service at these facilities would interrupt or delay our ability to deliver our solutions to our customers which could reduce our revenues and harm our operating results.</w:t>
      </w:r>
    </w:p>
    <w:p>
      <w:pPr>
        <w:spacing w:after="0" w:line="150" w:lineRule="exact"/>
        <w:rPr>
          <w:sz w:val="20"/>
          <w:szCs w:val="20"/>
          <w:color w:val="auto"/>
        </w:rPr>
      </w:pPr>
    </w:p>
    <w:p>
      <w:pPr>
        <w:jc w:val="both"/>
        <w:ind w:firstLine="392"/>
        <w:spacing w:after="0" w:line="260" w:lineRule="auto"/>
        <w:rPr>
          <w:sz w:val="20"/>
          <w:szCs w:val="20"/>
          <w:color w:val="auto"/>
        </w:rPr>
      </w:pPr>
      <w:r>
        <w:rPr>
          <w:rFonts w:ascii="Arial" w:cs="Arial" w:eastAsia="Arial" w:hAnsi="Arial"/>
          <w:sz w:val="18"/>
          <w:szCs w:val="18"/>
          <w:color w:val="231F20"/>
        </w:rPr>
        <w:t>We currently host substantially all of our solutions from third-party data centers located in the United States, Switzerland, the Netherlands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17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 xml:space="preserve">Some of our data centers are not currently redundant and we may not be able to rapidly move our customers from one data center to another, which may increase delays in the restoration of our service for our customers if an adverse event occurs. </w:t>
      </w:r>
      <w:r>
        <w:rPr>
          <w:rFonts w:ascii="Arial" w:cs="Arial" w:eastAsia="Arial" w:hAnsi="Arial"/>
          <w:sz w:val="18"/>
          <w:szCs w:val="18"/>
          <w:color w:val="231F20"/>
        </w:rPr>
        <w:t>We have added data center</w:t>
      </w:r>
      <w:r>
        <w:rPr>
          <w:rFonts w:ascii="Arial" w:cs="Arial" w:eastAsia="Arial" w:hAnsi="Arial"/>
          <w:sz w:val="18"/>
          <w:szCs w:val="18"/>
          <w:color w:val="auto"/>
        </w:rPr>
        <w:t xml:space="preserve"> </w:t>
      </w:r>
      <w:r>
        <w:rPr>
          <w:rFonts w:ascii="Arial" w:cs="Arial" w:eastAsia="Arial" w:hAnsi="Arial"/>
          <w:sz w:val="18"/>
          <w:szCs w:val="18"/>
          <w:color w:val="231F20"/>
        </w:rPr>
        <w:t>facilities to provide additional capacity for our cloud platform and to enable disaster recovery. We continue to build out these facilities; however, these additional facilities may not be operational in the anticipated time-frame and we may incur unplanned expenses.</w:t>
      </w:r>
    </w:p>
    <w:p>
      <w:pPr>
        <w:spacing w:after="0" w:line="170"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170"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6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29" w:lineRule="exact"/>
        <w:rPr>
          <w:sz w:val="20"/>
          <w:szCs w:val="20"/>
          <w:color w:val="auto"/>
        </w:rPr>
      </w:pPr>
    </w:p>
    <w:p>
      <w:pPr>
        <w:jc w:val="both"/>
        <w:ind w:firstLine="392"/>
        <w:spacing w:after="0" w:line="260"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170"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231F20"/>
        </w:rPr>
        <w:t xml:space="preserve">We compete with large and small public companies, such as Carbon Black, Inc., FireEye, Inc., International Business Machines Corporation, Micro Focus International plc, Rapid7, Inc., Symantec Corporation, and Tenable Holdings, Inc., as well as privately held security providers including Barracuda Networks Inc., BeyondTrust Software, Inc., </w:t>
      </w:r>
      <w:r>
        <w:rPr>
          <w:rFonts w:ascii="Arial" w:cs="Arial" w:eastAsia="Arial" w:hAnsi="Arial"/>
          <w:sz w:val="18"/>
          <w:szCs w:val="18"/>
          <w:color w:val="000000"/>
        </w:rPr>
        <w:t>CrowdStrike Inc., Tanium Inc., Tripwire, Inc. and Trustwave Holdings,</w:t>
      </w:r>
      <w:r>
        <w:rPr>
          <w:rFonts w:ascii="Arial" w:cs="Arial" w:eastAsia="Arial" w:hAnsi="Arial"/>
          <w:sz w:val="18"/>
          <w:szCs w:val="18"/>
          <w:color w:val="231F20"/>
        </w:rPr>
        <w:t xml:space="preserve"> </w:t>
      </w:r>
      <w:r>
        <w:rPr>
          <w:rFonts w:ascii="Arial" w:cs="Arial" w:eastAsia="Arial" w:hAnsi="Arial"/>
          <w:sz w:val="18"/>
          <w:szCs w:val="18"/>
          <w:color w:val="000000"/>
        </w:rPr>
        <w:t xml:space="preserve">Inc. </w:t>
      </w:r>
      <w:r>
        <w:rPr>
          <w:rFonts w:ascii="Arial" w:cs="Arial" w:eastAsia="Arial" w:hAnsi="Arial"/>
          <w:sz w:val="18"/>
          <w:szCs w:val="18"/>
          <w:color w:val="231F20"/>
        </w:rPr>
        <w:t>We also seek to replace IT security and compliance solutions that organizations have developed internally. As we continue to extend our</w:t>
      </w:r>
      <w:r>
        <w:rPr>
          <w:rFonts w:ascii="Arial" w:cs="Arial" w:eastAsia="Arial" w:hAnsi="Arial"/>
          <w:sz w:val="18"/>
          <w:szCs w:val="18"/>
          <w:color w:val="000000"/>
        </w:rPr>
        <w:t xml:space="preserve"> </w:t>
      </w:r>
      <w:r>
        <w:rPr>
          <w:rFonts w:ascii="Arial" w:cs="Arial" w:eastAsia="Arial" w:hAnsi="Arial"/>
          <w:sz w:val="18"/>
          <w:szCs w:val="18"/>
          <w:color w:val="231F20"/>
        </w:rPr>
        <w:t>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177"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21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greater brand name recognition;</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larger sales and marketing budgets and resources;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access to larger customer bases;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greater customer support resources;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greater resources to make acquisitions;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greater resources to meet relevant regulatory requirements; and</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substantially greater financial, technical and other resources.</w:t>
      </w:r>
    </w:p>
    <w:p>
      <w:pPr>
        <w:spacing w:after="0" w:line="265"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163" w:lineRule="exact"/>
        <w:rPr>
          <w:sz w:val="20"/>
          <w:szCs w:val="20"/>
          <w:color w:val="auto"/>
        </w:rPr>
      </w:pPr>
    </w:p>
    <w:p>
      <w:pPr>
        <w:jc w:val="both"/>
        <w:ind w:firstLine="392"/>
        <w:spacing w:after="0" w:line="258"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29" w:lineRule="exact"/>
        <w:rPr>
          <w:sz w:val="20"/>
          <w:szCs w:val="20"/>
          <w:color w:val="auto"/>
        </w:rPr>
      </w:pPr>
    </w:p>
    <w:p>
      <w:pPr>
        <w:jc w:val="both"/>
        <w:ind w:firstLine="392"/>
        <w:spacing w:after="0" w:line="258"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178" w:lineRule="exact"/>
        <w:rPr>
          <w:sz w:val="20"/>
          <w:szCs w:val="20"/>
          <w:color w:val="auto"/>
        </w:rPr>
      </w:pPr>
    </w:p>
    <w:p>
      <w:pPr>
        <w:jc w:val="both"/>
        <w:ind w:firstLine="392"/>
        <w:spacing w:after="0" w:line="258"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maintain profitability in the future.</w:t>
      </w:r>
    </w:p>
    <w:p>
      <w:pPr>
        <w:spacing w:after="0" w:line="225"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231F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Pounds and Japanese Yen,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29"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231F20"/>
        </w:rPr>
        <w:t>loss of customers and sales, increased costs to remedy any incorrect information or problem, or claims by aggrieved parties. Similar issues may be generated by the misuse of our tools to identify and exploit vulnerabilities.</w:t>
      </w:r>
    </w:p>
    <w:p>
      <w:pPr>
        <w:spacing w:after="0" w:line="145"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163" w:lineRule="exact"/>
        <w:rPr>
          <w:sz w:val="20"/>
          <w:szCs w:val="20"/>
          <w:color w:val="auto"/>
        </w:rPr>
      </w:pPr>
    </w:p>
    <w:p>
      <w:pPr>
        <w:jc w:val="both"/>
        <w:ind w:firstLine="392"/>
        <w:spacing w:after="0" w:line="29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45"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29"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2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129"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the Gramm-Leach-Bliley Act,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178" w:lineRule="exact"/>
        <w:rPr>
          <w:sz w:val="20"/>
          <w:szCs w:val="20"/>
          <w:color w:val="auto"/>
        </w:rPr>
      </w:pPr>
    </w:p>
    <w:p>
      <w:pPr>
        <w:jc w:val="both"/>
        <w:ind w:firstLine="392"/>
        <w:spacing w:after="0" w:line="260" w:lineRule="auto"/>
        <w:rPr>
          <w:sz w:val="20"/>
          <w:szCs w:val="20"/>
          <w:color w:val="auto"/>
        </w:rPr>
      </w:pPr>
      <w:r>
        <w:rPr>
          <w:rFonts w:ascii="Arial" w:cs="Arial" w:eastAsia="Arial" w:hAnsi="Arial"/>
          <w:sz w:val="18"/>
          <w:szCs w:val="18"/>
          <w:color w:val="231F20"/>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adopted the General Data Protection Regulation, or GDPR, to supersede the Data Protection Directive. This regulation, which took effect in May of 2018, causes EU data protection requirements to be more stringent and provides for greater penalties. Noncompliance with the GDPR can trigger fines of up to €20 million or 4% of global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231F20"/>
        </w:rPr>
        <w:t>annual revenues, whichever is higher. Additionally, California recently enacted legislation, the California Consumer Privacy Act (“CCPA”), that will, among other things, require covered companies to provide new disclosures to California consumers, and afford such consumers new abilities to opt-out of certain sales of personal information, when it goes into effect on January 1, 2020. The CCPA was amended in September 2018, and it is unclear whether further modifications will be made to this legislation or how it will be interpreted. We cannot yet predict the impact of the CCPA on our business or operations, but it may require us to modify our data processing practices and policies and to incur substantial costs and expenses in an effort to comply</w:t>
      </w:r>
      <w:r>
        <w:rPr>
          <w:rFonts w:ascii="Times New Roman" w:cs="Times New Roman" w:eastAsia="Times New Roman" w:hAnsi="Times New Roman"/>
          <w:sz w:val="18"/>
          <w:szCs w:val="18"/>
          <w:color w:val="231F20"/>
        </w:rPr>
        <w:t>.</w:t>
      </w:r>
    </w:p>
    <w:p>
      <w:pPr>
        <w:spacing w:after="0" w:line="177"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The privacy, data protection, and information security laws and regulations we must comply with also are subject to change. For example, in June 2016, United Kingdom voters approved an exit from the European Union, commonly referred to as “Brexit,” which could also lead to further legislative and regulatory changes. Additionally, an October 2015 ruling of the Court of Justice of the European Union invalidated the U.S.-EU Safe Harbor Framework as a method of compliance with European restrictions regarding the transfer of personal data outside of the European Economic Area, or EEA. U.S. and EU authorities reached a political agreement in February 2016 regarding a new means for legitimizing personal data transfers from the EEA to the U.S., the EU-U.S. Privacy Shield Framework, and we have joined the EU-U.S. Privacy Shield Framework and a related program, the Swiss-U.S. Privacy Shield Framework. The EU-U.S. Privacy Shield Framework is subject to legal challenge, however, and it or the Swiss-U.S. Privacy Shield Framework may be modified or invalidated. We may be unsuccessful in maintaining legitimate means for our transfer and receipt of personal data from the EEA or Switzerland. We may experience reluctance or refusal by current or prospective European customers to use our products, and we may find it necessary or desirable to make further changes to our handling of personal data of European residents.</w:t>
      </w:r>
    </w:p>
    <w:p>
      <w:pPr>
        <w:spacing w:after="0" w:line="183"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178" w:lineRule="exact"/>
        <w:rPr>
          <w:sz w:val="20"/>
          <w:szCs w:val="20"/>
          <w:color w:val="auto"/>
        </w:rPr>
      </w:pPr>
    </w:p>
    <w:p>
      <w:pPr>
        <w:jc w:val="both"/>
        <w:ind w:right="20" w:firstLine="392"/>
        <w:spacing w:after="0" w:line="271"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6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29"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a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231F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27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55"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8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In addition, as of March 31, 2019, approximately 67% of our employees were located outside of the United States, and 57% of our employees were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29" w:lineRule="exact"/>
        <w:rPr>
          <w:sz w:val="20"/>
          <w:szCs w:val="20"/>
          <w:color w:val="auto"/>
        </w:rPr>
      </w:pPr>
    </w:p>
    <w:p>
      <w:pPr>
        <w:jc w:val="both"/>
        <w:ind w:firstLine="392"/>
        <w:spacing w:after="0" w:line="260"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75"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Our business and operations have experienced significant growth, and if we do not appropriately manage any future growth, or are unable to improve our systems and processes, our operating results may be negatively affected.</w:t>
      </w:r>
    </w:p>
    <w:p>
      <w:pPr>
        <w:spacing w:after="0" w:line="129" w:lineRule="exact"/>
        <w:rPr>
          <w:sz w:val="20"/>
          <w:szCs w:val="20"/>
          <w:color w:val="auto"/>
        </w:rPr>
      </w:pPr>
    </w:p>
    <w:p>
      <w:pPr>
        <w:jc w:val="both"/>
        <w:ind w:firstLine="392"/>
        <w:spacing w:after="0" w:line="258" w:lineRule="auto"/>
        <w:rPr>
          <w:sz w:val="20"/>
          <w:szCs w:val="20"/>
          <w:color w:val="auto"/>
        </w:rPr>
      </w:pPr>
      <w:r>
        <w:rPr>
          <w:rFonts w:ascii="Arial" w:cs="Arial" w:eastAsia="Arial" w:hAnsi="Arial"/>
          <w:sz w:val="18"/>
          <w:szCs w:val="18"/>
          <w:color w:val="231F20"/>
        </w:rPr>
        <w:t xml:space="preserve">We have experienced significant growth over the last several years. From </w:t>
      </w:r>
      <w:r>
        <w:rPr>
          <w:rFonts w:ascii="Arial" w:cs="Arial" w:eastAsia="Arial" w:hAnsi="Arial"/>
          <w:sz w:val="18"/>
          <w:szCs w:val="18"/>
          <w:color w:val="000000"/>
        </w:rPr>
        <w:t>2016</w:t>
      </w:r>
      <w:r>
        <w:rPr>
          <w:rFonts w:ascii="Arial" w:cs="Arial" w:eastAsia="Arial" w:hAnsi="Arial"/>
          <w:sz w:val="18"/>
          <w:szCs w:val="18"/>
          <w:color w:val="231F20"/>
        </w:rPr>
        <w:t xml:space="preserve"> to </w:t>
      </w:r>
      <w:r>
        <w:rPr>
          <w:rFonts w:ascii="Arial" w:cs="Arial" w:eastAsia="Arial" w:hAnsi="Arial"/>
          <w:sz w:val="18"/>
          <w:szCs w:val="18"/>
          <w:color w:val="000000"/>
        </w:rPr>
        <w:t>2018</w:t>
      </w:r>
      <w:r>
        <w:rPr>
          <w:rFonts w:ascii="Arial" w:cs="Arial" w:eastAsia="Arial" w:hAnsi="Arial"/>
          <w:sz w:val="18"/>
          <w:szCs w:val="18"/>
          <w:color w:val="231F20"/>
        </w:rPr>
        <w:t xml:space="preserve">, our revenues grew from $197.9 million to $278.9 million. Our headcount increased from 510 employees at the beginning of </w:t>
      </w:r>
      <w:r>
        <w:rPr>
          <w:rFonts w:ascii="Arial" w:cs="Arial" w:eastAsia="Arial" w:hAnsi="Arial"/>
          <w:sz w:val="18"/>
          <w:szCs w:val="18"/>
          <w:color w:val="000000"/>
        </w:rPr>
        <w:t>2016</w:t>
      </w:r>
      <w:r>
        <w:rPr>
          <w:rFonts w:ascii="Arial" w:cs="Arial" w:eastAsia="Arial" w:hAnsi="Arial"/>
          <w:sz w:val="18"/>
          <w:szCs w:val="18"/>
          <w:color w:val="231F20"/>
        </w:rPr>
        <w:t xml:space="preserve"> to 1,210 employees as of March 31, 2019.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178" w:lineRule="exact"/>
        <w:rPr>
          <w:sz w:val="20"/>
          <w:szCs w:val="20"/>
          <w:color w:val="auto"/>
        </w:rPr>
      </w:pPr>
    </w:p>
    <w:p>
      <w:pPr>
        <w:jc w:val="both"/>
        <w:ind w:firstLine="392"/>
        <w:spacing w:after="0" w:line="258"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29" w:lineRule="exact"/>
        <w:rPr>
          <w:sz w:val="20"/>
          <w:szCs w:val="20"/>
          <w:color w:val="auto"/>
        </w:rPr>
      </w:pPr>
    </w:p>
    <w:p>
      <w:pPr>
        <w:jc w:val="both"/>
        <w:ind w:firstLine="392"/>
        <w:spacing w:after="0" w:line="260"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 xml:space="preserve">Our success significantly depends upon establishing and maintaining relationships with a variety of channel partners, and we anticipate that we will continue to depend on these partners in order to grow our business. For the three months ended March 31, 2019, we derived approximately </w:t>
      </w:r>
      <w:r>
        <w:rPr>
          <w:rFonts w:ascii="Arial" w:cs="Arial" w:eastAsia="Arial" w:hAnsi="Arial"/>
          <w:sz w:val="18"/>
          <w:szCs w:val="18"/>
          <w:color w:val="000000"/>
        </w:rPr>
        <w:t>43%</w:t>
      </w:r>
      <w:r>
        <w:rPr>
          <w:rFonts w:ascii="Arial" w:cs="Arial" w:eastAsia="Arial" w:hAnsi="Arial"/>
          <w:sz w:val="18"/>
          <w:szCs w:val="18"/>
          <w:color w:val="231F20"/>
        </w:rPr>
        <w:t xml:space="preserve">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7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231F20"/>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29"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18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231F20"/>
        </w:rPr>
        <w:t>We rely on third-party software -as-a-service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29"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77"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6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29" w:lineRule="exact"/>
        <w:rPr>
          <w:sz w:val="20"/>
          <w:szCs w:val="20"/>
          <w:color w:val="auto"/>
        </w:rPr>
      </w:pPr>
    </w:p>
    <w:p>
      <w:pPr>
        <w:jc w:val="both"/>
        <w:ind w:firstLine="392"/>
        <w:spacing w:after="0" w:line="258"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178"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75"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Our reporting currency is the U.S. Dollar and we generate a majority of our revenues in U.S. Dollars. However, for the three months ended March 31, 2019, we incurred approximately 19% of our expenses in foreign currencies, primarily Euros, British Pounds, and Indian Rupee, principally with respect to salaries and related personnel expenses associated with our European and Indian operations. Additionally, for the three months ended March 31, 2019, approximately 21%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British Pound and Indian Rupee. The results of our operations may be adversely affected by foreign exchange fluctuations.</w:t>
      </w:r>
    </w:p>
    <w:p>
      <w:pPr>
        <w:spacing w:after="0" w:line="182" w:lineRule="exact"/>
        <w:rPr>
          <w:sz w:val="20"/>
          <w:szCs w:val="20"/>
          <w:color w:val="auto"/>
        </w:rPr>
      </w:pPr>
    </w:p>
    <w:p>
      <w:pPr>
        <w:ind w:right="500" w:firstLine="405"/>
        <w:spacing w:after="0" w:line="292" w:lineRule="auto"/>
        <w:rPr>
          <w:sz w:val="20"/>
          <w:szCs w:val="20"/>
          <w:color w:val="auto"/>
        </w:rPr>
      </w:pPr>
      <w:r>
        <w:rPr>
          <w:rFonts w:ascii="Arial" w:cs="Arial" w:eastAsia="Arial" w:hAnsi="Arial"/>
          <w:sz w:val="18"/>
          <w:szCs w:val="18"/>
          <w:color w:val="auto"/>
        </w:rPr>
        <w:t>We use derivative financial instruments to reduce our foreign currency exchange risks. We use foreign currency forward contracts to mitigate the impact of foreign currency fluctuations of certain non-U.S. Dollar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denominated asset positions, to date primarily cash and accounts receivable (non-designated), as well as to manage foreign currency fluctuation risk related to forecasted transactions (designated).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29" w:lineRule="exact"/>
        <w:rPr>
          <w:sz w:val="20"/>
          <w:szCs w:val="20"/>
          <w:color w:val="auto"/>
        </w:rPr>
      </w:pPr>
    </w:p>
    <w:p>
      <w:pPr>
        <w:jc w:val="both"/>
        <w:ind w:right="20" w:firstLine="392"/>
        <w:spacing w:after="0" w:line="271"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163"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178" w:lineRule="exact"/>
        <w:rPr>
          <w:sz w:val="20"/>
          <w:szCs w:val="20"/>
          <w:color w:val="auto"/>
        </w:rPr>
      </w:pPr>
    </w:p>
    <w:p>
      <w:pPr>
        <w:jc w:val="both"/>
        <w:ind w:firstLine="392"/>
        <w:spacing w:after="0" w:line="260"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222222"/>
        </w:rPr>
        <w:t>March 31, 2019</w:t>
      </w:r>
      <w:r>
        <w:rPr>
          <w:rFonts w:ascii="Arial" w:cs="Arial" w:eastAsia="Arial" w:hAnsi="Arial"/>
          <w:sz w:val="18"/>
          <w:szCs w:val="18"/>
          <w:color w:val="231F20"/>
        </w:rPr>
        <w:t>, we had seventeen issued patents and several pending U.S. patent applications, and we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175" w:lineRule="exact"/>
        <w:rPr>
          <w:sz w:val="20"/>
          <w:szCs w:val="20"/>
          <w:color w:val="auto"/>
        </w:rPr>
      </w:pPr>
    </w:p>
    <w:p>
      <w:pPr>
        <w:jc w:val="both"/>
        <w:ind w:firstLine="392"/>
        <w:spacing w:after="0" w:line="260"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the issuance of a patent does not guarantee that we have an absolute right to practice the patented invention. As a result, we may not be able to obtain adequate patent protection or to enforce our issued patents effectively.</w:t>
      </w:r>
    </w:p>
    <w:p>
      <w:pPr>
        <w:spacing w:after="0" w:line="175" w:lineRule="exact"/>
        <w:rPr>
          <w:sz w:val="20"/>
          <w:szCs w:val="20"/>
          <w:color w:val="auto"/>
        </w:rPr>
      </w:pPr>
    </w:p>
    <w:p>
      <w:pPr>
        <w:jc w:val="both"/>
        <w:ind w:firstLine="392"/>
        <w:spacing w:after="0" w:line="258"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29"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231F20"/>
        </w:rPr>
        <w:t>even those without merit, could cause us to incur substantial costs defending against the claim and could distract our management from our business.</w:t>
      </w:r>
    </w:p>
    <w:p>
      <w:pPr>
        <w:spacing w:after="0" w:line="145" w:lineRule="exact"/>
        <w:rPr>
          <w:sz w:val="20"/>
          <w:szCs w:val="20"/>
          <w:color w:val="auto"/>
        </w:rPr>
      </w:pPr>
    </w:p>
    <w:p>
      <w:pPr>
        <w:jc w:val="both"/>
        <w:ind w:firstLine="392"/>
        <w:spacing w:after="0" w:line="258"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36"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2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78"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We depend on the continued services and performance of our senior management and other key employees, the loss of any of whom could adversely affect our business, operating results and financial condition.</w:t>
      </w:r>
    </w:p>
    <w:p>
      <w:pPr>
        <w:spacing w:after="0" w:line="129"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jc w:val="both"/>
        <w:ind w:firstLine="392"/>
        <w:spacing w:after="0" w:line="260"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and Pune, India, locations in which we have a substantial presence and need for highly skilled personnel and we may not be able to compete for these employees.</w:t>
      </w:r>
    </w:p>
    <w:p>
      <w:pPr>
        <w:spacing w:after="0" w:line="175" w:lineRule="exact"/>
        <w:rPr>
          <w:sz w:val="20"/>
          <w:szCs w:val="20"/>
          <w:color w:val="auto"/>
        </w:rPr>
      </w:pPr>
    </w:p>
    <w:p>
      <w:pPr>
        <w:jc w:val="both"/>
        <w:ind w:firstLine="392"/>
        <w:spacing w:after="0" w:line="258" w:lineRule="auto"/>
        <w:rPr>
          <w:sz w:val="20"/>
          <w:szCs w:val="20"/>
          <w:color w:val="auto"/>
        </w:rPr>
      </w:pPr>
      <w:r>
        <w:rPr>
          <w:rFonts w:ascii="Arial" w:cs="Arial" w:eastAsia="Arial" w:hAnsi="Arial"/>
          <w:sz w:val="18"/>
          <w:szCs w:val="18"/>
          <w:color w:val="231F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spacing w:after="0" w:line="178"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25"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29"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231F20"/>
        </w:rPr>
        <w:t xml:space="preserve">Our solutions are subject to U.S. export controls, </w:t>
      </w:r>
      <w:r>
        <w:rPr>
          <w:rFonts w:ascii="Arial" w:cs="Arial" w:eastAsia="Arial" w:hAnsi="Arial"/>
          <w:sz w:val="18"/>
          <w:szCs w:val="18"/>
          <w:color w:val="000000"/>
        </w:rPr>
        <w:t>specifically, the Export Administration Regulations and economic sanctions enforced by</w:t>
      </w:r>
      <w:r>
        <w:rPr>
          <w:rFonts w:ascii="Arial" w:cs="Arial" w:eastAsia="Arial" w:hAnsi="Arial"/>
          <w:sz w:val="18"/>
          <w:szCs w:val="18"/>
          <w:color w:val="231F20"/>
        </w:rPr>
        <w:t xml:space="preserve"> </w:t>
      </w:r>
      <w:r>
        <w:rPr>
          <w:rFonts w:ascii="Arial" w:cs="Arial" w:eastAsia="Arial" w:hAnsi="Arial"/>
          <w:sz w:val="18"/>
          <w:szCs w:val="18"/>
          <w:color w:val="000000"/>
        </w:rPr>
        <w:t xml:space="preserve">the Office of Foreign Assets Control. </w:t>
      </w:r>
      <w:r>
        <w:rPr>
          <w:rFonts w:ascii="Arial" w:cs="Arial" w:eastAsia="Arial" w:hAnsi="Arial"/>
          <w:sz w:val="18"/>
          <w:szCs w:val="18"/>
          <w:color w:val="231F20"/>
        </w:rPr>
        <w:t>We incorporate encryption technology into certain of our solutions. These encryption solutions and the</w:t>
      </w:r>
      <w:r>
        <w:rPr>
          <w:rFonts w:ascii="Arial" w:cs="Arial" w:eastAsia="Arial" w:hAnsi="Arial"/>
          <w:sz w:val="18"/>
          <w:szCs w:val="18"/>
          <w:color w:val="000000"/>
        </w:rPr>
        <w:t xml:space="preserve"> </w:t>
      </w:r>
      <w:r>
        <w:rPr>
          <w:rFonts w:ascii="Arial" w:cs="Arial" w:eastAsia="Arial" w:hAnsi="Arial"/>
          <w:sz w:val="18"/>
          <w:szCs w:val="18"/>
          <w:color w:val="231F20"/>
        </w:rPr>
        <w:t>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231F20"/>
        </w:rPr>
        <w:t>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denial of certain export privileges.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25"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services or technologies. For example, we acquired 1Mobility on April 1, 2018, Layered Insight on October 16, 2018 and Adya on January 10, 2019. The environment for acquisitions in our industry is very competitive and acquisition candidate purchase prices may exceed what we would prefer to pay. Moreover, achieving the anticipated benefits of future acquisitions will depend in part upon whether we can integrate acquired operations, products and technology in a timely and cost-effective manner</w:t>
      </w:r>
      <w:r>
        <w:rPr>
          <w:rFonts w:ascii="Arial" w:cs="Arial" w:eastAsia="Arial" w:hAnsi="Arial"/>
          <w:sz w:val="18"/>
          <w:szCs w:val="18"/>
          <w:color w:val="000000"/>
        </w:rPr>
        <w:t>, and even if we achieve benefits from acquisitions, such acquisitions may still be</w:t>
      </w:r>
      <w:r>
        <w:rPr>
          <w:rFonts w:ascii="Arial" w:cs="Arial" w:eastAsia="Arial" w:hAnsi="Arial"/>
          <w:sz w:val="18"/>
          <w:szCs w:val="18"/>
          <w:color w:val="231F20"/>
        </w:rPr>
        <w:t xml:space="preserve"> </w:t>
      </w:r>
      <w:r>
        <w:rPr>
          <w:rFonts w:ascii="Arial" w:cs="Arial" w:eastAsia="Arial" w:hAnsi="Arial"/>
          <w:sz w:val="18"/>
          <w:szCs w:val="18"/>
          <w:color w:val="000000"/>
        </w:rPr>
        <w:t xml:space="preserve">viewed negatively by customers, financial markets or investors. </w:t>
      </w:r>
      <w:r>
        <w:rPr>
          <w:rFonts w:ascii="Arial" w:cs="Arial" w:eastAsia="Arial" w:hAnsi="Arial"/>
          <w:sz w:val="18"/>
          <w:szCs w:val="18"/>
          <w:color w:val="231F20"/>
        </w:rPr>
        <w:t>The acquisition and integration process is complex, expensive and time-consuming, and may cause an interruption of, or loss of momentum in, product development and sales activities and operations of both companies</w:t>
      </w:r>
      <w:r>
        <w:rPr>
          <w:rFonts w:ascii="Arial" w:cs="Arial" w:eastAsia="Arial" w:hAnsi="Arial"/>
          <w:sz w:val="18"/>
          <w:szCs w:val="18"/>
          <w:color w:val="000000"/>
        </w:rPr>
        <w:t>, as well as divert the attention of management and we may incur substantial cost and expense. We may issue equity securities</w:t>
      </w:r>
      <w:r>
        <w:rPr>
          <w:rFonts w:ascii="Arial" w:cs="Arial" w:eastAsia="Arial" w:hAnsi="Arial"/>
          <w:sz w:val="18"/>
          <w:szCs w:val="18"/>
          <w:color w:val="231F20"/>
        </w:rPr>
        <w:t xml:space="preserve"> </w:t>
      </w:r>
      <w:r>
        <w:rPr>
          <w:rFonts w:ascii="Arial" w:cs="Arial" w:eastAsia="Arial" w:hAnsi="Arial"/>
          <w:sz w:val="18"/>
          <w:szCs w:val="18"/>
          <w:color w:val="000000"/>
        </w:rPr>
        <w:t xml:space="preserve">which could dilute current stockholders’ ownership, incur debt, assume contingent or other liabilities and expend cash in acquisitions, which could negatively impact our financial position, stockholder equity and stock price. </w:t>
      </w:r>
      <w:r>
        <w:rPr>
          <w:rFonts w:ascii="Arial" w:cs="Arial" w:eastAsia="Arial" w:hAnsi="Arial"/>
          <w:sz w:val="18"/>
          <w:szCs w:val="18"/>
          <w:color w:val="231F20"/>
        </w:rPr>
        <w:t>We may not find suitable acquisition candidates, and</w:t>
      </w:r>
      <w:r>
        <w:rPr>
          <w:rFonts w:ascii="Arial" w:cs="Arial" w:eastAsia="Arial" w:hAnsi="Arial"/>
          <w:sz w:val="18"/>
          <w:szCs w:val="18"/>
          <w:color w:val="000000"/>
        </w:rPr>
        <w:t xml:space="preserve"> </w:t>
      </w:r>
      <w:r>
        <w:rPr>
          <w:rFonts w:ascii="Arial" w:cs="Arial" w:eastAsia="Arial" w:hAnsi="Arial"/>
          <w:sz w:val="18"/>
          <w:szCs w:val="18"/>
          <w:color w:val="231F20"/>
        </w:rPr>
        <w:t>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and fair value measurement.</w:t>
      </w:r>
    </w:p>
    <w:p>
      <w:pPr>
        <w:spacing w:after="0" w:line="18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29" w:lineRule="exact"/>
        <w:rPr>
          <w:sz w:val="20"/>
          <w:szCs w:val="20"/>
          <w:color w:val="auto"/>
        </w:rPr>
      </w:pPr>
    </w:p>
    <w:p>
      <w:pPr>
        <w:jc w:val="both"/>
        <w:ind w:firstLine="392"/>
        <w:spacing w:after="0" w:line="258" w:lineRule="auto"/>
        <w:rPr>
          <w:sz w:val="20"/>
          <w:szCs w:val="20"/>
          <w:color w:val="auto"/>
        </w:rPr>
      </w:pPr>
      <w:r>
        <w:rPr>
          <w:rFonts w:ascii="Arial" w:cs="Arial" w:eastAsia="Arial" w:hAnsi="Arial"/>
          <w:sz w:val="18"/>
          <w:szCs w:val="18"/>
          <w:color w:val="231F20"/>
        </w:rPr>
        <w:t xml:space="preserve">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w:t>
      </w:r>
      <w:r>
        <w:rPr>
          <w:rFonts w:ascii="Arial" w:cs="Arial" w:eastAsia="Arial" w:hAnsi="Arial"/>
          <w:sz w:val="18"/>
          <w:szCs w:val="18"/>
          <w:color w:val="000000"/>
        </w:rPr>
        <w:t>reported results and may even retroactively affect</w:t>
      </w:r>
      <w:r>
        <w:rPr>
          <w:rFonts w:ascii="Arial" w:cs="Arial" w:eastAsia="Arial" w:hAnsi="Arial"/>
          <w:sz w:val="18"/>
          <w:szCs w:val="18"/>
          <w:color w:val="231F20"/>
        </w:rPr>
        <w:t xml:space="preserve"> </w:t>
      </w:r>
      <w:r>
        <w:rPr>
          <w:rFonts w:ascii="Arial" w:cs="Arial" w:eastAsia="Arial" w:hAnsi="Arial"/>
          <w:sz w:val="18"/>
          <w:szCs w:val="18"/>
          <w:color w:val="000000"/>
        </w:rPr>
        <w:t xml:space="preserve">previously reported transactions. </w:t>
      </w:r>
      <w:r>
        <w:rPr>
          <w:rFonts w:ascii="Arial" w:cs="Arial" w:eastAsia="Arial" w:hAnsi="Arial"/>
          <w:sz w:val="18"/>
          <w:szCs w:val="18"/>
          <w:color w:val="231F20"/>
        </w:rPr>
        <w:t>New accounting pronouncements and varying interpretations of accounting pronouncements have occurred</w:t>
      </w:r>
      <w:r>
        <w:rPr>
          <w:rFonts w:ascii="Arial" w:cs="Arial" w:eastAsia="Arial" w:hAnsi="Arial"/>
          <w:sz w:val="18"/>
          <w:szCs w:val="18"/>
          <w:color w:val="000000"/>
        </w:rPr>
        <w:t xml:space="preserve"> </w:t>
      </w:r>
      <w:r>
        <w:rPr>
          <w:rFonts w:ascii="Arial" w:cs="Arial" w:eastAsia="Arial" w:hAnsi="Arial"/>
          <w:sz w:val="18"/>
          <w:szCs w:val="18"/>
          <w:color w:val="231F20"/>
        </w:rPr>
        <w:t xml:space="preserve">and may occur in the future. Changes to existing rules or the questioning of current practices may harm our operating results or </w:t>
      </w:r>
      <w:r>
        <w:rPr>
          <w:rFonts w:ascii="Arial" w:cs="Arial" w:eastAsia="Arial" w:hAnsi="Arial"/>
          <w:sz w:val="18"/>
          <w:szCs w:val="18"/>
          <w:color w:val="000000"/>
        </w:rPr>
        <w:t>require that we</w:t>
      </w:r>
      <w:r>
        <w:rPr>
          <w:rFonts w:ascii="Arial" w:cs="Arial" w:eastAsia="Arial" w:hAnsi="Arial"/>
          <w:sz w:val="18"/>
          <w:szCs w:val="18"/>
          <w:color w:val="231F20"/>
        </w:rPr>
        <w:t xml:space="preserve"> </w:t>
      </w:r>
      <w:r>
        <w:rPr>
          <w:rFonts w:ascii="Arial" w:cs="Arial" w:eastAsia="Arial" w:hAnsi="Arial"/>
          <w:sz w:val="18"/>
          <w:szCs w:val="18"/>
          <w:color w:val="000000"/>
        </w:rPr>
        <w:t xml:space="preserve">make significant changes to our systems, processes and controls </w:t>
      </w:r>
      <w:r>
        <w:rPr>
          <w:rFonts w:ascii="Arial" w:cs="Arial" w:eastAsia="Arial" w:hAnsi="Arial"/>
          <w:sz w:val="18"/>
          <w:szCs w:val="18"/>
          <w:color w:val="231F20"/>
        </w:rPr>
        <w:t>or the way we conduct our business.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231F20"/>
        </w:rPr>
        <w:t>We have historically expensed commissions associated with sales of our solutions immediately upon receipt of a subscription order from a customer and generally recognize the revenues associated with such sale over the term of the agreement. Accordingly, our historical operating income in any period may not be indicative of our financial health and future performance. With the adoption of Accounting Standards Codification (ASC) 606, Revenue from Contracts with Customers effective January 1, 2018, we commenced capitalizing our commissions but elected to use the practical expedient in ASC 606 and expense commissions related to contracts with a renewal contract term of one year or less. As a result of the adoption of ASC 606, our future operating results may vary from period to period as our commission expense will not be directly comparable to historical periods.</w:t>
      </w:r>
    </w:p>
    <w:p>
      <w:pPr>
        <w:spacing w:after="0" w:line="260"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231F20"/>
        </w:rPr>
        <w:t>Through December 2017, we expensed commissions paid to our sales personnel in the quarter in which the related order was received. In contrast, we have generally recognized the revenues associated with a sale of our solutions ratably over the term of the subscription, which is typically one year. Accordingly, our historical results may have fluctuated based on timing of commission expenses as compared to revenue recognized. With the adoption of ASC 606, our operating results will also fluctuate and not be comparable to historical periods, and will continue to fluctuate as we will generally capitalize commissions for new and upsell contracts except for renewal sales that are one year or less. In addition, amortization of expense from previously capitalized contracts is expected to increase over time as our opening capitalized commission asset balance upon adoption of ASC 606 only included open contracts as of December 31, 2017.</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29"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 We could be subject to additional taxes.</w:t>
      </w:r>
    </w:p>
    <w:p>
      <w:pPr>
        <w:spacing w:after="0" w:line="129" w:lineRule="exact"/>
        <w:rPr>
          <w:sz w:val="20"/>
          <w:szCs w:val="20"/>
          <w:color w:val="auto"/>
        </w:rPr>
      </w:pPr>
    </w:p>
    <w:p>
      <w:pPr>
        <w:jc w:val="both"/>
        <w:ind w:firstLine="392"/>
        <w:spacing w:after="0" w:line="260" w:lineRule="auto"/>
        <w:rPr>
          <w:sz w:val="20"/>
          <w:szCs w:val="20"/>
          <w:color w:val="auto"/>
        </w:rPr>
      </w:pPr>
      <w:r>
        <w:rPr>
          <w:rFonts w:ascii="Arial" w:cs="Arial" w:eastAsia="Arial" w:hAnsi="Arial"/>
          <w:sz w:val="18"/>
          <w:szCs w:val="18"/>
          <w:color w:val="231F20"/>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excess tax benefits from stock-based compensation, and the valuation of deferred tax assets and liabilities, including our ability to utilize our federal and state net operating losses, which were $62.4 million as of December 31, 2018. Increases in our effective tax rate could harm our operating results.</w:t>
      </w:r>
    </w:p>
    <w:p>
      <w:pPr>
        <w:spacing w:after="0" w:line="175"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231F20"/>
        </w:rPr>
        <w:t>Additionally,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29"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8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spacing w:after="0" w:line="17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Our </w:t>
      </w:r>
      <w:r>
        <w:rPr>
          <w:rFonts w:ascii="Arial" w:cs="Arial" w:eastAsia="Arial" w:hAnsi="Arial"/>
          <w:sz w:val="18"/>
          <w:szCs w:val="18"/>
          <w:color w:val="000000"/>
        </w:rPr>
        <w:t>internal control over financial reporting is a process designed to provide reasonable assurance regarding the reliability of financial</w:t>
      </w:r>
      <w:r>
        <w:rPr>
          <w:rFonts w:ascii="Arial" w:cs="Arial" w:eastAsia="Arial" w:hAnsi="Arial"/>
          <w:sz w:val="18"/>
          <w:szCs w:val="18"/>
          <w:color w:val="231F20"/>
        </w:rPr>
        <w:t xml:space="preserve"> </w:t>
      </w:r>
      <w:r>
        <w:rPr>
          <w:rFonts w:ascii="Arial" w:cs="Arial" w:eastAsia="Arial" w:hAnsi="Arial"/>
          <w:sz w:val="18"/>
          <w:szCs w:val="18"/>
          <w:color w:val="000000"/>
        </w:rPr>
        <w:t xml:space="preserve">reporting and the preparation of financial statements in accordance with GAAP. Our </w:t>
      </w:r>
      <w:r>
        <w:rPr>
          <w:rFonts w:ascii="Arial" w:cs="Arial" w:eastAsia="Arial" w:hAnsi="Arial"/>
          <w:sz w:val="18"/>
          <w:szCs w:val="18"/>
          <w:color w:val="231F20"/>
        </w:rPr>
        <w:t>current controls and any new controls that we develop may</w:t>
      </w:r>
      <w:r>
        <w:rPr>
          <w:rFonts w:ascii="Arial" w:cs="Arial" w:eastAsia="Arial" w:hAnsi="Arial"/>
          <w:sz w:val="18"/>
          <w:szCs w:val="18"/>
          <w:color w:val="000000"/>
        </w:rPr>
        <w:t xml:space="preserve"> </w:t>
      </w:r>
      <w:r>
        <w:rPr>
          <w:rFonts w:ascii="Arial" w:cs="Arial" w:eastAsia="Arial" w:hAnsi="Arial"/>
          <w:sz w:val="18"/>
          <w:szCs w:val="18"/>
          <w:color w:val="231F20"/>
        </w:rPr>
        <w:t>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 was effective as of December 31, 2018,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25"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2" w:lineRule="exact"/>
        <w:rPr>
          <w:sz w:val="20"/>
          <w:szCs w:val="20"/>
          <w:color w:val="auto"/>
        </w:rPr>
      </w:pPr>
    </w:p>
    <w:p>
      <w:pPr>
        <w:ind w:left="660" w:hanging="328"/>
        <w:spacing w:after="0" w:line="359" w:lineRule="auto"/>
        <w:tabs>
          <w:tab w:leader="none" w:pos="6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general market conditions and overall fluctuations in U.S. equity markets;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accounting principles;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departures of any of our key personnel;</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related to litigation;</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265" w:lineRule="exact"/>
        <w:rPr>
          <w:sz w:val="20"/>
          <w:szCs w:val="20"/>
          <w:color w:val="auto"/>
        </w:rPr>
      </w:pPr>
    </w:p>
    <w:p>
      <w:pPr>
        <w:jc w:val="both"/>
        <w:ind w:firstLine="392"/>
        <w:spacing w:after="0" w:line="258"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225" w:lineRule="exact"/>
        <w:rPr>
          <w:sz w:val="20"/>
          <w:szCs w:val="20"/>
          <w:color w:val="auto"/>
        </w:rPr>
      </w:pPr>
    </w:p>
    <w:p>
      <w:pPr>
        <w:jc w:val="both"/>
        <w:ind w:firstLine="392"/>
        <w:spacing w:after="0" w:line="258"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78"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17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7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Quarterly Report on Form 10-Q could result in our actual operating results being different from our guidance, and the differences may be adverse and material.</w:t>
      </w:r>
    </w:p>
    <w:p>
      <w:pPr>
        <w:spacing w:after="0" w:line="16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10% or more of our outstanding common stock may prevent new investors from influencing significant corporate decisions.</w:t>
      </w:r>
    </w:p>
    <w:p>
      <w:pPr>
        <w:spacing w:after="0" w:line="1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As of March 31, 2019, our executive officers, directors and holders of 10% or more of our outstanding common stock beneficially owned, in the aggregate, approximately 30%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March 31, 2019, we had approximately 39.1 million shares of our common stock outstanding.</w:t>
      </w:r>
    </w:p>
    <w:p>
      <w:pPr>
        <w:spacing w:after="0" w:line="170"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231F20"/>
        </w:rPr>
        <w:t>In addition, as of March 31, 2019, there were approximately 1.2 million restricted stock units and options to purchase approximately 3.3 million shares of our common stock outstanding. If such options are exercised and restricted stock units are released, these additional shares will become available for sale. As of March 31, 2019, we had an aggregate of 3.8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175"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We cannot guarantee that our stock repurchase program will be fully consummated or that it will enhance stockholder value, and any stock repurchases we make could affect the price of our common stock.</w:t>
      </w:r>
    </w:p>
    <w:p>
      <w:pPr>
        <w:spacing w:after="0" w:line="129" w:lineRule="exact"/>
        <w:rPr>
          <w:sz w:val="20"/>
          <w:szCs w:val="20"/>
          <w:color w:val="auto"/>
        </w:rPr>
      </w:pPr>
    </w:p>
    <w:p>
      <w:pPr>
        <w:jc w:val="both"/>
        <w:ind w:firstLine="392"/>
        <w:spacing w:after="0" w:line="258" w:lineRule="auto"/>
        <w:rPr>
          <w:sz w:val="20"/>
          <w:szCs w:val="20"/>
          <w:color w:val="auto"/>
        </w:rPr>
      </w:pPr>
      <w:r>
        <w:rPr>
          <w:rFonts w:ascii="Arial" w:cs="Arial" w:eastAsia="Arial" w:hAnsi="Arial"/>
          <w:sz w:val="18"/>
          <w:szCs w:val="18"/>
          <w:color w:val="231F20"/>
        </w:rPr>
        <w:t>In February 2018, we announced a $100.0 million stock repurchase program, which was increased by an additional $100.0 million in October of 2018. Although our board of directors authorized this stock repurchase program, we are not obligated to repurchase any specific dollar amount or to acquire any specific number of shares. The stock repurchase program could affect the price of our common stock, increase volatility and diminish our cash reserves. In addition, it may be suspended or terminated at any time, which may result in a decrease in the price of our common stock. In the three months ended March 31, 2019, we repurchased 94,090 shares of our common stock for an aggregate purchase price of approximately $7.9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25"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63"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29" w:lineRule="exact"/>
        <w:rPr>
          <w:sz w:val="20"/>
          <w:szCs w:val="20"/>
          <w:color w:val="auto"/>
        </w:rPr>
      </w:pPr>
    </w:p>
    <w:p>
      <w:pPr>
        <w:jc w:val="both"/>
        <w:ind w:right="20" w:firstLine="405"/>
        <w:spacing w:after="0" w:line="29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37" w:lineRule="exact"/>
        <w:rPr>
          <w:sz w:val="20"/>
          <w:szCs w:val="20"/>
          <w:color w:val="auto"/>
        </w:rPr>
      </w:pPr>
    </w:p>
    <w:p>
      <w:pPr>
        <w:jc w:val="both"/>
        <w:ind w:left="660" w:hanging="328"/>
        <w:spacing w:after="0" w:line="27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 which would increase the number of outstanding shares and could thwart a takeover attempt;</w:t>
      </w:r>
    </w:p>
    <w:p>
      <w:pPr>
        <w:spacing w:after="0" w:line="5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227" w:lineRule="exact"/>
        <w:rPr>
          <w:sz w:val="20"/>
          <w:szCs w:val="20"/>
          <w:color w:val="auto"/>
        </w:rPr>
      </w:pPr>
    </w:p>
    <w:p>
      <w:pPr>
        <w:ind w:right="40" w:firstLine="405"/>
        <w:spacing w:after="0" w:line="258" w:lineRule="auto"/>
        <w:rPr>
          <w:sz w:val="20"/>
          <w:szCs w:val="20"/>
          <w:color w:val="auto"/>
        </w:rPr>
      </w:pPr>
      <w:r>
        <w:rPr>
          <w:rFonts w:ascii="Arial" w:cs="Arial" w:eastAsia="Arial" w:hAnsi="Arial"/>
          <w:sz w:val="18"/>
          <w:szCs w:val="18"/>
          <w:color w:val="auto"/>
        </w:rPr>
        <w:t xml:space="preserve">On February 5, 2018, our board of directors authorized a $100.0 million share repurchase program, which was announced on February 12, 2018. On October 30, 2018, we announced that our board of directors had authorized an increase of $100.0 million to the original share repurchase program authorization. Share repurchases may be effected from time to time through open market purchases or pursuant to a Rule 10b5-1 plan until October 30, 2020. During the </w:t>
      </w:r>
      <w:r>
        <w:rPr>
          <w:rFonts w:ascii="Arial" w:cs="Arial" w:eastAsia="Arial" w:hAnsi="Arial"/>
          <w:sz w:val="18"/>
          <w:szCs w:val="18"/>
          <w:color w:val="231F20"/>
        </w:rPr>
        <w:t>three months ended March 31, 2019</w:t>
      </w:r>
      <w:r>
        <w:rPr>
          <w:rFonts w:ascii="Arial" w:cs="Arial" w:eastAsia="Arial" w:hAnsi="Arial"/>
          <w:sz w:val="18"/>
          <w:szCs w:val="18"/>
          <w:color w:val="auto"/>
        </w:rPr>
        <w:t>, we repurchased 94,090 shares of common stock for approximately $7.9 million. All share repurchases were made using cash resources. As of March 31, 2019, approximately $107.1 million remained available for share repurchases pursuant to our share repurchase program.</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our repurchases of common stock during three months ended March 31, 2019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 Shares</w:t>
            </w:r>
          </w:p>
        </w:tc>
        <w:tc>
          <w:tcPr>
            <w:tcW w:w="100" w:type="dxa"/>
            <w:vAlign w:val="bottom"/>
          </w:tcPr>
          <w:p>
            <w:pPr>
              <w:spacing w:after="0"/>
              <w:rPr>
                <w:sz w:val="16"/>
                <w:szCs w:val="16"/>
                <w:color w:val="auto"/>
              </w:rPr>
            </w:pPr>
          </w:p>
        </w:tc>
        <w:tc>
          <w:tcPr>
            <w:tcW w:w="2060" w:type="dxa"/>
            <w:vAlign w:val="bottom"/>
            <w:gridSpan w:val="2"/>
          </w:tcPr>
          <w:p>
            <w:pPr>
              <w:ind w:left="60"/>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6"/>
                <w:szCs w:val="16"/>
                <w:color w:val="auto"/>
              </w:rPr>
            </w:pP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6"/>
                <w:szCs w:val="16"/>
                <w:color w:val="auto"/>
              </w:rPr>
            </w:pPr>
          </w:p>
        </w:tc>
        <w:tc>
          <w:tcPr>
            <w:tcW w:w="1360" w:type="dxa"/>
            <w:vAlign w:val="bottom"/>
            <w:gridSpan w:val="3"/>
          </w:tcPr>
          <w:p>
            <w:pPr>
              <w:ind w:left="80"/>
              <w:spacing w:after="0"/>
              <w:rPr>
                <w:sz w:val="20"/>
                <w:szCs w:val="20"/>
                <w:color w:val="auto"/>
              </w:rPr>
            </w:pPr>
            <w:r>
              <w:rPr>
                <w:rFonts w:ascii="Arial" w:cs="Arial" w:eastAsia="Arial" w:hAnsi="Arial"/>
                <w:sz w:val="16"/>
                <w:szCs w:val="16"/>
                <w:b w:val="1"/>
                <w:bCs w:val="1"/>
                <w:color w:val="auto"/>
              </w:rPr>
              <w:t>Average Price</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 Plan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Pr>
          <w:p>
            <w:pPr>
              <w:jc w:val="right"/>
              <w:ind w:right="139"/>
              <w:spacing w:after="0"/>
              <w:rPr>
                <w:sz w:val="20"/>
                <w:szCs w:val="20"/>
                <w:color w:val="auto"/>
              </w:rPr>
            </w:pPr>
            <w:r>
              <w:rPr>
                <w:rFonts w:ascii="Arial" w:cs="Arial" w:eastAsia="Arial" w:hAnsi="Arial"/>
                <w:sz w:val="16"/>
                <w:szCs w:val="16"/>
                <w:b w:val="1"/>
                <w:bCs w:val="1"/>
                <w:color w:val="auto"/>
              </w:rPr>
              <w:t>Purchased under the</w:t>
            </w:r>
          </w:p>
        </w:tc>
      </w:tr>
      <w:tr>
        <w:trPr>
          <w:trHeight w:val="23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Paid per Share</w:t>
            </w:r>
          </w:p>
        </w:tc>
        <w:tc>
          <w:tcPr>
            <w:tcW w:w="10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or Program</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Plan or Program</w:t>
            </w:r>
          </w:p>
        </w:tc>
      </w:tr>
      <w:tr>
        <w:trPr>
          <w:trHeight w:val="254"/>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1, 2019 - January 31, 2019</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114,959,626</w:t>
            </w:r>
          </w:p>
        </w:tc>
      </w:tr>
      <w:tr>
        <w:trPr>
          <w:trHeight w:val="262"/>
        </w:trPr>
        <w:tc>
          <w:tcPr>
            <w:tcW w:w="4360" w:type="dxa"/>
            <w:vAlign w:val="bottom"/>
          </w:tcPr>
          <w:p>
            <w:pPr>
              <w:ind w:left="40"/>
              <w:spacing w:after="0"/>
              <w:rPr>
                <w:sz w:val="20"/>
                <w:szCs w:val="20"/>
                <w:color w:val="auto"/>
              </w:rPr>
            </w:pPr>
            <w:r>
              <w:rPr>
                <w:rFonts w:ascii="Arial" w:cs="Arial" w:eastAsia="Arial" w:hAnsi="Arial"/>
                <w:sz w:val="16"/>
                <w:szCs w:val="16"/>
                <w:color w:val="auto"/>
              </w:rPr>
              <w:t>February 1, 2019 - February 28, 2019</w:t>
            </w:r>
          </w:p>
        </w:tc>
        <w:tc>
          <w:tcPr>
            <w:tcW w:w="1380" w:type="dxa"/>
            <w:vAlign w:val="bottom"/>
            <w:gridSpan w:val="2"/>
          </w:tcPr>
          <w:p>
            <w:pPr>
              <w:jc w:val="right"/>
              <w:ind w:right="39"/>
              <w:spacing w:after="0"/>
              <w:rPr>
                <w:sz w:val="20"/>
                <w:szCs w:val="20"/>
                <w:color w:val="auto"/>
              </w:rPr>
            </w:pPr>
            <w:r>
              <w:rPr>
                <w:rFonts w:ascii="Arial" w:cs="Arial" w:eastAsia="Arial" w:hAnsi="Arial"/>
                <w:sz w:val="16"/>
                <w:szCs w:val="16"/>
                <w:color w:val="auto"/>
              </w:rPr>
              <w:t>94,090</w:t>
            </w:r>
          </w:p>
        </w:tc>
        <w:tc>
          <w:tcPr>
            <w:tcW w:w="54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83.66</w:t>
            </w:r>
          </w:p>
        </w:tc>
        <w:tc>
          <w:tcPr>
            <w:tcW w:w="100" w:type="dxa"/>
            <w:vAlign w:val="bottom"/>
          </w:tcPr>
          <w:p>
            <w:pPr>
              <w:spacing w:after="0"/>
              <w:rPr>
                <w:sz w:val="22"/>
                <w:szCs w:val="22"/>
                <w:color w:val="auto"/>
              </w:rPr>
            </w:pP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94,090</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107,088,315</w:t>
            </w:r>
          </w:p>
        </w:tc>
      </w:tr>
      <w:tr>
        <w:trPr>
          <w:trHeight w:val="271"/>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1, 2019 - March 31, 2019</w:t>
            </w: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107,088,315</w:t>
            </w:r>
          </w:p>
        </w:tc>
      </w:tr>
      <w:tr>
        <w:trPr>
          <w:trHeight w:val="269"/>
        </w:trPr>
        <w:tc>
          <w:tcPr>
            <w:tcW w:w="4360" w:type="dxa"/>
            <w:vAlign w:val="bottom"/>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94,090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94,090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231F20"/>
        </w:rPr>
        <w:t>Item 6. Exhibits</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Exhibit</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763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55" w:lineRule="exact"/>
        <w:rPr>
          <w:sz w:val="20"/>
          <w:szCs w:val="20"/>
          <w:color w:val="auto"/>
        </w:rPr>
      </w:pPr>
    </w:p>
    <w:p>
      <w:pPr>
        <w:ind w:left="880" w:hanging="35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SCH</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LAB</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60890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line="246" w:lineRule="exact"/>
        <w:rPr>
          <w:sz w:val="20"/>
          <w:szCs w:val="20"/>
          <w:color w:val="auto"/>
        </w:rPr>
      </w:pPr>
    </w:p>
    <w:p>
      <w:pPr>
        <w:ind w:right="200"/>
        <w:spacing w:after="0" w:line="276" w:lineRule="auto"/>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Certification of Chief Executive Officer pursuant to Rule 13a-14(a) or Rule 15d-14(a) of the Securities Exchange Act of</w:t>
        </w:r>
      </w:hyperlink>
      <w:r>
        <w:rPr>
          <w:rFonts w:ascii="Arial" w:cs="Arial" w:eastAsia="Arial" w:hAnsi="Arial"/>
          <w:sz w:val="18"/>
          <w:szCs w:val="18"/>
          <w:u w:val="single" w:color="auto"/>
          <w:color w:val="0000FF"/>
        </w:rPr>
        <w:t xml:space="preserve"> </w:t>
      </w:r>
      <w:hyperlink w:anchor="page72">
        <w:r>
          <w:rPr>
            <w:rFonts w:ascii="Arial" w:cs="Arial" w:eastAsia="Arial" w:hAnsi="Arial"/>
            <w:sz w:val="18"/>
            <w:szCs w:val="18"/>
            <w:u w:val="single" w:color="auto"/>
            <w:color w:val="0000FF"/>
          </w:rPr>
          <w:t>1934, as adopted pursuant to Section 302 of The Sarbanes-Oxley Act of 2002.</w:t>
        </w:r>
      </w:hyperlink>
    </w:p>
    <w:p>
      <w:pPr>
        <w:spacing w:after="0" w:line="186" w:lineRule="exact"/>
        <w:rPr>
          <w:sz w:val="20"/>
          <w:szCs w:val="20"/>
          <w:color w:val="auto"/>
        </w:rPr>
      </w:pPr>
    </w:p>
    <w:p>
      <w:pPr>
        <w:ind w:right="260"/>
        <w:spacing w:after="0" w:line="276" w:lineRule="auto"/>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Certification of Chief Financial Officer pursuant to Rule 13a-14(a) or Rule 15d-14(a) of the Securities Exchange Act of</w:t>
        </w:r>
      </w:hyperlink>
      <w:r>
        <w:rPr>
          <w:rFonts w:ascii="Arial" w:cs="Arial" w:eastAsia="Arial" w:hAnsi="Arial"/>
          <w:sz w:val="18"/>
          <w:szCs w:val="18"/>
          <w:u w:val="single" w:color="auto"/>
          <w:color w:val="0000FF"/>
        </w:rPr>
        <w:t xml:space="preserve"> </w:t>
      </w:r>
      <w:hyperlink w:anchor="page73">
        <w:r>
          <w:rPr>
            <w:rFonts w:ascii="Arial" w:cs="Arial" w:eastAsia="Arial" w:hAnsi="Arial"/>
            <w:sz w:val="18"/>
            <w:szCs w:val="18"/>
            <w:u w:val="single" w:color="auto"/>
            <w:color w:val="0000FF"/>
          </w:rPr>
          <w:t>1934, as adopted pursuant to Section 302 of The Sarbanes-Oxley Act of 2002.</w:t>
        </w:r>
      </w:hyperlink>
    </w:p>
    <w:p>
      <w:pPr>
        <w:spacing w:after="0" w:line="186" w:lineRule="exact"/>
        <w:rPr>
          <w:sz w:val="20"/>
          <w:szCs w:val="20"/>
          <w:color w:val="auto"/>
        </w:rPr>
      </w:pPr>
    </w:p>
    <w:p>
      <w:pPr>
        <w:ind w:right="200"/>
        <w:spacing w:after="0" w:line="276" w:lineRule="auto"/>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Certification of Chief Executive Officer pursuant to Rule 13a-14(b) or Rule 15d-14(b) of the Securities Exchange Act of</w:t>
        </w:r>
      </w:hyperlink>
      <w:r>
        <w:rPr>
          <w:rFonts w:ascii="Arial" w:cs="Arial" w:eastAsia="Arial" w:hAnsi="Arial"/>
          <w:sz w:val="18"/>
          <w:szCs w:val="18"/>
          <w:u w:val="single" w:color="auto"/>
          <w:color w:val="0000FF"/>
        </w:rPr>
        <w:t xml:space="preserve"> </w:t>
      </w:r>
      <w:hyperlink w:anchor="page74">
        <w:r>
          <w:rPr>
            <w:rFonts w:ascii="Arial" w:cs="Arial" w:eastAsia="Arial" w:hAnsi="Arial"/>
            <w:sz w:val="18"/>
            <w:szCs w:val="18"/>
            <w:u w:val="single" w:color="auto"/>
            <w:color w:val="0000FF"/>
          </w:rPr>
          <w:t>1934 and 18 U.S.C. Section 1350 as adopted pursuant to Section 906 of The Sarbanes-Oxley Act of 2002.</w:t>
        </w:r>
      </w:hyperlink>
    </w:p>
    <w:p>
      <w:pPr>
        <w:spacing w:after="0" w:line="226" w:lineRule="exact"/>
        <w:rPr>
          <w:sz w:val="20"/>
          <w:szCs w:val="20"/>
          <w:color w:val="auto"/>
        </w:rPr>
      </w:pPr>
    </w:p>
    <w:p>
      <w:pPr>
        <w:ind w:right="260"/>
        <w:spacing w:after="0" w:line="276" w:lineRule="auto"/>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Certification of Chief Financial Officer pursuant to Rule 13a-14(b) or Rule 15d-14(b) of the Securities Exchange Act of</w:t>
        </w:r>
      </w:hyperlink>
      <w:r>
        <w:rPr>
          <w:rFonts w:ascii="Arial" w:cs="Arial" w:eastAsia="Arial" w:hAnsi="Arial"/>
          <w:sz w:val="18"/>
          <w:szCs w:val="18"/>
          <w:u w:val="single" w:color="auto"/>
          <w:color w:val="0000FF"/>
        </w:rPr>
        <w:t xml:space="preserve"> </w:t>
      </w:r>
      <w:hyperlink w:anchor="page75">
        <w:r>
          <w:rPr>
            <w:rFonts w:ascii="Arial" w:cs="Arial" w:eastAsia="Arial" w:hAnsi="Arial"/>
            <w:sz w:val="18"/>
            <w:szCs w:val="18"/>
            <w:u w:val="single" w:color="auto"/>
            <w:color w:val="0000FF"/>
          </w:rPr>
          <w:t>1934 and 18 U.S.C. Section 1350 as adopted pursuant to Section 906 of The Sarbanes-Oxley Act of 2002.</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231F20"/>
        </w:rPr>
        <w:t>XBRL Instance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Schema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Calculation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Definition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Labels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Presentation Linkbase Document.</w:t>
      </w:r>
    </w:p>
    <w:p>
      <w:pPr>
        <w:spacing w:after="0" w:line="200" w:lineRule="exact"/>
        <w:rPr>
          <w:sz w:val="20"/>
          <w:szCs w:val="20"/>
          <w:color w:val="auto"/>
        </w:rPr>
      </w:pPr>
    </w:p>
    <w:p>
      <w:pPr>
        <w:sectPr>
          <w:pgSz w:w="11900" w:h="16838" w:orient="portrait"/>
          <w:cols w:equalWidth="0" w:num="2">
            <w:col w:w="1360" w:space="480"/>
            <w:col w:w="9580"/>
          </w:cols>
          <w:pgMar w:left="240" w:top="358" w:right="239" w:bottom="1440" w:gutter="0" w:footer="0" w:header="0"/>
        </w:sectPr>
      </w:pPr>
    </w:p>
    <w:p>
      <w:pPr>
        <w:spacing w:after="0" w:line="66" w:lineRule="exact"/>
        <w:rPr>
          <w:sz w:val="20"/>
          <w:szCs w:val="20"/>
          <w:color w:val="auto"/>
        </w:rPr>
      </w:pPr>
    </w:p>
    <w:p>
      <w:pPr>
        <w:jc w:val="both"/>
        <w:ind w:left="500" w:hanging="6"/>
        <w:spacing w:after="0" w:line="264" w:lineRule="auto"/>
        <w:tabs>
          <w:tab w:leader="none" w:pos="907"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58" w:right="239" w:bottom="1440" w:gutter="0" w:footer="0" w:header="0"/>
          <w:type w:val="continuous"/>
        </w:sectPr>
      </w:pPr>
    </w:p>
    <w:bookmarkStart w:id="70" w:name="page71"/>
    <w:bookmarkEnd w:id="7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68" w:lineRule="exact"/>
        <w:rPr>
          <w:sz w:val="20"/>
          <w:szCs w:val="20"/>
          <w:color w:val="auto"/>
        </w:rPr>
      </w:pPr>
    </w:p>
    <w:p>
      <w:pPr>
        <w:ind w:left="80" w:firstLine="432"/>
        <w:spacing w:after="0" w:line="292"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Foster City, State of California on May 3, 2019.</w:t>
      </w:r>
    </w:p>
    <w:p>
      <w:pPr>
        <w:spacing w:after="0" w:line="305"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27305</wp:posOffset>
            </wp:positionV>
            <wp:extent cx="23583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4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Philippe F. Courtot</w:t>
      </w:r>
    </w:p>
    <w:p>
      <w:pPr>
        <w:spacing w:after="0" w:line="50"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Chairman, President and Chief</w:t>
      </w:r>
    </w:p>
    <w:p>
      <w:pPr>
        <w:spacing w:after="0" w:line="18"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Executive Officer</w:t>
      </w:r>
    </w:p>
    <w:p>
      <w:pPr>
        <w:spacing w:after="0" w:line="4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executive officer)</w:t>
      </w:r>
    </w:p>
    <w:p>
      <w:pPr>
        <w:spacing w:after="0" w:line="17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27305</wp:posOffset>
            </wp:positionV>
            <wp:extent cx="23583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4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Melissa B. Fisher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Chief Financial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33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340" w:hanging="332"/>
        <w:spacing w:after="0" w:line="29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3" w:lineRule="exact"/>
        <w:rPr>
          <w:rFonts w:ascii="Arial" w:cs="Arial" w:eastAsia="Arial" w:hAnsi="Arial"/>
          <w:sz w:val="18"/>
          <w:szCs w:val="18"/>
          <w:color w:val="auto"/>
        </w:rPr>
      </w:pPr>
    </w:p>
    <w:p>
      <w:pPr>
        <w:jc w:val="both"/>
        <w:ind w:left="980" w:hanging="324"/>
        <w:spacing w:after="0" w:line="271" w:lineRule="auto"/>
        <w:tabs>
          <w:tab w:leader="none" w:pos="93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jc w:val="both"/>
        <w:ind w:left="980" w:hanging="324"/>
        <w:spacing w:after="0" w:line="271" w:lineRule="auto"/>
        <w:tabs>
          <w:tab w:leader="none" w:pos="92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980" w:hanging="324"/>
        <w:spacing w:after="0" w:line="271" w:lineRule="auto"/>
        <w:tabs>
          <w:tab w:leader="none" w:pos="9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980" w:right="20" w:hanging="324"/>
        <w:spacing w:after="0" w:line="271" w:lineRule="auto"/>
        <w:tabs>
          <w:tab w:leader="none" w:pos="94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340" w:hanging="332"/>
        <w:spacing w:after="0" w:line="29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4" w:lineRule="exact"/>
        <w:rPr>
          <w:rFonts w:ascii="Arial" w:cs="Arial" w:eastAsia="Arial" w:hAnsi="Arial"/>
          <w:sz w:val="18"/>
          <w:szCs w:val="18"/>
          <w:color w:val="auto"/>
        </w:rPr>
      </w:pPr>
    </w:p>
    <w:p>
      <w:pPr>
        <w:ind w:left="980" w:hanging="324"/>
        <w:spacing w:after="0" w:line="292" w:lineRule="auto"/>
        <w:tabs>
          <w:tab w:leader="none" w:pos="93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980" w:right="20" w:hanging="324"/>
        <w:spacing w:after="0" w:line="292" w:lineRule="auto"/>
        <w:tabs>
          <w:tab w:leader="none" w:pos="9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3, 2019</w:t>
      </w:r>
    </w:p>
    <w:p>
      <w:pPr>
        <w:spacing w:after="0" w:line="3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President and Chief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7"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Melissa B. Fisher, certify that:</w:t>
      </w:r>
    </w:p>
    <w:p>
      <w:pPr>
        <w:spacing w:after="0" w:line="33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340" w:hanging="332"/>
        <w:spacing w:after="0" w:line="292"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3" w:lineRule="exact"/>
        <w:rPr>
          <w:rFonts w:ascii="Arial" w:cs="Arial" w:eastAsia="Arial" w:hAnsi="Arial"/>
          <w:sz w:val="18"/>
          <w:szCs w:val="18"/>
          <w:color w:val="auto"/>
        </w:rPr>
      </w:pPr>
    </w:p>
    <w:p>
      <w:pPr>
        <w:jc w:val="both"/>
        <w:ind w:left="980" w:hanging="324"/>
        <w:spacing w:after="0" w:line="271" w:lineRule="auto"/>
        <w:tabs>
          <w:tab w:leader="none" w:pos="93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jc w:val="both"/>
        <w:ind w:left="980" w:hanging="324"/>
        <w:spacing w:after="0" w:line="271" w:lineRule="auto"/>
        <w:tabs>
          <w:tab w:leader="none" w:pos="92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980" w:hanging="324"/>
        <w:spacing w:after="0" w:line="271" w:lineRule="auto"/>
        <w:tabs>
          <w:tab w:leader="none" w:pos="944"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980" w:right="20" w:hanging="324"/>
        <w:spacing w:after="0" w:line="271" w:lineRule="auto"/>
        <w:tabs>
          <w:tab w:leader="none" w:pos="9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340" w:hanging="332"/>
        <w:spacing w:after="0" w:line="292"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4" w:lineRule="exact"/>
        <w:rPr>
          <w:rFonts w:ascii="Arial" w:cs="Arial" w:eastAsia="Arial" w:hAnsi="Arial"/>
          <w:sz w:val="18"/>
          <w:szCs w:val="18"/>
          <w:color w:val="auto"/>
        </w:rPr>
      </w:pPr>
    </w:p>
    <w:p>
      <w:pPr>
        <w:ind w:left="980" w:hanging="324"/>
        <w:spacing w:after="0" w:line="292" w:lineRule="auto"/>
        <w:tabs>
          <w:tab w:leader="none" w:pos="93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980" w:right="20" w:hanging="324"/>
        <w:spacing w:after="0" w:line="292" w:lineRule="auto"/>
        <w:tabs>
          <w:tab w:leader="none" w:pos="94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3, 2019</w:t>
      </w:r>
    </w:p>
    <w:p>
      <w:pPr>
        <w:spacing w:after="0" w:line="3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7"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66" w:lineRule="exact"/>
        <w:rPr>
          <w:sz w:val="20"/>
          <w:szCs w:val="20"/>
          <w:color w:val="auto"/>
        </w:rPr>
      </w:pPr>
    </w:p>
    <w:p>
      <w:pPr>
        <w:jc w:val="center"/>
        <w:ind w:left="260" w:right="2400"/>
        <w:spacing w:after="0" w:line="277"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2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March 31, 2019,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170" w:lineRule="exact"/>
        <w:rPr>
          <w:sz w:val="20"/>
          <w:szCs w:val="20"/>
          <w:color w:val="auto"/>
        </w:rPr>
      </w:pPr>
    </w:p>
    <w:p>
      <w:pPr>
        <w:ind w:left="780" w:hanging="27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526"/>
        <w:spacing w:after="0" w:line="292" w:lineRule="auto"/>
        <w:tabs>
          <w:tab w:leader="none" w:pos="789"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3, 2019</w:t>
      </w:r>
    </w:p>
    <w:p>
      <w:pPr>
        <w:spacing w:after="0" w:line="3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President and Chief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7"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77"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3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March 31, 2019, as filed with the Securities and Exchange Commission on the date hereof (the “Report”), I, Melissa B. Fisher, Chief Financial Officer of the Company, certify, pursuant to 18 U.S.C. § 1350, as adopted pursuant to § 906 of the Sarbanes-Oxley Act of 2002, that, to the best of my knowledge:</w:t>
      </w:r>
    </w:p>
    <w:p>
      <w:pPr>
        <w:spacing w:after="0" w:line="136" w:lineRule="exact"/>
        <w:rPr>
          <w:sz w:val="20"/>
          <w:szCs w:val="20"/>
          <w:color w:val="auto"/>
        </w:rPr>
      </w:pPr>
    </w:p>
    <w:p>
      <w:pPr>
        <w:ind w:left="780" w:hanging="272"/>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526"/>
        <w:spacing w:after="0" w:line="292" w:lineRule="auto"/>
        <w:tabs>
          <w:tab w:leader="none" w:pos="789"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3, 2019</w:t>
      </w:r>
    </w:p>
    <w:p>
      <w:pPr>
        <w:spacing w:after="0" w:line="3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01"/>
    </w:lvl>
  </w:abstractNum>
  <w:abstractNum w:abstractNumId="17">
    <w:nsid w:val="2443A858"/>
    <w:multiLevelType w:val="hybridMultilevel"/>
    <w:lvl w:ilvl="0">
      <w:lvlJc w:val="left"/>
      <w:lvlText w:val="%1"/>
      <w:numFmt w:val="decimal"/>
      <w:start w:val="101"/>
    </w:lvl>
  </w:abstractNum>
  <w:abstractNum w:abstractNumId="18">
    <w:nsid w:val="2D1D5AE9"/>
    <w:multiLevelType w:val="hybridMultilevel"/>
    <w:lvl w:ilvl="0">
      <w:lvlJc w:val="left"/>
      <w:lvlText w:val="%1"/>
      <w:numFmt w:val="decimal"/>
      <w:start w:val="101"/>
    </w:lvl>
  </w:abstractNum>
  <w:abstractNum w:abstractNumId="19">
    <w:nsid w:val="6763845E"/>
    <w:multiLevelType w:val="hybridMultilevel"/>
    <w:lvl w:ilvl="0">
      <w:lvlJc w:val="left"/>
      <w:lvlText w:val="%1"/>
      <w:numFmt w:val="decimal"/>
      <w:start w:val="101"/>
    </w:lvl>
  </w:abstractNum>
  <w:abstractNum w:abstractNumId="20">
    <w:nsid w:val="75A2A8D4"/>
    <w:multiLevelType w:val="hybridMultilevel"/>
    <w:lvl w:ilvl="0">
      <w:lvlJc w:val="left"/>
      <w:lvlText w:val="%1"/>
      <w:numFmt w:val="decimal"/>
      <w:start w:val="101"/>
    </w:lvl>
  </w:abstractNum>
  <w:abstractNum w:abstractNumId="21">
    <w:nsid w:val="8EDBDAB"/>
    <w:multiLevelType w:val="hybridMultilevel"/>
    <w:lvl w:ilvl="0">
      <w:lvlJc w:val="left"/>
      <w:lvlText w:val="%1"/>
      <w:numFmt w:val="decimal"/>
      <w:start w:val="10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decimal"/>
      <w:start w:val="2"/>
    </w:lvl>
  </w:abstractNum>
  <w:abstractNum w:abstractNumId="26">
    <w:nsid w:val="54E49EB4"/>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2019-12-28T12:47:29Z</dcterms:created>
  <dcterms:modified xsi:type="dcterms:W3CDTF">2019-12-28T12:47:29Z</dcterms:modified>
</cp:coreProperties>
</file>