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231F20"/>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231F20"/>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231F20"/>
        </w:rPr>
        <w:t>FORM 10-K</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269" w:lineRule="exact"/>
        <w:rPr>
          <w:sz w:val="24"/>
          <w:szCs w:val="24"/>
          <w:color w:val="auto"/>
        </w:rPr>
      </w:pPr>
    </w:p>
    <w:p>
      <w:pPr>
        <w:ind w:left="700" w:hanging="665"/>
        <w:spacing w:after="0"/>
        <w:tabs>
          <w:tab w:leader="none" w:pos="7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4" w:lineRule="exact"/>
        <w:rPr>
          <w:rFonts w:ascii="Times New Roman" w:cs="Times New Roman" w:eastAsia="Times New Roman" w:hAnsi="Times New Roman"/>
          <w:sz w:val="18"/>
          <w:szCs w:val="18"/>
          <w:color w:val="auto"/>
        </w:rPr>
      </w:pPr>
    </w:p>
    <w:p>
      <w:pPr>
        <w:ind w:left="3840"/>
        <w:spacing w:after="0"/>
        <w:rPr>
          <w:rFonts w:ascii="Times New Roman" w:cs="Times New Roman" w:eastAsia="Times New Roman" w:hAnsi="Times New Roman"/>
          <w:sz w:val="18"/>
          <w:szCs w:val="18"/>
          <w:color w:val="auto"/>
        </w:rPr>
      </w:pPr>
      <w:r>
        <w:rPr>
          <w:rFonts w:ascii="Arial" w:cs="Arial" w:eastAsia="Arial" w:hAnsi="Arial"/>
          <w:sz w:val="16"/>
          <w:szCs w:val="16"/>
          <w:b w:val="1"/>
          <w:bCs w:val="1"/>
          <w:color w:val="auto"/>
        </w:rPr>
        <w:t>For the Annual Period Ended December 31, 2018</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760" w:hanging="725"/>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001-35662</w:t>
      </w:r>
    </w:p>
    <w:p>
      <w:pPr>
        <w:spacing w:after="0" w:line="5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231F20"/>
        </w:rPr>
        <w:t>QUALYS,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211" w:lineRule="exact"/>
        <w:rPr>
          <w:sz w:val="24"/>
          <w:szCs w:val="24"/>
          <w:color w:val="auto"/>
        </w:rPr>
      </w:pPr>
    </w:p>
    <w:p>
      <w:pPr>
        <w:ind w:left="2080"/>
        <w:spacing w:after="0"/>
        <w:tabs>
          <w:tab w:leader="none" w:pos="85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77-0534145</w:t>
      </w:r>
    </w:p>
    <w:p>
      <w:pPr>
        <w:spacing w:after="0" w:line="109" w:lineRule="exact"/>
        <w:rPr>
          <w:sz w:val="24"/>
          <w:szCs w:val="24"/>
          <w:color w:val="auto"/>
        </w:rPr>
      </w:pPr>
    </w:p>
    <w:p>
      <w:pPr>
        <w:ind w:left="1420"/>
        <w:spacing w:after="0"/>
        <w:tabs>
          <w:tab w:leader="none" w:pos="84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4"/>
          <w:szCs w:val="14"/>
          <w:b w:val="1"/>
          <w:bCs w:val="1"/>
          <w:color w:val="auto"/>
        </w:rPr>
        <w:t>(I.R.S. Employer</w:t>
      </w:r>
    </w:p>
    <w:p>
      <w:pPr>
        <w:spacing w:after="0" w:line="109" w:lineRule="exact"/>
        <w:rPr>
          <w:sz w:val="24"/>
          <w:szCs w:val="24"/>
          <w:color w:val="auto"/>
        </w:rPr>
      </w:pPr>
    </w:p>
    <w:p>
      <w:pPr>
        <w:ind w:left="1380"/>
        <w:spacing w:after="0"/>
        <w:tabs>
          <w:tab w:leader="none" w:pos="81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4"/>
          <w:szCs w:val="14"/>
          <w:b w:val="1"/>
          <w:bCs w:val="1"/>
          <w:color w:val="auto"/>
        </w:rPr>
        <w:t>Identification Number)</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919 E. Hillsdale Boulevard, 4th Floor, Foster City, California 94404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801-6100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Securities registered pursuant to section 12(b) of the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50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Title of each class</w:t>
            </w:r>
          </w:p>
        </w:tc>
        <w:tc>
          <w:tcPr>
            <w:tcW w:w="1360" w:type="dxa"/>
            <w:vAlign w:val="bottom"/>
          </w:tcPr>
          <w:p>
            <w:pPr>
              <w:spacing w:after="0"/>
              <w:rPr>
                <w:sz w:val="17"/>
                <w:szCs w:val="17"/>
                <w:color w:val="auto"/>
              </w:rPr>
            </w:pPr>
          </w:p>
        </w:tc>
        <w:tc>
          <w:tcPr>
            <w:tcW w:w="50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2"/>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Common stock, $0.001 par value per share</w:t>
            </w:r>
          </w:p>
        </w:tc>
        <w:tc>
          <w:tcPr>
            <w:tcW w:w="5020" w:type="dxa"/>
            <w:vAlign w:val="bottom"/>
          </w:tcPr>
          <w:p>
            <w:pPr>
              <w:ind w:left="20"/>
              <w:spacing w:after="0"/>
              <w:rPr>
                <w:sz w:val="20"/>
                <w:szCs w:val="20"/>
                <w:color w:val="auto"/>
              </w:rPr>
            </w:pPr>
            <w:r>
              <w:rPr>
                <w:rFonts w:ascii="Arial" w:cs="Arial" w:eastAsia="Arial" w:hAnsi="Arial"/>
                <w:sz w:val="18"/>
                <w:szCs w:val="18"/>
                <w:color w:val="auto"/>
              </w:rPr>
              <w:t>NASDAQ Stock Market</w:t>
            </w:r>
          </w:p>
        </w:tc>
      </w:tr>
    </w:tbl>
    <w:p>
      <w:pPr>
        <w:spacing w:after="0" w:line="264"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 xml:space="preserve">Securities registered pursuant to section 12(g) of the Act: </w:t>
      </w:r>
      <w:r>
        <w:rPr>
          <w:rFonts w:ascii="Arial" w:cs="Arial" w:eastAsia="Arial" w:hAnsi="Arial"/>
          <w:sz w:val="14"/>
          <w:szCs w:val="14"/>
          <w:color w:val="231F20"/>
        </w:rPr>
        <w:t>None</w:t>
      </w:r>
    </w:p>
    <w:p>
      <w:pPr>
        <w:spacing w:after="0" w:line="52" w:lineRule="exact"/>
        <w:rPr>
          <w:sz w:val="24"/>
          <w:szCs w:val="24"/>
          <w:color w:val="auto"/>
        </w:rPr>
      </w:pPr>
    </w:p>
    <w:p>
      <w:pPr>
        <w:ind w:right="2140"/>
        <w:spacing w:after="0" w:line="456"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x</w:t>
      </w:r>
    </w:p>
    <w:p>
      <w:pPr>
        <w:jc w:val="both"/>
        <w:ind w:right="80"/>
        <w:spacing w:after="0" w:line="268"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112" w:lineRule="exact"/>
        <w:rPr>
          <w:sz w:val="24"/>
          <w:szCs w:val="24"/>
          <w:color w:val="auto"/>
        </w:rPr>
      </w:pPr>
    </w:p>
    <w:p>
      <w:pPr>
        <w:ind w:right="660"/>
        <w:spacing w:after="0" w:line="290"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95" w:lineRule="exact"/>
        <w:rPr>
          <w:sz w:val="24"/>
          <w:szCs w:val="24"/>
          <w:color w:val="auto"/>
        </w:rPr>
      </w:pPr>
    </w:p>
    <w:p>
      <w:pPr>
        <w:jc w:val="both"/>
        <w:ind w:right="220"/>
        <w:spacing w:after="0" w:line="268" w:lineRule="auto"/>
        <w:rPr>
          <w:sz w:val="20"/>
          <w:szCs w:val="20"/>
          <w:color w:val="auto"/>
        </w:rPr>
      </w:pPr>
      <w:r>
        <w:rPr>
          <w:rFonts w:ascii="Arial" w:cs="Arial" w:eastAsia="Arial" w:hAnsi="Arial"/>
          <w:sz w:val="16"/>
          <w:szCs w:val="16"/>
          <w:color w:val="auto"/>
        </w:rPr>
        <w:t xml:space="preserve">Indicate by check mark if disclosure of delinquent filers pursuant to Item 405 of Regulation S-K(§229.405 of this chapter) is not contained herein, and will not be contained, to the best of registrant's knowledge, in definitive proxy or information statements incorporated by reference in Part III of this Form 10-K or any amendment to this Form 10-K. </w:t>
      </w:r>
      <w:r>
        <w:rPr>
          <w:rFonts w:ascii="Times New Roman" w:cs="Times New Roman" w:eastAsia="Times New Roman" w:hAnsi="Times New Roman"/>
          <w:sz w:val="16"/>
          <w:szCs w:val="16"/>
          <w:color w:val="auto"/>
        </w:rPr>
        <w:t>o</w:t>
      </w:r>
    </w:p>
    <w:p>
      <w:pPr>
        <w:spacing w:after="0" w:line="112" w:lineRule="exact"/>
        <w:rPr>
          <w:sz w:val="24"/>
          <w:szCs w:val="24"/>
          <w:color w:val="auto"/>
        </w:rPr>
      </w:pPr>
    </w:p>
    <w:p>
      <w:pPr>
        <w:ind w:right="2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90" w:lineRule="exact"/>
        <w:rPr>
          <w:sz w:val="24"/>
          <w:szCs w:val="24"/>
          <w:color w:val="auto"/>
        </w:rPr>
      </w:pPr>
    </w:p>
    <w:p>
      <w:pPr>
        <w:ind w:left="40"/>
        <w:spacing w:after="0"/>
        <w:tabs>
          <w:tab w:leader="none" w:pos="2340" w:val="left"/>
          <w:tab w:leader="none" w:pos="2980" w:val="left"/>
          <w:tab w:leader="none" w:pos="4980" w:val="left"/>
          <w:tab w:leader="none" w:pos="5620" w:val="left"/>
          <w:tab w:leader="none" w:pos="7820" w:val="left"/>
          <w:tab w:leader="none" w:pos="8440" w:val="left"/>
          <w:tab w:leader="none" w:pos="111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Times New Roman" w:cs="Times New Roman" w:eastAsia="Times New Roman" w:hAnsi="Times New Roman"/>
          <w:sz w:val="16"/>
          <w:szCs w:val="16"/>
          <w:color w:val="auto"/>
        </w:rPr>
        <w:t>x</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Times New Roman" w:cs="Times New Roman" w:eastAsia="Times New Roman" w:hAnsi="Times New Roman"/>
          <w:sz w:val="16"/>
          <w:szCs w:val="16"/>
          <w:color w:val="auto"/>
        </w:rPr>
        <w:t>o</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Times New Roman" w:cs="Times New Roman" w:eastAsia="Times New Roman" w:hAnsi="Times New Roman"/>
          <w:sz w:val="16"/>
          <w:szCs w:val="16"/>
          <w:color w:val="auto"/>
        </w:rPr>
        <w:t>o</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Times New Roman" w:cs="Times New Roman" w:eastAsia="Times New Roman" w:hAnsi="Times New Roman"/>
          <w:sz w:val="16"/>
          <w:szCs w:val="16"/>
          <w:color w:val="auto"/>
        </w:rPr>
        <w:t>o</w:t>
      </w:r>
    </w:p>
    <w:p>
      <w:pPr>
        <w:spacing w:after="0" w:line="356" w:lineRule="exact"/>
        <w:rPr>
          <w:sz w:val="24"/>
          <w:szCs w:val="24"/>
          <w:color w:val="auto"/>
        </w:rPr>
      </w:pPr>
    </w:p>
    <w:p>
      <w:pPr>
        <w:ind w:left="8460"/>
        <w:spacing w:after="0"/>
        <w:tabs>
          <w:tab w:leader="none" w:pos="111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Times New Roman" w:cs="Times New Roman" w:eastAsia="Times New Roman" w:hAnsi="Times New Roman"/>
          <w:sz w:val="16"/>
          <w:szCs w:val="16"/>
          <w:color w:val="auto"/>
        </w:rPr>
        <w:t>o</w:t>
      </w:r>
    </w:p>
    <w:p>
      <w:pPr>
        <w:spacing w:after="0" w:line="203" w:lineRule="exact"/>
        <w:rPr>
          <w:sz w:val="24"/>
          <w:szCs w:val="24"/>
          <w:color w:val="auto"/>
        </w:rPr>
      </w:pPr>
    </w:p>
    <w:p>
      <w:pPr>
        <w:ind w:right="300"/>
        <w:spacing w:after="0" w:line="29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o</w:t>
      </w:r>
    </w:p>
    <w:p>
      <w:pPr>
        <w:spacing w:after="0" w:line="95" w:lineRule="exact"/>
        <w:rPr>
          <w:sz w:val="24"/>
          <w:szCs w:val="24"/>
          <w:color w:val="auto"/>
        </w:rPr>
      </w:pPr>
    </w:p>
    <w:p>
      <w:pPr>
        <w:spacing w:after="0"/>
        <w:tabs>
          <w:tab w:leader="none" w:pos="8260" w:val="left"/>
          <w:tab w:leader="none" w:pos="88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Times New Roman" w:cs="Times New Roman" w:eastAsia="Times New Roman" w:hAnsi="Times New Roman"/>
          <w:sz w:val="16"/>
          <w:szCs w:val="16"/>
          <w:color w:val="auto"/>
        </w:rPr>
        <w:t>o</w:t>
      </w:r>
      <w:r>
        <w:rPr>
          <w:rFonts w:ascii="Arial" w:cs="Arial" w:eastAsia="Arial" w:hAnsi="Arial"/>
          <w:sz w:val="16"/>
          <w:szCs w:val="16"/>
          <w:color w:val="auto"/>
        </w:rPr>
        <w:tab/>
        <w:t xml:space="preserve">No </w:t>
      </w:r>
      <w:r>
        <w:rPr>
          <w:rFonts w:ascii="Times New Roman" w:cs="Times New Roman" w:eastAsia="Times New Roman" w:hAnsi="Times New Roman"/>
          <w:sz w:val="16"/>
          <w:szCs w:val="16"/>
          <w:color w:val="auto"/>
        </w:rPr>
        <w:t>x</w:t>
      </w:r>
    </w:p>
    <w:p>
      <w:pPr>
        <w:spacing w:after="0" w:line="166"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As of June 30, 2018, the aggregate market value of voting shares of common stock held by non-affiliates of the registrant was $2,395 million based on the last reported sale price of the registrant</w:t>
      </w:r>
      <w:r>
        <w:rPr>
          <w:rFonts w:ascii="Times New Roman" w:cs="Times New Roman" w:eastAsia="Times New Roman" w:hAnsi="Times New Roman"/>
          <w:sz w:val="16"/>
          <w:szCs w:val="16"/>
          <w:color w:val="auto"/>
        </w:rPr>
        <w:t>'</w:t>
      </w:r>
      <w:r>
        <w:rPr>
          <w:rFonts w:ascii="Arial" w:cs="Arial" w:eastAsia="Arial" w:hAnsi="Arial"/>
          <w:sz w:val="16"/>
          <w:szCs w:val="16"/>
          <w:color w:val="auto"/>
        </w:rPr>
        <w:t>s common stock on June 30, 2018. Shares of common stock held by each executive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January 31, 2019 was 39,038,263 shares.</w:t>
      </w:r>
    </w:p>
    <w:p>
      <w:pPr>
        <w:sectPr>
          <w:pgSz w:w="11900" w:h="16838" w:orient="portrait"/>
          <w:cols w:equalWidth="0" w:num="1">
            <w:col w:w="11420"/>
          </w:cols>
          <w:pgMar w:left="240" w:top="229" w:right="239" w:bottom="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line="269" w:lineRule="auto"/>
        <w:rPr>
          <w:sz w:val="20"/>
          <w:szCs w:val="20"/>
          <w:color w:val="auto"/>
        </w:rPr>
      </w:pPr>
      <w:r>
        <w:rPr>
          <w:rFonts w:ascii="Arial" w:cs="Arial" w:eastAsia="Arial" w:hAnsi="Arial"/>
          <w:sz w:val="16"/>
          <w:szCs w:val="16"/>
          <w:color w:val="auto"/>
        </w:rPr>
        <w:t>Portions of the registrant's Proxy Statement for its 2019 Annual Meeting of Stockholders are incorporated by reference in Part III of this Annual Report on Form 10-K where indicated. Such proxy statement will be filed with the Securities and Exchange Commission within 120 days of the registrant's fiscal year ended December 31, 2018.</w:t>
      </w:r>
    </w:p>
    <w:p>
      <w:pPr>
        <w:sectPr>
          <w:pgSz w:w="11900" w:h="16838" w:orient="portrait"/>
          <w:cols w:equalWidth="0" w:num="1">
            <w:col w:w="11380"/>
          </w:cols>
          <w:pgMar w:left="240" w:top="121" w:right="2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260" w:type="dxa"/>
            <w:vAlign w:val="bottom"/>
          </w:tcPr>
          <w:p>
            <w:pPr>
              <w:ind w:left="4480"/>
              <w:spacing w:after="0"/>
              <w:rPr>
                <w:sz w:val="20"/>
                <w:szCs w:val="20"/>
                <w:color w:val="auto"/>
              </w:rPr>
            </w:pPr>
            <w:r>
              <w:rPr>
                <w:rFonts w:ascii="Arial" w:cs="Arial" w:eastAsia="Arial" w:hAnsi="Arial"/>
                <w:sz w:val="18"/>
                <w:szCs w:val="18"/>
                <w:b w:val="1"/>
                <w:bCs w:val="1"/>
                <w:color w:val="231F20"/>
              </w:rPr>
              <w:t>Qualys, Inc.</w:t>
            </w:r>
          </w:p>
        </w:tc>
        <w:tc>
          <w:tcPr>
            <w:tcW w:w="760" w:type="dxa"/>
            <w:vAlign w:val="bottom"/>
          </w:tcPr>
          <w:p>
            <w:pPr>
              <w:spacing w:after="0"/>
              <w:rPr>
                <w:sz w:val="18"/>
                <w:szCs w:val="18"/>
                <w:color w:val="auto"/>
              </w:rPr>
            </w:pPr>
          </w:p>
        </w:tc>
      </w:tr>
      <w:tr>
        <w:trPr>
          <w:trHeight w:val="253"/>
        </w:trPr>
        <w:tc>
          <w:tcPr>
            <w:tcW w:w="680" w:type="dxa"/>
            <w:vAlign w:val="bottom"/>
          </w:tcPr>
          <w:p>
            <w:pPr>
              <w:spacing w:after="0"/>
              <w:rPr>
                <w:sz w:val="21"/>
                <w:szCs w:val="21"/>
                <w:color w:val="auto"/>
              </w:rPr>
            </w:pPr>
          </w:p>
        </w:tc>
        <w:tc>
          <w:tcPr>
            <w:tcW w:w="9260" w:type="dxa"/>
            <w:vAlign w:val="bottom"/>
          </w:tcPr>
          <w:p>
            <w:pPr>
              <w:ind w:left="4040"/>
              <w:spacing w:after="0"/>
              <w:rPr>
                <w:sz w:val="20"/>
                <w:szCs w:val="20"/>
                <w:color w:val="auto"/>
              </w:rPr>
            </w:pPr>
            <w:r>
              <w:rPr>
                <w:rFonts w:ascii="Arial" w:cs="Arial" w:eastAsia="Arial" w:hAnsi="Arial"/>
                <w:sz w:val="18"/>
                <w:szCs w:val="18"/>
                <w:b w:val="1"/>
                <w:bCs w:val="1"/>
                <w:color w:val="231F20"/>
              </w:rPr>
              <w:t>TABLE OF CONTENTS</w:t>
            </w:r>
          </w:p>
        </w:tc>
        <w:tc>
          <w:tcPr>
            <w:tcW w:w="760" w:type="dxa"/>
            <w:vAlign w:val="bottom"/>
          </w:tcPr>
          <w:p>
            <w:pPr>
              <w:spacing w:after="0"/>
              <w:rPr>
                <w:sz w:val="21"/>
                <w:szCs w:val="21"/>
                <w:color w:val="auto"/>
              </w:rPr>
            </w:pPr>
          </w:p>
        </w:tc>
      </w:tr>
      <w:tr>
        <w:trPr>
          <w:trHeight w:val="360"/>
        </w:trPr>
        <w:tc>
          <w:tcPr>
            <w:tcW w:w="68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Page</w:t>
            </w:r>
          </w:p>
        </w:tc>
      </w:tr>
      <w:tr>
        <w:trPr>
          <w:trHeight w:val="222"/>
        </w:trPr>
        <w:tc>
          <w:tcPr>
            <w:tcW w:w="680" w:type="dxa"/>
            <w:vAlign w:val="bottom"/>
          </w:tcPr>
          <w:p>
            <w:pPr>
              <w:spacing w:after="0"/>
              <w:rPr>
                <w:sz w:val="19"/>
                <w:szCs w:val="19"/>
                <w:color w:val="auto"/>
              </w:rPr>
            </w:pPr>
          </w:p>
        </w:tc>
        <w:tc>
          <w:tcPr>
            <w:tcW w:w="9260" w:type="dxa"/>
            <w:vAlign w:val="bottom"/>
          </w:tcPr>
          <w:p>
            <w:pPr>
              <w:jc w:val="center"/>
              <w:spacing w:after="0"/>
              <w:rPr>
                <w:sz w:val="20"/>
                <w:szCs w:val="20"/>
                <w:color w:val="auto"/>
              </w:rPr>
            </w:pPr>
            <w:r>
              <w:rPr>
                <w:rFonts w:ascii="Arial" w:cs="Arial" w:eastAsia="Arial" w:hAnsi="Arial"/>
                <w:sz w:val="16"/>
                <w:szCs w:val="16"/>
                <w:b w:val="1"/>
                <w:bCs w:val="1"/>
                <w:color w:val="auto"/>
                <w:w w:val="95"/>
              </w:rPr>
              <w:t>PART I</w:t>
            </w:r>
          </w:p>
        </w:tc>
        <w:tc>
          <w:tcPr>
            <w:tcW w:w="760" w:type="dxa"/>
            <w:vAlign w:val="bottom"/>
          </w:tcPr>
          <w:p>
            <w:pPr>
              <w:spacing w:after="0"/>
              <w:rPr>
                <w:sz w:val="19"/>
                <w:szCs w:val="19"/>
                <w:color w:val="auto"/>
              </w:rPr>
            </w:pPr>
          </w:p>
        </w:tc>
      </w:tr>
      <w:tr>
        <w:trPr>
          <w:trHeight w:val="235"/>
        </w:trPr>
        <w:tc>
          <w:tcPr>
            <w:tcW w:w="680" w:type="dxa"/>
            <w:vAlign w:val="bottom"/>
          </w:tcPr>
          <w:p>
            <w:pPr>
              <w:spacing w:after="0"/>
              <w:rPr>
                <w:sz w:val="20"/>
                <w:szCs w:val="20"/>
                <w:color w:val="auto"/>
              </w:rPr>
            </w:pPr>
            <w:r>
              <w:rPr>
                <w:rFonts w:ascii="Arial" w:cs="Arial" w:eastAsia="Arial" w:hAnsi="Arial"/>
                <w:sz w:val="16"/>
                <w:szCs w:val="16"/>
                <w:color w:val="auto"/>
              </w:rPr>
              <w:t>Item 1.</w:t>
            </w:r>
          </w:p>
        </w:tc>
        <w:tc>
          <w:tcPr>
            <w:tcW w:w="9260" w:type="dxa"/>
            <w:vAlign w:val="bottom"/>
          </w:tcPr>
          <w:p>
            <w:pPr>
              <w:ind w:left="80"/>
              <w:spacing w:after="0"/>
              <w:rPr>
                <w:rFonts w:ascii="Arial" w:cs="Arial" w:eastAsia="Arial" w:hAnsi="Arial"/>
                <w:sz w:val="16"/>
                <w:szCs w:val="16"/>
                <w:color w:val="0000EE"/>
              </w:rPr>
            </w:pPr>
            <w:hyperlink w:anchor="page5">
              <w:r>
                <w:rPr>
                  <w:rFonts w:ascii="Arial" w:cs="Arial" w:eastAsia="Arial" w:hAnsi="Arial"/>
                  <w:sz w:val="16"/>
                  <w:szCs w:val="16"/>
                  <w:color w:val="0000EE"/>
                </w:rPr>
                <w:t>Business</w:t>
              </w:r>
            </w:hyperlink>
          </w:p>
        </w:tc>
        <w:tc>
          <w:tcPr>
            <w:tcW w:w="760" w:type="dxa"/>
            <w:vAlign w:val="bottom"/>
          </w:tcPr>
          <w:p>
            <w:pPr>
              <w:jc w:val="center"/>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4</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1A.</w:t>
            </w:r>
          </w:p>
        </w:tc>
        <w:tc>
          <w:tcPr>
            <w:tcW w:w="9260" w:type="dxa"/>
            <w:vAlign w:val="bottom"/>
          </w:tcPr>
          <w:p>
            <w:pPr>
              <w:ind w:left="80"/>
              <w:spacing w:after="0"/>
              <w:rPr>
                <w:rFonts w:ascii="Arial" w:cs="Arial" w:eastAsia="Arial" w:hAnsi="Arial"/>
                <w:sz w:val="16"/>
                <w:szCs w:val="16"/>
                <w:color w:val="0000EE"/>
              </w:rPr>
            </w:pPr>
            <w:hyperlink w:anchor="page16">
              <w:r>
                <w:rPr>
                  <w:rFonts w:ascii="Arial" w:cs="Arial" w:eastAsia="Arial" w:hAnsi="Arial"/>
                  <w:sz w:val="16"/>
                  <w:szCs w:val="16"/>
                  <w:color w:val="0000EE"/>
                </w:rPr>
                <w:t>Risk Factors</w:t>
              </w:r>
            </w:hyperlink>
          </w:p>
        </w:tc>
        <w:tc>
          <w:tcPr>
            <w:tcW w:w="760" w:type="dxa"/>
            <w:vAlign w:val="bottom"/>
          </w:tcPr>
          <w:p>
            <w:pPr>
              <w:jc w:val="center"/>
              <w:spacing w:after="0"/>
              <w:rPr>
                <w:rFonts w:ascii="Arial" w:cs="Arial" w:eastAsia="Arial" w:hAnsi="Arial"/>
                <w:sz w:val="16"/>
                <w:szCs w:val="16"/>
                <w:color w:val="0000EE"/>
              </w:rPr>
            </w:pPr>
            <w:hyperlink w:anchor="page16">
              <w:r>
                <w:rPr>
                  <w:rFonts w:ascii="Arial" w:cs="Arial" w:eastAsia="Arial" w:hAnsi="Arial"/>
                  <w:sz w:val="16"/>
                  <w:szCs w:val="16"/>
                  <w:color w:val="0000EE"/>
                </w:rPr>
                <w:t>15</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1B.</w:t>
            </w:r>
          </w:p>
        </w:tc>
        <w:tc>
          <w:tcPr>
            <w:tcW w:w="9260" w:type="dxa"/>
            <w:vAlign w:val="bottom"/>
          </w:tcPr>
          <w:p>
            <w:pPr>
              <w:ind w:left="80"/>
              <w:spacing w:after="0"/>
              <w:rPr>
                <w:rFonts w:ascii="Arial" w:cs="Arial" w:eastAsia="Arial" w:hAnsi="Arial"/>
                <w:sz w:val="16"/>
                <w:szCs w:val="16"/>
                <w:color w:val="0000EE"/>
              </w:rPr>
            </w:pPr>
            <w:hyperlink w:anchor="page37">
              <w:r>
                <w:rPr>
                  <w:rFonts w:ascii="Arial" w:cs="Arial" w:eastAsia="Arial" w:hAnsi="Arial"/>
                  <w:sz w:val="16"/>
                  <w:szCs w:val="16"/>
                  <w:color w:val="0000EE"/>
                </w:rPr>
                <w:t>Unresolved Staff Comments</w:t>
              </w:r>
            </w:hyperlink>
          </w:p>
        </w:tc>
        <w:tc>
          <w:tcPr>
            <w:tcW w:w="760" w:type="dxa"/>
            <w:vAlign w:val="bottom"/>
          </w:tcPr>
          <w:p>
            <w:pPr>
              <w:jc w:val="center"/>
              <w:spacing w:after="0"/>
              <w:rPr>
                <w:rFonts w:ascii="Arial" w:cs="Arial" w:eastAsia="Arial" w:hAnsi="Arial"/>
                <w:sz w:val="16"/>
                <w:szCs w:val="16"/>
                <w:color w:val="0000EE"/>
              </w:rPr>
            </w:pPr>
            <w:hyperlink w:anchor="page37">
              <w:r>
                <w:rPr>
                  <w:rFonts w:ascii="Arial" w:cs="Arial" w:eastAsia="Arial" w:hAnsi="Arial"/>
                  <w:sz w:val="16"/>
                  <w:szCs w:val="16"/>
                  <w:color w:val="0000EE"/>
                </w:rPr>
                <w:t>36</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2.</w:t>
            </w:r>
          </w:p>
        </w:tc>
        <w:tc>
          <w:tcPr>
            <w:tcW w:w="9260" w:type="dxa"/>
            <w:vAlign w:val="bottom"/>
          </w:tcPr>
          <w:p>
            <w:pPr>
              <w:ind w:left="80"/>
              <w:spacing w:after="0"/>
              <w:rPr>
                <w:rFonts w:ascii="Arial" w:cs="Arial" w:eastAsia="Arial" w:hAnsi="Arial"/>
                <w:sz w:val="16"/>
                <w:szCs w:val="16"/>
                <w:color w:val="0000EE"/>
              </w:rPr>
            </w:pPr>
            <w:hyperlink w:anchor="page39">
              <w:r>
                <w:rPr>
                  <w:rFonts w:ascii="Arial" w:cs="Arial" w:eastAsia="Arial" w:hAnsi="Arial"/>
                  <w:sz w:val="16"/>
                  <w:szCs w:val="16"/>
                  <w:color w:val="0000EE"/>
                </w:rPr>
                <w:t>Properties</w:t>
              </w:r>
            </w:hyperlink>
          </w:p>
        </w:tc>
        <w:tc>
          <w:tcPr>
            <w:tcW w:w="760" w:type="dxa"/>
            <w:vAlign w:val="bottom"/>
          </w:tcPr>
          <w:p>
            <w:pPr>
              <w:jc w:val="center"/>
              <w:spacing w:after="0"/>
              <w:rPr>
                <w:rFonts w:ascii="Arial" w:cs="Arial" w:eastAsia="Arial" w:hAnsi="Arial"/>
                <w:sz w:val="16"/>
                <w:szCs w:val="16"/>
                <w:color w:val="0000EE"/>
              </w:rPr>
            </w:pPr>
            <w:hyperlink w:anchor="page39">
              <w:r>
                <w:rPr>
                  <w:rFonts w:ascii="Arial" w:cs="Arial" w:eastAsia="Arial" w:hAnsi="Arial"/>
                  <w:sz w:val="16"/>
                  <w:szCs w:val="16"/>
                  <w:color w:val="0000EE"/>
                </w:rPr>
                <w:t>38</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3.</w:t>
            </w:r>
          </w:p>
        </w:tc>
        <w:tc>
          <w:tcPr>
            <w:tcW w:w="9260" w:type="dxa"/>
            <w:vAlign w:val="bottom"/>
          </w:tcPr>
          <w:p>
            <w:pPr>
              <w:ind w:left="80"/>
              <w:spacing w:after="0"/>
              <w:rPr>
                <w:rFonts w:ascii="Arial" w:cs="Arial" w:eastAsia="Arial" w:hAnsi="Arial"/>
                <w:sz w:val="16"/>
                <w:szCs w:val="16"/>
                <w:color w:val="0000EE"/>
              </w:rPr>
            </w:pPr>
            <w:hyperlink w:anchor="page39">
              <w:r>
                <w:rPr>
                  <w:rFonts w:ascii="Arial" w:cs="Arial" w:eastAsia="Arial" w:hAnsi="Arial"/>
                  <w:sz w:val="16"/>
                  <w:szCs w:val="16"/>
                  <w:color w:val="0000EE"/>
                </w:rPr>
                <w:t>Legal Proceedings</w:t>
              </w:r>
            </w:hyperlink>
          </w:p>
        </w:tc>
        <w:tc>
          <w:tcPr>
            <w:tcW w:w="760" w:type="dxa"/>
            <w:vAlign w:val="bottom"/>
          </w:tcPr>
          <w:p>
            <w:pPr>
              <w:jc w:val="center"/>
              <w:spacing w:after="0"/>
              <w:rPr>
                <w:rFonts w:ascii="Arial" w:cs="Arial" w:eastAsia="Arial" w:hAnsi="Arial"/>
                <w:sz w:val="16"/>
                <w:szCs w:val="16"/>
                <w:color w:val="0000EE"/>
              </w:rPr>
            </w:pPr>
            <w:hyperlink w:anchor="page39">
              <w:r>
                <w:rPr>
                  <w:rFonts w:ascii="Arial" w:cs="Arial" w:eastAsia="Arial" w:hAnsi="Arial"/>
                  <w:sz w:val="16"/>
                  <w:szCs w:val="16"/>
                  <w:color w:val="0000EE"/>
                </w:rPr>
                <w:t>38</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4.</w:t>
            </w:r>
          </w:p>
        </w:tc>
        <w:tc>
          <w:tcPr>
            <w:tcW w:w="9260" w:type="dxa"/>
            <w:vAlign w:val="bottom"/>
          </w:tcPr>
          <w:p>
            <w:pPr>
              <w:ind w:left="80"/>
              <w:spacing w:after="0"/>
              <w:rPr>
                <w:rFonts w:ascii="Arial" w:cs="Arial" w:eastAsia="Arial" w:hAnsi="Arial"/>
                <w:sz w:val="16"/>
                <w:szCs w:val="16"/>
                <w:color w:val="0000EE"/>
              </w:rPr>
            </w:pPr>
            <w:hyperlink w:anchor="page39">
              <w:r>
                <w:rPr>
                  <w:rFonts w:ascii="Arial" w:cs="Arial" w:eastAsia="Arial" w:hAnsi="Arial"/>
                  <w:sz w:val="16"/>
                  <w:szCs w:val="16"/>
                  <w:color w:val="0000EE"/>
                </w:rPr>
                <w:t>Mine Safety Disclosures</w:t>
              </w:r>
            </w:hyperlink>
          </w:p>
        </w:tc>
        <w:tc>
          <w:tcPr>
            <w:tcW w:w="760" w:type="dxa"/>
            <w:vAlign w:val="bottom"/>
          </w:tcPr>
          <w:p>
            <w:pPr>
              <w:jc w:val="center"/>
              <w:spacing w:after="0"/>
              <w:rPr>
                <w:rFonts w:ascii="Arial" w:cs="Arial" w:eastAsia="Arial" w:hAnsi="Arial"/>
                <w:sz w:val="16"/>
                <w:szCs w:val="16"/>
                <w:color w:val="0000EE"/>
              </w:rPr>
            </w:pPr>
            <w:hyperlink w:anchor="page39">
              <w:r>
                <w:rPr>
                  <w:rFonts w:ascii="Arial" w:cs="Arial" w:eastAsia="Arial" w:hAnsi="Arial"/>
                  <w:sz w:val="16"/>
                  <w:szCs w:val="16"/>
                  <w:color w:val="0000EE"/>
                </w:rPr>
                <w:t>38</w:t>
              </w:r>
            </w:hyperlink>
          </w:p>
        </w:tc>
      </w:tr>
      <w:tr>
        <w:trPr>
          <w:trHeight w:val="251"/>
        </w:trPr>
        <w:tc>
          <w:tcPr>
            <w:tcW w:w="680" w:type="dxa"/>
            <w:vAlign w:val="bottom"/>
          </w:tcPr>
          <w:p>
            <w:pPr>
              <w:spacing w:after="0"/>
              <w:rPr>
                <w:sz w:val="21"/>
                <w:szCs w:val="21"/>
                <w:color w:val="auto"/>
              </w:rPr>
            </w:pPr>
          </w:p>
        </w:tc>
        <w:tc>
          <w:tcPr>
            <w:tcW w:w="9260" w:type="dxa"/>
            <w:vAlign w:val="bottom"/>
          </w:tcPr>
          <w:p>
            <w:pPr>
              <w:jc w:val="center"/>
              <w:spacing w:after="0"/>
              <w:rPr>
                <w:sz w:val="20"/>
                <w:szCs w:val="20"/>
                <w:color w:val="auto"/>
              </w:rPr>
            </w:pPr>
            <w:r>
              <w:rPr>
                <w:rFonts w:ascii="Arial" w:cs="Arial" w:eastAsia="Arial" w:hAnsi="Arial"/>
                <w:sz w:val="16"/>
                <w:szCs w:val="16"/>
                <w:b w:val="1"/>
                <w:bCs w:val="1"/>
                <w:color w:val="auto"/>
              </w:rPr>
              <w:t>PART II</w:t>
            </w:r>
          </w:p>
        </w:tc>
        <w:tc>
          <w:tcPr>
            <w:tcW w:w="760" w:type="dxa"/>
            <w:vAlign w:val="bottom"/>
          </w:tcPr>
          <w:p>
            <w:pPr>
              <w:spacing w:after="0"/>
              <w:rPr>
                <w:sz w:val="21"/>
                <w:szCs w:val="21"/>
                <w:color w:val="auto"/>
              </w:rPr>
            </w:pPr>
          </w:p>
        </w:tc>
      </w:tr>
      <w:tr>
        <w:trPr>
          <w:trHeight w:val="235"/>
        </w:trPr>
        <w:tc>
          <w:tcPr>
            <w:tcW w:w="680" w:type="dxa"/>
            <w:vAlign w:val="bottom"/>
          </w:tcPr>
          <w:p>
            <w:pPr>
              <w:spacing w:after="0"/>
              <w:rPr>
                <w:sz w:val="20"/>
                <w:szCs w:val="20"/>
                <w:color w:val="auto"/>
              </w:rPr>
            </w:pPr>
            <w:r>
              <w:rPr>
                <w:rFonts w:ascii="Arial" w:cs="Arial" w:eastAsia="Arial" w:hAnsi="Arial"/>
                <w:sz w:val="16"/>
                <w:szCs w:val="16"/>
                <w:color w:val="auto"/>
              </w:rPr>
              <w:t>Item 5.</w:t>
            </w:r>
          </w:p>
        </w:tc>
        <w:tc>
          <w:tcPr>
            <w:tcW w:w="9260" w:type="dxa"/>
            <w:vAlign w:val="bottom"/>
          </w:tcPr>
          <w:p>
            <w:pPr>
              <w:ind w:left="80"/>
              <w:spacing w:after="0"/>
              <w:rPr>
                <w:rFonts w:ascii="Arial" w:cs="Arial" w:eastAsia="Arial" w:hAnsi="Arial"/>
                <w:sz w:val="16"/>
                <w:szCs w:val="16"/>
                <w:color w:val="0000EE"/>
              </w:rPr>
            </w:pPr>
            <w:hyperlink w:anchor="page40">
              <w:r>
                <w:rPr>
                  <w:rFonts w:ascii="Arial" w:cs="Arial" w:eastAsia="Arial" w:hAnsi="Arial"/>
                  <w:sz w:val="16"/>
                  <w:szCs w:val="16"/>
                  <w:color w:val="0000EE"/>
                </w:rPr>
                <w:t>Market for Registrant's Common Equity, Related Stockholder Matters and Issuer Purchases of Equity Securities</w:t>
              </w:r>
            </w:hyperlink>
          </w:p>
        </w:tc>
        <w:tc>
          <w:tcPr>
            <w:tcW w:w="760" w:type="dxa"/>
            <w:vAlign w:val="bottom"/>
          </w:tcPr>
          <w:p>
            <w:pPr>
              <w:jc w:val="center"/>
              <w:spacing w:after="0"/>
              <w:rPr>
                <w:rFonts w:ascii="Arial" w:cs="Arial" w:eastAsia="Arial" w:hAnsi="Arial"/>
                <w:sz w:val="16"/>
                <w:szCs w:val="16"/>
                <w:color w:val="0000EE"/>
              </w:rPr>
            </w:pPr>
            <w:hyperlink w:anchor="page40">
              <w:r>
                <w:rPr>
                  <w:rFonts w:ascii="Arial" w:cs="Arial" w:eastAsia="Arial" w:hAnsi="Arial"/>
                  <w:sz w:val="16"/>
                  <w:szCs w:val="16"/>
                  <w:color w:val="0000EE"/>
                </w:rPr>
                <w:t>39</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6.</w:t>
            </w:r>
          </w:p>
        </w:tc>
        <w:tc>
          <w:tcPr>
            <w:tcW w:w="9260" w:type="dxa"/>
            <w:vAlign w:val="bottom"/>
          </w:tcPr>
          <w:p>
            <w:pPr>
              <w:ind w:left="80"/>
              <w:spacing w:after="0"/>
              <w:rPr>
                <w:rFonts w:ascii="Arial" w:cs="Arial" w:eastAsia="Arial" w:hAnsi="Arial"/>
                <w:sz w:val="16"/>
                <w:szCs w:val="16"/>
                <w:color w:val="0000EE"/>
              </w:rPr>
            </w:pPr>
            <w:hyperlink w:anchor="page43">
              <w:r>
                <w:rPr>
                  <w:rFonts w:ascii="Arial" w:cs="Arial" w:eastAsia="Arial" w:hAnsi="Arial"/>
                  <w:sz w:val="16"/>
                  <w:szCs w:val="16"/>
                  <w:color w:val="0000EE"/>
                </w:rPr>
                <w:t>Selected Consolidated Financial Data</w:t>
              </w:r>
            </w:hyperlink>
          </w:p>
        </w:tc>
        <w:tc>
          <w:tcPr>
            <w:tcW w:w="760" w:type="dxa"/>
            <w:vAlign w:val="bottom"/>
          </w:tcPr>
          <w:p>
            <w:pPr>
              <w:jc w:val="center"/>
              <w:spacing w:after="0"/>
              <w:rPr>
                <w:rFonts w:ascii="Arial" w:cs="Arial" w:eastAsia="Arial" w:hAnsi="Arial"/>
                <w:sz w:val="16"/>
                <w:szCs w:val="16"/>
                <w:color w:val="0000EE"/>
              </w:rPr>
            </w:pPr>
            <w:hyperlink w:anchor="page43">
              <w:r>
                <w:rPr>
                  <w:rFonts w:ascii="Arial" w:cs="Arial" w:eastAsia="Arial" w:hAnsi="Arial"/>
                  <w:sz w:val="16"/>
                  <w:szCs w:val="16"/>
                  <w:color w:val="0000EE"/>
                </w:rPr>
                <w:t>42</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7.</w:t>
            </w:r>
          </w:p>
        </w:tc>
        <w:tc>
          <w:tcPr>
            <w:tcW w:w="9260" w:type="dxa"/>
            <w:vAlign w:val="bottom"/>
          </w:tcPr>
          <w:p>
            <w:pPr>
              <w:ind w:left="80"/>
              <w:spacing w:after="0"/>
              <w:rPr>
                <w:rFonts w:ascii="Arial" w:cs="Arial" w:eastAsia="Arial" w:hAnsi="Arial"/>
                <w:sz w:val="16"/>
                <w:szCs w:val="16"/>
                <w:color w:val="0000EE"/>
              </w:rPr>
            </w:pPr>
            <w:hyperlink w:anchor="page44">
              <w:r>
                <w:rPr>
                  <w:rFonts w:ascii="Arial" w:cs="Arial" w:eastAsia="Arial" w:hAnsi="Arial"/>
                  <w:sz w:val="16"/>
                  <w:szCs w:val="16"/>
                  <w:color w:val="0000EE"/>
                </w:rPr>
                <w:t>Management's Discussion and Analysis of Financial Condition and Results of Operations</w:t>
              </w:r>
            </w:hyperlink>
          </w:p>
        </w:tc>
        <w:tc>
          <w:tcPr>
            <w:tcW w:w="760" w:type="dxa"/>
            <w:vAlign w:val="bottom"/>
          </w:tcPr>
          <w:p>
            <w:pPr>
              <w:jc w:val="center"/>
              <w:spacing w:after="0"/>
              <w:rPr>
                <w:rFonts w:ascii="Arial" w:cs="Arial" w:eastAsia="Arial" w:hAnsi="Arial"/>
                <w:sz w:val="16"/>
                <w:szCs w:val="16"/>
                <w:color w:val="0000EE"/>
              </w:rPr>
            </w:pPr>
            <w:hyperlink w:anchor="page44">
              <w:r>
                <w:rPr>
                  <w:rFonts w:ascii="Arial" w:cs="Arial" w:eastAsia="Arial" w:hAnsi="Arial"/>
                  <w:sz w:val="16"/>
                  <w:szCs w:val="16"/>
                  <w:color w:val="0000EE"/>
                </w:rPr>
                <w:t>43</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7A.</w:t>
            </w:r>
          </w:p>
        </w:tc>
        <w:tc>
          <w:tcPr>
            <w:tcW w:w="9260" w:type="dxa"/>
            <w:vAlign w:val="bottom"/>
          </w:tcPr>
          <w:p>
            <w:pPr>
              <w:ind w:left="80"/>
              <w:spacing w:after="0"/>
              <w:rPr>
                <w:rFonts w:ascii="Arial" w:cs="Arial" w:eastAsia="Arial" w:hAnsi="Arial"/>
                <w:sz w:val="16"/>
                <w:szCs w:val="16"/>
                <w:color w:val="0000EE"/>
              </w:rPr>
            </w:pPr>
            <w:hyperlink w:anchor="page60">
              <w:r>
                <w:rPr>
                  <w:rFonts w:ascii="Arial" w:cs="Arial" w:eastAsia="Arial" w:hAnsi="Arial"/>
                  <w:sz w:val="16"/>
                  <w:szCs w:val="16"/>
                  <w:color w:val="0000EE"/>
                </w:rPr>
                <w:t>Quantitative and Qualitative Disclosures About Market Risk</w:t>
              </w:r>
            </w:hyperlink>
          </w:p>
        </w:tc>
        <w:tc>
          <w:tcPr>
            <w:tcW w:w="760" w:type="dxa"/>
            <w:vAlign w:val="bottom"/>
          </w:tcPr>
          <w:p>
            <w:pPr>
              <w:jc w:val="center"/>
              <w:spacing w:after="0"/>
              <w:rPr>
                <w:rFonts w:ascii="Arial" w:cs="Arial" w:eastAsia="Arial" w:hAnsi="Arial"/>
                <w:sz w:val="16"/>
                <w:szCs w:val="16"/>
                <w:color w:val="0000EE"/>
              </w:rPr>
            </w:pPr>
            <w:hyperlink w:anchor="page60">
              <w:r>
                <w:rPr>
                  <w:rFonts w:ascii="Arial" w:cs="Arial" w:eastAsia="Arial" w:hAnsi="Arial"/>
                  <w:sz w:val="16"/>
                  <w:szCs w:val="16"/>
                  <w:color w:val="0000EE"/>
                </w:rPr>
                <w:t>59</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8.</w:t>
            </w:r>
          </w:p>
        </w:tc>
        <w:tc>
          <w:tcPr>
            <w:tcW w:w="9260" w:type="dxa"/>
            <w:vAlign w:val="bottom"/>
          </w:tcPr>
          <w:p>
            <w:pPr>
              <w:ind w:left="80"/>
              <w:spacing w:after="0"/>
              <w:rPr>
                <w:rFonts w:ascii="Arial" w:cs="Arial" w:eastAsia="Arial" w:hAnsi="Arial"/>
                <w:sz w:val="16"/>
                <w:szCs w:val="16"/>
                <w:color w:val="0000EE"/>
              </w:rPr>
            </w:pPr>
            <w:hyperlink w:anchor="page61">
              <w:r>
                <w:rPr>
                  <w:rFonts w:ascii="Arial" w:cs="Arial" w:eastAsia="Arial" w:hAnsi="Arial"/>
                  <w:sz w:val="16"/>
                  <w:szCs w:val="16"/>
                  <w:color w:val="0000EE"/>
                </w:rPr>
                <w:t>Financial Statements and Supplementary Data</w:t>
              </w:r>
            </w:hyperlink>
          </w:p>
        </w:tc>
        <w:tc>
          <w:tcPr>
            <w:tcW w:w="760" w:type="dxa"/>
            <w:vAlign w:val="bottom"/>
          </w:tcPr>
          <w:p>
            <w:pPr>
              <w:jc w:val="center"/>
              <w:spacing w:after="0"/>
              <w:rPr>
                <w:rFonts w:ascii="Arial" w:cs="Arial" w:eastAsia="Arial" w:hAnsi="Arial"/>
                <w:sz w:val="16"/>
                <w:szCs w:val="16"/>
                <w:color w:val="0000EE"/>
              </w:rPr>
            </w:pPr>
            <w:hyperlink w:anchor="page61">
              <w:r>
                <w:rPr>
                  <w:rFonts w:ascii="Arial" w:cs="Arial" w:eastAsia="Arial" w:hAnsi="Arial"/>
                  <w:sz w:val="16"/>
                  <w:szCs w:val="16"/>
                  <w:color w:val="0000EE"/>
                </w:rPr>
                <w:t>60</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9.</w:t>
            </w:r>
          </w:p>
        </w:tc>
        <w:tc>
          <w:tcPr>
            <w:tcW w:w="9260" w:type="dxa"/>
            <w:vAlign w:val="bottom"/>
          </w:tcPr>
          <w:p>
            <w:pPr>
              <w:ind w:left="80"/>
              <w:spacing w:after="0"/>
              <w:rPr>
                <w:rFonts w:ascii="Arial" w:cs="Arial" w:eastAsia="Arial" w:hAnsi="Arial"/>
                <w:sz w:val="16"/>
                <w:szCs w:val="16"/>
                <w:color w:val="0000EE"/>
              </w:rPr>
            </w:pPr>
            <w:hyperlink w:anchor="page96">
              <w:r>
                <w:rPr>
                  <w:rFonts w:ascii="Arial" w:cs="Arial" w:eastAsia="Arial" w:hAnsi="Arial"/>
                  <w:sz w:val="16"/>
                  <w:szCs w:val="16"/>
                  <w:color w:val="0000EE"/>
                </w:rPr>
                <w:t>Changes in and Disagreements with Accountants on Accounting and Financial Disclosure</w:t>
              </w:r>
            </w:hyperlink>
          </w:p>
        </w:tc>
        <w:tc>
          <w:tcPr>
            <w:tcW w:w="760" w:type="dxa"/>
            <w:vAlign w:val="bottom"/>
          </w:tcPr>
          <w:p>
            <w:pPr>
              <w:jc w:val="center"/>
              <w:spacing w:after="0"/>
              <w:rPr>
                <w:rFonts w:ascii="Arial" w:cs="Arial" w:eastAsia="Arial" w:hAnsi="Arial"/>
                <w:sz w:val="16"/>
                <w:szCs w:val="16"/>
                <w:color w:val="0000EE"/>
              </w:rPr>
            </w:pPr>
            <w:hyperlink w:anchor="page96">
              <w:r>
                <w:rPr>
                  <w:rFonts w:ascii="Arial" w:cs="Arial" w:eastAsia="Arial" w:hAnsi="Arial"/>
                  <w:sz w:val="16"/>
                  <w:szCs w:val="16"/>
                  <w:color w:val="0000EE"/>
                </w:rPr>
                <w:t>95</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9A.</w:t>
            </w:r>
          </w:p>
        </w:tc>
        <w:tc>
          <w:tcPr>
            <w:tcW w:w="9260" w:type="dxa"/>
            <w:vAlign w:val="bottom"/>
          </w:tcPr>
          <w:p>
            <w:pPr>
              <w:ind w:left="80"/>
              <w:spacing w:after="0"/>
              <w:rPr>
                <w:rFonts w:ascii="Arial" w:cs="Arial" w:eastAsia="Arial" w:hAnsi="Arial"/>
                <w:sz w:val="16"/>
                <w:szCs w:val="16"/>
                <w:color w:val="0000EE"/>
              </w:rPr>
            </w:pPr>
            <w:hyperlink w:anchor="page96">
              <w:r>
                <w:rPr>
                  <w:rFonts w:ascii="Arial" w:cs="Arial" w:eastAsia="Arial" w:hAnsi="Arial"/>
                  <w:sz w:val="16"/>
                  <w:szCs w:val="16"/>
                  <w:color w:val="0000EE"/>
                </w:rPr>
                <w:t>Controls and Procedures</w:t>
              </w:r>
            </w:hyperlink>
          </w:p>
        </w:tc>
        <w:tc>
          <w:tcPr>
            <w:tcW w:w="760" w:type="dxa"/>
            <w:vAlign w:val="bottom"/>
          </w:tcPr>
          <w:p>
            <w:pPr>
              <w:jc w:val="center"/>
              <w:spacing w:after="0"/>
              <w:rPr>
                <w:rFonts w:ascii="Arial" w:cs="Arial" w:eastAsia="Arial" w:hAnsi="Arial"/>
                <w:sz w:val="16"/>
                <w:szCs w:val="16"/>
                <w:color w:val="0000EE"/>
              </w:rPr>
            </w:pPr>
            <w:hyperlink w:anchor="page96">
              <w:r>
                <w:rPr>
                  <w:rFonts w:ascii="Arial" w:cs="Arial" w:eastAsia="Arial" w:hAnsi="Arial"/>
                  <w:sz w:val="16"/>
                  <w:szCs w:val="16"/>
                  <w:color w:val="0000EE"/>
                </w:rPr>
                <w:t>95</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9B.</w:t>
            </w:r>
          </w:p>
        </w:tc>
        <w:tc>
          <w:tcPr>
            <w:tcW w:w="9260" w:type="dxa"/>
            <w:vAlign w:val="bottom"/>
          </w:tcPr>
          <w:p>
            <w:pPr>
              <w:ind w:left="80"/>
              <w:spacing w:after="0"/>
              <w:rPr>
                <w:rFonts w:ascii="Arial" w:cs="Arial" w:eastAsia="Arial" w:hAnsi="Arial"/>
                <w:sz w:val="16"/>
                <w:szCs w:val="16"/>
                <w:color w:val="0000EE"/>
              </w:rPr>
            </w:pPr>
            <w:hyperlink w:anchor="page97">
              <w:r>
                <w:rPr>
                  <w:rFonts w:ascii="Arial" w:cs="Arial" w:eastAsia="Arial" w:hAnsi="Arial"/>
                  <w:sz w:val="16"/>
                  <w:szCs w:val="16"/>
                  <w:color w:val="0000EE"/>
                </w:rPr>
                <w:t>Other Information</w:t>
              </w:r>
            </w:hyperlink>
          </w:p>
        </w:tc>
        <w:tc>
          <w:tcPr>
            <w:tcW w:w="760" w:type="dxa"/>
            <w:vAlign w:val="bottom"/>
          </w:tcPr>
          <w:p>
            <w:pPr>
              <w:jc w:val="center"/>
              <w:spacing w:after="0"/>
              <w:rPr>
                <w:rFonts w:ascii="Arial" w:cs="Arial" w:eastAsia="Arial" w:hAnsi="Arial"/>
                <w:sz w:val="16"/>
                <w:szCs w:val="16"/>
                <w:color w:val="0000EE"/>
              </w:rPr>
            </w:pPr>
            <w:hyperlink w:anchor="page97">
              <w:r>
                <w:rPr>
                  <w:rFonts w:ascii="Arial" w:cs="Arial" w:eastAsia="Arial" w:hAnsi="Arial"/>
                  <w:sz w:val="16"/>
                  <w:szCs w:val="16"/>
                  <w:color w:val="0000EE"/>
                </w:rPr>
                <w:t>96</w:t>
              </w:r>
            </w:hyperlink>
          </w:p>
        </w:tc>
      </w:tr>
      <w:tr>
        <w:trPr>
          <w:trHeight w:val="251"/>
        </w:trPr>
        <w:tc>
          <w:tcPr>
            <w:tcW w:w="680" w:type="dxa"/>
            <w:vAlign w:val="bottom"/>
          </w:tcPr>
          <w:p>
            <w:pPr>
              <w:spacing w:after="0"/>
              <w:rPr>
                <w:sz w:val="21"/>
                <w:szCs w:val="21"/>
                <w:color w:val="auto"/>
              </w:rPr>
            </w:pPr>
          </w:p>
        </w:tc>
        <w:tc>
          <w:tcPr>
            <w:tcW w:w="9260" w:type="dxa"/>
            <w:vAlign w:val="bottom"/>
          </w:tcPr>
          <w:p>
            <w:pPr>
              <w:jc w:val="center"/>
              <w:spacing w:after="0"/>
              <w:rPr>
                <w:sz w:val="20"/>
                <w:szCs w:val="20"/>
                <w:color w:val="auto"/>
              </w:rPr>
            </w:pPr>
            <w:r>
              <w:rPr>
                <w:rFonts w:ascii="Arial" w:cs="Arial" w:eastAsia="Arial" w:hAnsi="Arial"/>
                <w:sz w:val="16"/>
                <w:szCs w:val="16"/>
                <w:b w:val="1"/>
                <w:bCs w:val="1"/>
                <w:color w:val="auto"/>
              </w:rPr>
              <w:t>PART III</w:t>
            </w:r>
          </w:p>
        </w:tc>
        <w:tc>
          <w:tcPr>
            <w:tcW w:w="760" w:type="dxa"/>
            <w:vAlign w:val="bottom"/>
          </w:tcPr>
          <w:p>
            <w:pPr>
              <w:spacing w:after="0"/>
              <w:rPr>
                <w:sz w:val="21"/>
                <w:szCs w:val="21"/>
                <w:color w:val="auto"/>
              </w:rPr>
            </w:pPr>
          </w:p>
        </w:tc>
      </w:tr>
      <w:tr>
        <w:trPr>
          <w:trHeight w:val="235"/>
        </w:trPr>
        <w:tc>
          <w:tcPr>
            <w:tcW w:w="680" w:type="dxa"/>
            <w:vAlign w:val="bottom"/>
          </w:tcPr>
          <w:p>
            <w:pPr>
              <w:spacing w:after="0"/>
              <w:rPr>
                <w:sz w:val="20"/>
                <w:szCs w:val="20"/>
                <w:color w:val="auto"/>
              </w:rPr>
            </w:pPr>
            <w:r>
              <w:rPr>
                <w:rFonts w:ascii="Arial" w:cs="Arial" w:eastAsia="Arial" w:hAnsi="Arial"/>
                <w:sz w:val="16"/>
                <w:szCs w:val="16"/>
                <w:color w:val="auto"/>
              </w:rPr>
              <w:t>Item 10.</w:t>
            </w:r>
          </w:p>
        </w:tc>
        <w:tc>
          <w:tcPr>
            <w:tcW w:w="9260" w:type="dxa"/>
            <w:vAlign w:val="bottom"/>
          </w:tcPr>
          <w:p>
            <w:pPr>
              <w:ind w:left="80"/>
              <w:spacing w:after="0"/>
              <w:rPr>
                <w:rFonts w:ascii="Arial" w:cs="Arial" w:eastAsia="Arial" w:hAnsi="Arial"/>
                <w:sz w:val="16"/>
                <w:szCs w:val="16"/>
                <w:color w:val="0000EE"/>
              </w:rPr>
            </w:pPr>
            <w:hyperlink w:anchor="page97">
              <w:r>
                <w:rPr>
                  <w:rFonts w:ascii="Arial" w:cs="Arial" w:eastAsia="Arial" w:hAnsi="Arial"/>
                  <w:sz w:val="16"/>
                  <w:szCs w:val="16"/>
                  <w:color w:val="0000EE"/>
                </w:rPr>
                <w:t>Directors, Executive Officers and Corporate Governance</w:t>
              </w:r>
            </w:hyperlink>
          </w:p>
        </w:tc>
        <w:tc>
          <w:tcPr>
            <w:tcW w:w="760" w:type="dxa"/>
            <w:vAlign w:val="bottom"/>
          </w:tcPr>
          <w:p>
            <w:pPr>
              <w:jc w:val="center"/>
              <w:spacing w:after="0"/>
              <w:rPr>
                <w:rFonts w:ascii="Arial" w:cs="Arial" w:eastAsia="Arial" w:hAnsi="Arial"/>
                <w:sz w:val="16"/>
                <w:szCs w:val="16"/>
                <w:color w:val="0000EE"/>
              </w:rPr>
            </w:pPr>
            <w:hyperlink w:anchor="page97">
              <w:r>
                <w:rPr>
                  <w:rFonts w:ascii="Arial" w:cs="Arial" w:eastAsia="Arial" w:hAnsi="Arial"/>
                  <w:sz w:val="16"/>
                  <w:szCs w:val="16"/>
                  <w:color w:val="0000EE"/>
                </w:rPr>
                <w:t>96</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11.</w:t>
            </w:r>
          </w:p>
        </w:tc>
        <w:tc>
          <w:tcPr>
            <w:tcW w:w="9260" w:type="dxa"/>
            <w:vAlign w:val="bottom"/>
          </w:tcPr>
          <w:p>
            <w:pPr>
              <w:ind w:left="80"/>
              <w:spacing w:after="0"/>
              <w:rPr>
                <w:rFonts w:ascii="Arial" w:cs="Arial" w:eastAsia="Arial" w:hAnsi="Arial"/>
                <w:sz w:val="16"/>
                <w:szCs w:val="16"/>
                <w:color w:val="0000EE"/>
              </w:rPr>
            </w:pPr>
            <w:hyperlink w:anchor="page97">
              <w:r>
                <w:rPr>
                  <w:rFonts w:ascii="Arial" w:cs="Arial" w:eastAsia="Arial" w:hAnsi="Arial"/>
                  <w:sz w:val="16"/>
                  <w:szCs w:val="16"/>
                  <w:color w:val="0000EE"/>
                </w:rPr>
                <w:t>Executive Compensation</w:t>
              </w:r>
            </w:hyperlink>
          </w:p>
        </w:tc>
        <w:tc>
          <w:tcPr>
            <w:tcW w:w="760" w:type="dxa"/>
            <w:vAlign w:val="bottom"/>
          </w:tcPr>
          <w:p>
            <w:pPr>
              <w:jc w:val="center"/>
              <w:spacing w:after="0"/>
              <w:rPr>
                <w:rFonts w:ascii="Arial" w:cs="Arial" w:eastAsia="Arial" w:hAnsi="Arial"/>
                <w:sz w:val="16"/>
                <w:szCs w:val="16"/>
                <w:color w:val="0000EE"/>
              </w:rPr>
            </w:pPr>
            <w:hyperlink w:anchor="page97">
              <w:r>
                <w:rPr>
                  <w:rFonts w:ascii="Arial" w:cs="Arial" w:eastAsia="Arial" w:hAnsi="Arial"/>
                  <w:sz w:val="16"/>
                  <w:szCs w:val="16"/>
                  <w:color w:val="0000EE"/>
                </w:rPr>
                <w:t>96</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12.</w:t>
            </w:r>
          </w:p>
        </w:tc>
        <w:tc>
          <w:tcPr>
            <w:tcW w:w="9260" w:type="dxa"/>
            <w:vAlign w:val="bottom"/>
          </w:tcPr>
          <w:p>
            <w:pPr>
              <w:ind w:left="80"/>
              <w:spacing w:after="0"/>
              <w:rPr>
                <w:rFonts w:ascii="Arial" w:cs="Arial" w:eastAsia="Arial" w:hAnsi="Arial"/>
                <w:sz w:val="16"/>
                <w:szCs w:val="16"/>
                <w:color w:val="0000EE"/>
              </w:rPr>
            </w:pPr>
            <w:hyperlink w:anchor="page97">
              <w:r>
                <w:rPr>
                  <w:rFonts w:ascii="Arial" w:cs="Arial" w:eastAsia="Arial" w:hAnsi="Arial"/>
                  <w:sz w:val="16"/>
                  <w:szCs w:val="16"/>
                  <w:color w:val="0000EE"/>
                </w:rPr>
                <w:t>Security Ownership of Certain Beneficial Owners and Management and Related Stockholder Matters</w:t>
              </w:r>
            </w:hyperlink>
          </w:p>
        </w:tc>
        <w:tc>
          <w:tcPr>
            <w:tcW w:w="760" w:type="dxa"/>
            <w:vAlign w:val="bottom"/>
          </w:tcPr>
          <w:p>
            <w:pPr>
              <w:jc w:val="center"/>
              <w:spacing w:after="0"/>
              <w:rPr>
                <w:rFonts w:ascii="Arial" w:cs="Arial" w:eastAsia="Arial" w:hAnsi="Arial"/>
                <w:sz w:val="16"/>
                <w:szCs w:val="16"/>
                <w:color w:val="0000EE"/>
              </w:rPr>
            </w:pPr>
            <w:hyperlink w:anchor="page97">
              <w:r>
                <w:rPr>
                  <w:rFonts w:ascii="Arial" w:cs="Arial" w:eastAsia="Arial" w:hAnsi="Arial"/>
                  <w:sz w:val="16"/>
                  <w:szCs w:val="16"/>
                  <w:color w:val="0000EE"/>
                </w:rPr>
                <w:t>96</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13.</w:t>
            </w:r>
          </w:p>
        </w:tc>
        <w:tc>
          <w:tcPr>
            <w:tcW w:w="9260" w:type="dxa"/>
            <w:vAlign w:val="bottom"/>
          </w:tcPr>
          <w:p>
            <w:pPr>
              <w:ind w:left="80"/>
              <w:spacing w:after="0"/>
              <w:rPr>
                <w:rFonts w:ascii="Arial" w:cs="Arial" w:eastAsia="Arial" w:hAnsi="Arial"/>
                <w:sz w:val="16"/>
                <w:szCs w:val="16"/>
                <w:color w:val="0000EE"/>
              </w:rPr>
            </w:pPr>
            <w:hyperlink w:anchor="page97">
              <w:r>
                <w:rPr>
                  <w:rFonts w:ascii="Arial" w:cs="Arial" w:eastAsia="Arial" w:hAnsi="Arial"/>
                  <w:sz w:val="16"/>
                  <w:szCs w:val="16"/>
                  <w:color w:val="0000EE"/>
                </w:rPr>
                <w:t>Certain Relationships and Related Transactions, and Director Independence</w:t>
              </w:r>
            </w:hyperlink>
          </w:p>
        </w:tc>
        <w:tc>
          <w:tcPr>
            <w:tcW w:w="760" w:type="dxa"/>
            <w:vAlign w:val="bottom"/>
          </w:tcPr>
          <w:p>
            <w:pPr>
              <w:jc w:val="center"/>
              <w:spacing w:after="0"/>
              <w:rPr>
                <w:rFonts w:ascii="Arial" w:cs="Arial" w:eastAsia="Arial" w:hAnsi="Arial"/>
                <w:sz w:val="16"/>
                <w:szCs w:val="16"/>
                <w:color w:val="0000EE"/>
              </w:rPr>
            </w:pPr>
            <w:hyperlink w:anchor="page97">
              <w:r>
                <w:rPr>
                  <w:rFonts w:ascii="Arial" w:cs="Arial" w:eastAsia="Arial" w:hAnsi="Arial"/>
                  <w:sz w:val="16"/>
                  <w:szCs w:val="16"/>
                  <w:color w:val="0000EE"/>
                </w:rPr>
                <w:t>96</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14.</w:t>
            </w:r>
          </w:p>
        </w:tc>
        <w:tc>
          <w:tcPr>
            <w:tcW w:w="9260" w:type="dxa"/>
            <w:vAlign w:val="bottom"/>
          </w:tcPr>
          <w:p>
            <w:pPr>
              <w:ind w:left="80"/>
              <w:spacing w:after="0"/>
              <w:rPr>
                <w:rFonts w:ascii="Arial" w:cs="Arial" w:eastAsia="Arial" w:hAnsi="Arial"/>
                <w:sz w:val="16"/>
                <w:szCs w:val="16"/>
                <w:color w:val="0000EE"/>
              </w:rPr>
            </w:pPr>
            <w:hyperlink w:anchor="page97">
              <w:r>
                <w:rPr>
                  <w:rFonts w:ascii="Arial" w:cs="Arial" w:eastAsia="Arial" w:hAnsi="Arial"/>
                  <w:sz w:val="16"/>
                  <w:szCs w:val="16"/>
                  <w:color w:val="0000EE"/>
                </w:rPr>
                <w:t>Principal Accounting Fees and Services</w:t>
              </w:r>
            </w:hyperlink>
          </w:p>
        </w:tc>
        <w:tc>
          <w:tcPr>
            <w:tcW w:w="760" w:type="dxa"/>
            <w:vAlign w:val="bottom"/>
          </w:tcPr>
          <w:p>
            <w:pPr>
              <w:jc w:val="center"/>
              <w:spacing w:after="0"/>
              <w:rPr>
                <w:rFonts w:ascii="Arial" w:cs="Arial" w:eastAsia="Arial" w:hAnsi="Arial"/>
                <w:sz w:val="16"/>
                <w:szCs w:val="16"/>
                <w:color w:val="0000EE"/>
              </w:rPr>
            </w:pPr>
            <w:hyperlink w:anchor="page97">
              <w:r>
                <w:rPr>
                  <w:rFonts w:ascii="Arial" w:cs="Arial" w:eastAsia="Arial" w:hAnsi="Arial"/>
                  <w:sz w:val="16"/>
                  <w:szCs w:val="16"/>
                  <w:color w:val="0000EE"/>
                </w:rPr>
                <w:t>96</w:t>
              </w:r>
            </w:hyperlink>
          </w:p>
        </w:tc>
      </w:tr>
      <w:tr>
        <w:trPr>
          <w:trHeight w:val="251"/>
        </w:trPr>
        <w:tc>
          <w:tcPr>
            <w:tcW w:w="680" w:type="dxa"/>
            <w:vAlign w:val="bottom"/>
          </w:tcPr>
          <w:p>
            <w:pPr>
              <w:spacing w:after="0"/>
              <w:rPr>
                <w:sz w:val="21"/>
                <w:szCs w:val="21"/>
                <w:color w:val="auto"/>
              </w:rPr>
            </w:pPr>
          </w:p>
        </w:tc>
        <w:tc>
          <w:tcPr>
            <w:tcW w:w="9260" w:type="dxa"/>
            <w:vAlign w:val="bottom"/>
          </w:tcPr>
          <w:p>
            <w:pPr>
              <w:jc w:val="center"/>
              <w:spacing w:after="0"/>
              <w:rPr>
                <w:sz w:val="20"/>
                <w:szCs w:val="20"/>
                <w:color w:val="auto"/>
              </w:rPr>
            </w:pPr>
            <w:r>
              <w:rPr>
                <w:rFonts w:ascii="Arial" w:cs="Arial" w:eastAsia="Arial" w:hAnsi="Arial"/>
                <w:sz w:val="16"/>
                <w:szCs w:val="16"/>
                <w:b w:val="1"/>
                <w:bCs w:val="1"/>
                <w:color w:val="auto"/>
                <w:w w:val="98"/>
              </w:rPr>
              <w:t>PART IV</w:t>
            </w:r>
          </w:p>
        </w:tc>
        <w:tc>
          <w:tcPr>
            <w:tcW w:w="760" w:type="dxa"/>
            <w:vAlign w:val="bottom"/>
          </w:tcPr>
          <w:p>
            <w:pPr>
              <w:spacing w:after="0"/>
              <w:rPr>
                <w:sz w:val="21"/>
                <w:szCs w:val="21"/>
                <w:color w:val="auto"/>
              </w:rPr>
            </w:pPr>
          </w:p>
        </w:tc>
      </w:tr>
      <w:tr>
        <w:trPr>
          <w:trHeight w:val="235"/>
        </w:trPr>
        <w:tc>
          <w:tcPr>
            <w:tcW w:w="680" w:type="dxa"/>
            <w:vAlign w:val="bottom"/>
          </w:tcPr>
          <w:p>
            <w:pPr>
              <w:spacing w:after="0"/>
              <w:rPr>
                <w:sz w:val="20"/>
                <w:szCs w:val="20"/>
                <w:color w:val="auto"/>
              </w:rPr>
            </w:pPr>
            <w:r>
              <w:rPr>
                <w:rFonts w:ascii="Arial" w:cs="Arial" w:eastAsia="Arial" w:hAnsi="Arial"/>
                <w:sz w:val="16"/>
                <w:szCs w:val="16"/>
                <w:color w:val="auto"/>
              </w:rPr>
              <w:t>Item 15.</w:t>
            </w:r>
          </w:p>
        </w:tc>
        <w:tc>
          <w:tcPr>
            <w:tcW w:w="9260" w:type="dxa"/>
            <w:vAlign w:val="bottom"/>
          </w:tcPr>
          <w:p>
            <w:pPr>
              <w:ind w:left="80"/>
              <w:spacing w:after="0"/>
              <w:rPr>
                <w:rFonts w:ascii="Arial" w:cs="Arial" w:eastAsia="Arial" w:hAnsi="Arial"/>
                <w:sz w:val="16"/>
                <w:szCs w:val="16"/>
                <w:color w:val="0000EE"/>
              </w:rPr>
            </w:pPr>
            <w:hyperlink w:anchor="page99">
              <w:r>
                <w:rPr>
                  <w:rFonts w:ascii="Arial" w:cs="Arial" w:eastAsia="Arial" w:hAnsi="Arial"/>
                  <w:sz w:val="16"/>
                  <w:szCs w:val="16"/>
                  <w:color w:val="0000EE"/>
                </w:rPr>
                <w:t>Exhibits and Financial Statement Schedules</w:t>
              </w:r>
            </w:hyperlink>
          </w:p>
        </w:tc>
        <w:tc>
          <w:tcPr>
            <w:tcW w:w="760" w:type="dxa"/>
            <w:vAlign w:val="bottom"/>
          </w:tcPr>
          <w:p>
            <w:pPr>
              <w:jc w:val="center"/>
              <w:spacing w:after="0"/>
              <w:rPr>
                <w:rFonts w:ascii="Arial" w:cs="Arial" w:eastAsia="Arial" w:hAnsi="Arial"/>
                <w:sz w:val="16"/>
                <w:szCs w:val="16"/>
                <w:color w:val="0000EE"/>
              </w:rPr>
            </w:pPr>
            <w:hyperlink w:anchor="page99">
              <w:r>
                <w:rPr>
                  <w:rFonts w:ascii="Arial" w:cs="Arial" w:eastAsia="Arial" w:hAnsi="Arial"/>
                  <w:sz w:val="16"/>
                  <w:szCs w:val="16"/>
                  <w:color w:val="0000EE"/>
                </w:rPr>
                <w:t>98</w:t>
              </w:r>
            </w:hyperlink>
          </w:p>
        </w:tc>
      </w:tr>
      <w:tr>
        <w:trPr>
          <w:trHeight w:val="243"/>
        </w:trPr>
        <w:tc>
          <w:tcPr>
            <w:tcW w:w="9940" w:type="dxa"/>
            <w:vAlign w:val="bottom"/>
            <w:gridSpan w:val="2"/>
          </w:tcPr>
          <w:p>
            <w:pPr>
              <w:spacing w:after="0"/>
              <w:rPr>
                <w:sz w:val="20"/>
                <w:szCs w:val="20"/>
                <w:color w:val="auto"/>
              </w:rPr>
            </w:pPr>
            <w:r>
              <w:rPr>
                <w:rFonts w:ascii="Arial" w:cs="Arial" w:eastAsia="Arial" w:hAnsi="Arial"/>
                <w:sz w:val="16"/>
                <w:szCs w:val="16"/>
                <w:color w:val="0000EE"/>
              </w:rPr>
              <w:t>Signatures</w:t>
            </w:r>
          </w:p>
        </w:tc>
        <w:tc>
          <w:tcPr>
            <w:tcW w:w="760" w:type="dxa"/>
            <w:vAlign w:val="bottom"/>
          </w:tcPr>
          <w:p>
            <w:pPr>
              <w:jc w:val="center"/>
              <w:spacing w:after="0"/>
              <w:rPr>
                <w:sz w:val="20"/>
                <w:szCs w:val="20"/>
                <w:color w:val="auto"/>
              </w:rPr>
            </w:pPr>
            <w:r>
              <w:rPr>
                <w:rFonts w:ascii="Arial" w:cs="Arial" w:eastAsia="Arial" w:hAnsi="Arial"/>
                <w:sz w:val="16"/>
                <w:szCs w:val="16"/>
                <w:color w:val="0000EE"/>
              </w:rPr>
              <w:t>X</w:t>
            </w:r>
          </w:p>
        </w:tc>
      </w:tr>
    </w:tbl>
    <w:p>
      <w:pPr>
        <w:spacing w:after="0" w:line="200" w:lineRule="exact"/>
        <w:rPr>
          <w:sz w:val="20"/>
          <w:szCs w:val="20"/>
          <w:color w:val="auto"/>
        </w:rPr>
      </w:pPr>
    </w:p>
    <w:p>
      <w:pPr>
        <w:spacing w:after="0" w:line="33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240" w:top="121" w:right="9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Forward-Looking Statements</w:t>
      </w:r>
    </w:p>
    <w:p>
      <w:pPr>
        <w:spacing w:after="0" w:line="20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231F20"/>
        </w:rPr>
        <w:t>In addition to historical information, 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10-K include, but are not limited to, statements about:</w:t>
      </w:r>
    </w:p>
    <w:p>
      <w:pPr>
        <w:spacing w:after="0" w:line="177" w:lineRule="exact"/>
        <w:rPr>
          <w:sz w:val="20"/>
          <w:szCs w:val="20"/>
          <w:color w:val="auto"/>
        </w:rPr>
      </w:pPr>
    </w:p>
    <w:p>
      <w:pPr>
        <w:ind w:left="1060" w:hanging="323"/>
        <w:spacing w:after="0" w:line="262"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231F20"/>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231F20"/>
        </w:rPr>
      </w:pPr>
    </w:p>
    <w:p>
      <w:pPr>
        <w:ind w:left="106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anticipated investments in sales and marketing, our infrastructure, new solutions,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231F20"/>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hanging="323"/>
        <w:spacing w:after="0" w:line="266"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other factors discussed in this Annual Report on Form 10-K in the sections titled "Risk Factors," "Management's Discussion and Analysis of Financial Condition and Results of Operations" and "Business."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i w:val="1"/>
          <w:iCs w:val="1"/>
          <w:color w:val="231F20"/>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 Item 1A (Risk Factors) of this Annual Report.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7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8"/>
          <w:szCs w:val="18"/>
          <w:i w:val="1"/>
          <w:iCs w:val="1"/>
          <w:color w:val="231F20"/>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6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231F20"/>
        </w:rPr>
        <w:t>Qualys, the Qualys logo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 and ™ designations, as applicable, for the trademarks used in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 xml:space="preserve">We </w:t>
      </w:r>
      <w:r>
        <w:rPr>
          <w:rFonts w:ascii="Arial" w:cs="Arial" w:eastAsia="Arial" w:hAnsi="Arial"/>
          <w:sz w:val="18"/>
          <w:szCs w:val="18"/>
          <w:color w:val="000000"/>
        </w:rPr>
        <w:t>are a pioneer and leading provider of a cloud-based platform delivering security and compliance solutions that enable organizations to</w:t>
      </w:r>
      <w:r>
        <w:rPr>
          <w:rFonts w:ascii="Arial" w:cs="Arial" w:eastAsia="Arial" w:hAnsi="Arial"/>
          <w:sz w:val="18"/>
          <w:szCs w:val="18"/>
          <w:color w:val="231F20"/>
        </w:rPr>
        <w:t xml:space="preserve"> </w:t>
      </w:r>
      <w:r>
        <w:rPr>
          <w:rFonts w:ascii="Arial" w:cs="Arial" w:eastAsia="Arial" w:hAnsi="Arial"/>
          <w:sz w:val="18"/>
          <w:szCs w:val="18"/>
          <w:color w:val="000000"/>
        </w:rPr>
        <w:t>identify security risks to their information technology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security and compliance solutions delivered on our Qualys cloud platform (Qualys Cloud Platform) enables our customers to identify and manage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83"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In this environment, new and evolving digital technologies intended to improve organizations’ operations can also increase vulnerability to cyber-attacks,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delivered in a single platform.</w:t>
      </w:r>
    </w:p>
    <w:p>
      <w:pPr>
        <w:spacing w:after="0" w:line="182"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We designed our Qualys Cloud Platform to transform the way organizations secure and protect their IT infrastructures and applications. Our cloud platform offers an integrated suite of solutions that automates the lifecycle of asset discovery and management, security assessments, and compliance management for an organization’s IT infrastructure and assets, whether such infrastructure and assets reside inside the organization, on their network perimeter, on endpoints or in the cloud. Since inception, our solutions have been designed to be delivered through the cloud and to be easily and rapidly deployed on a global scale, enabling faster implementation and lower total cost of ownership than traditional on-premises enterprise software products. Our customers, ranging from some of the largest global organizations to small businesses, are served from our globally-distributed cloud platform, enabling us to rapidly deliver new solutions, enhancements and security updates.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believe that our cloud platform provides our customers with unique advantages, including:</w:t>
      </w:r>
    </w:p>
    <w:p>
      <w:pPr>
        <w:spacing w:after="0" w:line="225" w:lineRule="exact"/>
        <w:rPr>
          <w:sz w:val="20"/>
          <w:szCs w:val="20"/>
          <w:color w:val="auto"/>
        </w:rPr>
      </w:pPr>
    </w:p>
    <w:p>
      <w:pPr>
        <w:ind w:left="1040" w:right="20" w:hanging="316"/>
        <w:spacing w:after="0" w:line="291"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 hardware to buy or manage. </w:t>
      </w:r>
      <w:r>
        <w:rPr>
          <w:rFonts w:ascii="Arial" w:cs="Arial" w:eastAsia="Arial" w:hAnsi="Arial"/>
          <w:sz w:val="18"/>
          <w:szCs w:val="18"/>
          <w:color w:val="auto"/>
        </w:rPr>
        <w:t>There is no infrastructure or software to buy and maintain thus reducing our customers’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all services are accessible in the cloud via web interface. Qualys operates and maintains the platform.</w:t>
      </w:r>
    </w:p>
    <w:p>
      <w:pPr>
        <w:spacing w:after="0" w:line="145" w:lineRule="exact"/>
        <w:rPr>
          <w:rFonts w:ascii="Times New Roman" w:cs="Times New Roman" w:eastAsia="Times New Roman" w:hAnsi="Times New Roman"/>
          <w:sz w:val="18"/>
          <w:szCs w:val="18"/>
          <w:color w:val="auto"/>
        </w:rPr>
      </w:pPr>
    </w:p>
    <w:p>
      <w:pPr>
        <w:jc w:val="both"/>
        <w:ind w:left="1040" w:hanging="316"/>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Real-time visibility in one place, anytime and anywhere</w:t>
      </w:r>
      <w:r>
        <w:rPr>
          <w:rFonts w:ascii="Times New Roman" w:cs="Times New Roman" w:eastAsia="Times New Roman" w:hAnsi="Times New Roman"/>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can conveniently see their security and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posture across their global IT asset inventory in one browser window, without plugins or a virtual private network (VPN), whenever and wherever Internet access is available.</w:t>
      </w:r>
    </w:p>
    <w:p>
      <w:pPr>
        <w:spacing w:after="0" w:line="164" w:lineRule="exact"/>
        <w:rPr>
          <w:rFonts w:ascii="Times New Roman" w:cs="Times New Roman" w:eastAsia="Times New Roman" w:hAnsi="Times New Roman"/>
          <w:sz w:val="18"/>
          <w:szCs w:val="18"/>
          <w:color w:val="auto"/>
        </w:rPr>
      </w:pPr>
    </w:p>
    <w:p>
      <w:pPr>
        <w:ind w:left="1040" w:hanging="316"/>
        <w:spacing w:after="0" w:line="291"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Easy global scanning. </w:t>
      </w:r>
      <w:r>
        <w:rPr>
          <w:rFonts w:ascii="Arial" w:cs="Arial" w:eastAsia="Arial" w:hAnsi="Arial"/>
          <w:sz w:val="18"/>
          <w:szCs w:val="18"/>
          <w:color w:val="auto"/>
        </w:rPr>
        <w:t>Our customers can easily perform scans on geographically distributed and segmented networks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perimeter, behind the firewall, on dynamic cloud environments and on endpoints.</w:t>
      </w:r>
    </w:p>
    <w:p>
      <w:pPr>
        <w:spacing w:after="0" w:line="145" w:lineRule="exact"/>
        <w:rPr>
          <w:rFonts w:ascii="Times New Roman" w:cs="Times New Roman" w:eastAsia="Times New Roman" w:hAnsi="Times New Roman"/>
          <w:sz w:val="18"/>
          <w:szCs w:val="18"/>
          <w:color w:val="auto"/>
        </w:rPr>
      </w:pPr>
    </w:p>
    <w:p>
      <w:pPr>
        <w:ind w:left="1040" w:hanging="316"/>
        <w:spacing w:after="0" w:line="291"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Seamless scaling. </w:t>
      </w:r>
      <w:r>
        <w:rPr>
          <w:rFonts w:ascii="Arial" w:cs="Arial" w:eastAsia="Arial" w:hAnsi="Arial"/>
          <w:sz w:val="18"/>
          <w:szCs w:val="18"/>
          <w:color w:val="auto"/>
        </w:rPr>
        <w:t>Our cloud platform is a scalable, comprehensive, and end-to-end solution for the IT security needs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Our customers can seamlessly add new coverage, users and services after they have deployed our platform.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40" w:hanging="316"/>
        <w:spacing w:after="0" w:line="292"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Up to date resources</w:t>
      </w:r>
      <w:r>
        <w:rPr>
          <w:rFonts w:ascii="Arial" w:cs="Arial" w:eastAsia="Arial" w:hAnsi="Arial"/>
          <w:sz w:val="18"/>
          <w:szCs w:val="18"/>
          <w:color w:val="auto"/>
        </w:rPr>
        <w:t>. Qualys has one of the largest knowledge bases of vulnerability signatures in the industry. All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updates are made in real-time.</w:t>
      </w:r>
    </w:p>
    <w:p>
      <w:pPr>
        <w:spacing w:after="0" w:line="144" w:lineRule="exact"/>
        <w:rPr>
          <w:rFonts w:ascii="Arial" w:cs="Arial" w:eastAsia="Arial" w:hAnsi="Arial"/>
          <w:sz w:val="18"/>
          <w:szCs w:val="18"/>
          <w:color w:val="auto"/>
        </w:rPr>
      </w:pPr>
    </w:p>
    <w:p>
      <w:pPr>
        <w:ind w:left="1040" w:hanging="316"/>
        <w:spacing w:after="0" w:line="291"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Data stored securely</w:t>
      </w:r>
      <w:r>
        <w:rPr>
          <w:rFonts w:ascii="Arial" w:cs="Arial" w:eastAsia="Arial" w:hAnsi="Arial"/>
          <w:sz w:val="18"/>
          <w:szCs w:val="18"/>
          <w:color w:val="auto"/>
        </w:rPr>
        <w:t>. Data is securely stored and processed in a multi-tiered architecture of load-balanced servers. Our encrypted</w:t>
      </w:r>
      <w:r>
        <w:rPr>
          <w:rFonts w:ascii="Arial" w:cs="Arial" w:eastAsia="Arial" w:hAnsi="Arial"/>
          <w:sz w:val="18"/>
          <w:szCs w:val="18"/>
          <w:i w:val="1"/>
          <w:iCs w:val="1"/>
          <w:color w:val="auto"/>
        </w:rPr>
        <w:t xml:space="preserve"> </w:t>
      </w:r>
      <w:r>
        <w:rPr>
          <w:rFonts w:ascii="Arial" w:cs="Arial" w:eastAsia="Arial" w:hAnsi="Arial"/>
          <w:sz w:val="18"/>
          <w:szCs w:val="18"/>
          <w:color w:val="auto"/>
        </w:rPr>
        <w:t>databases are physically and logically secured.</w:t>
      </w:r>
    </w:p>
    <w:p>
      <w:pPr>
        <w:spacing w:after="0" w:line="145"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on-premise assets, endpoints and cloud environments. These solutions and their Cloud Apps address and include:</w:t>
      </w:r>
    </w:p>
    <w:p>
      <w:pPr>
        <w:spacing w:after="0" w:line="175" w:lineRule="exact"/>
        <w:rPr>
          <w:sz w:val="20"/>
          <w:szCs w:val="20"/>
          <w:color w:val="auto"/>
        </w:rPr>
      </w:pPr>
    </w:p>
    <w:p>
      <w:pPr>
        <w:ind w:left="1040" w:right="3120" w:hanging="235"/>
        <w:spacing w:after="0" w:line="292"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IT Security: </w:t>
      </w:r>
      <w:r>
        <w:rPr>
          <w:rFonts w:ascii="Arial" w:cs="Arial" w:eastAsia="Arial" w:hAnsi="Arial"/>
          <w:sz w:val="18"/>
          <w:szCs w:val="18"/>
          <w:color w:val="auto"/>
        </w:rPr>
        <w:t>Vulnerability Management (VM), Threat Protection (TP), Continuous Monitoring</w:t>
      </w:r>
      <w:r>
        <w:rPr>
          <w:rFonts w:ascii="Arial" w:cs="Arial" w:eastAsia="Arial" w:hAnsi="Arial"/>
          <w:sz w:val="18"/>
          <w:szCs w:val="18"/>
          <w:i w:val="1"/>
          <w:iCs w:val="1"/>
          <w:color w:val="auto"/>
        </w:rPr>
        <w:t xml:space="preserve"> </w:t>
      </w:r>
      <w:r>
        <w:rPr>
          <w:rFonts w:ascii="Arial" w:cs="Arial" w:eastAsia="Arial" w:hAnsi="Arial"/>
          <w:sz w:val="18"/>
          <w:szCs w:val="18"/>
          <w:color w:val="auto"/>
        </w:rPr>
        <w:t>(CM), indication of Compromise (IOC), Certificate Assessment (CRA);</w:t>
      </w:r>
    </w:p>
    <w:p>
      <w:pPr>
        <w:spacing w:after="0" w:line="144" w:lineRule="exact"/>
        <w:rPr>
          <w:rFonts w:ascii="Arial" w:cs="Arial" w:eastAsia="Arial" w:hAnsi="Arial"/>
          <w:sz w:val="18"/>
          <w:szCs w:val="18"/>
          <w:color w:val="auto"/>
        </w:rPr>
      </w:pPr>
    </w:p>
    <w:p>
      <w:pPr>
        <w:ind w:left="1040" w:hanging="23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Compliance Monitoring: </w:t>
      </w:r>
      <w:r>
        <w:rPr>
          <w:rFonts w:ascii="Arial" w:cs="Arial" w:eastAsia="Arial" w:hAnsi="Arial"/>
          <w:sz w:val="18"/>
          <w:szCs w:val="18"/>
          <w:color w:val="auto"/>
        </w:rPr>
        <w:t>Policy Compliance (PC), PCI Compliance (PCI), File Integrity</w:t>
      </w:r>
    </w:p>
    <w:p>
      <w:pPr>
        <w:spacing w:after="0" w:line="3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Monitoring (FIM), Security Configuration Assessment (SCA), Security Assessment Questionnaire (SAQ);</w:t>
      </w:r>
    </w:p>
    <w:p>
      <w:pPr>
        <w:spacing w:after="0" w:line="203" w:lineRule="exact"/>
        <w:rPr>
          <w:rFonts w:ascii="Arial" w:cs="Arial" w:eastAsia="Arial" w:hAnsi="Arial"/>
          <w:sz w:val="18"/>
          <w:szCs w:val="18"/>
          <w:color w:val="auto"/>
        </w:rPr>
      </w:pPr>
    </w:p>
    <w:p>
      <w:pPr>
        <w:ind w:left="1040" w:hanging="23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225" w:lineRule="exact"/>
        <w:rPr>
          <w:rFonts w:ascii="Arial" w:cs="Arial" w:eastAsia="Arial" w:hAnsi="Arial"/>
          <w:sz w:val="18"/>
          <w:szCs w:val="18"/>
          <w:color w:val="auto"/>
        </w:rPr>
      </w:pPr>
    </w:p>
    <w:p>
      <w:pPr>
        <w:ind w:left="1040" w:hanging="23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Global IT Asset Management: </w:t>
      </w:r>
      <w:r>
        <w:rPr>
          <w:rFonts w:ascii="Arial" w:cs="Arial" w:eastAsia="Arial" w:hAnsi="Arial"/>
          <w:sz w:val="18"/>
          <w:szCs w:val="18"/>
          <w:color w:val="auto"/>
        </w:rPr>
        <w:t>Asset Inventory (AI), CMDB Sync (SYN), Certificate Inventory (CRI); and</w:t>
      </w:r>
    </w:p>
    <w:p>
      <w:pPr>
        <w:spacing w:after="0" w:line="225" w:lineRule="exact"/>
        <w:rPr>
          <w:rFonts w:ascii="Arial" w:cs="Arial" w:eastAsia="Arial" w:hAnsi="Arial"/>
          <w:sz w:val="18"/>
          <w:szCs w:val="18"/>
          <w:color w:val="auto"/>
        </w:rPr>
      </w:pPr>
    </w:p>
    <w:p>
      <w:pPr>
        <w:ind w:left="1040" w:right="2240" w:hanging="235"/>
        <w:spacing w:after="0" w:line="292"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(CS).</w:t>
      </w:r>
    </w:p>
    <w:p>
      <w:pPr>
        <w:spacing w:after="0" w:line="145"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significant revenue growth from our existing customers as they renew and purchase additional subscriptions.</w:t>
      </w:r>
    </w:p>
    <w:p>
      <w:pPr>
        <w:spacing w:after="0" w:line="175"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auto"/>
        </w:rPr>
        <w:t>O</w:t>
      </w:r>
      <w:r>
        <w:rPr>
          <w:rFonts w:ascii="Arial" w:cs="Arial" w:eastAsia="Arial" w:hAnsi="Arial"/>
          <w:sz w:val="18"/>
          <w:szCs w:val="18"/>
          <w:color w:val="231F20"/>
        </w:rPr>
        <w:t>ur Qualys Cloud Platform is currently used by over 12,200 customers and active users in more than 130 countries, including a majority</w:t>
      </w:r>
      <w:r>
        <w:rPr>
          <w:rFonts w:ascii="Arial" w:cs="Arial" w:eastAsia="Arial" w:hAnsi="Arial"/>
          <w:sz w:val="18"/>
          <w:szCs w:val="18"/>
          <w:color w:val="auto"/>
        </w:rPr>
        <w:t xml:space="preserve"> of each of the Forbes Global 100 and Fortune 100. Our revenues increased to $278.9 million in 2018 from $230.8 million in 2017 and $197.9 million in 2016. </w:t>
      </w:r>
      <w:r>
        <w:rPr>
          <w:rFonts w:ascii="Arial" w:cs="Arial" w:eastAsia="Arial" w:hAnsi="Arial"/>
          <w:sz w:val="18"/>
          <w:szCs w:val="18"/>
          <w:color w:val="231F20"/>
        </w:rPr>
        <w:t>Our VM solutions (including VM, CM, TP, Cloud Agent for VM, allocated scanner revenue and Qualys Private Cloud Platform)</w:t>
      </w:r>
      <w:r>
        <w:rPr>
          <w:rFonts w:ascii="Arial" w:cs="Arial" w:eastAsia="Arial" w:hAnsi="Arial"/>
          <w:sz w:val="18"/>
          <w:szCs w:val="18"/>
          <w:color w:val="auto"/>
        </w:rPr>
        <w:t xml:space="preserve"> </w:t>
      </w:r>
      <w:r>
        <w:rPr>
          <w:rFonts w:ascii="Arial" w:cs="Arial" w:eastAsia="Arial" w:hAnsi="Arial"/>
          <w:sz w:val="18"/>
          <w:szCs w:val="18"/>
          <w:color w:val="231F20"/>
        </w:rPr>
        <w:t xml:space="preserve">have provided a majority of our revenues to date, representing 74%, 74% and 76% of total revenues in 2018, </w:t>
      </w:r>
      <w:r>
        <w:rPr>
          <w:rFonts w:ascii="Arial" w:cs="Arial" w:eastAsia="Arial" w:hAnsi="Arial"/>
          <w:sz w:val="18"/>
          <w:szCs w:val="18"/>
          <w:color w:val="000000"/>
        </w:rPr>
        <w:t>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xml:space="preserve">, respectively. </w:t>
      </w:r>
      <w:r>
        <w:rPr>
          <w:rFonts w:ascii="Arial" w:cs="Arial" w:eastAsia="Arial" w:hAnsi="Arial"/>
          <w:sz w:val="18"/>
          <w:szCs w:val="18"/>
          <w:color w:val="000000"/>
        </w:rPr>
        <w:t>We</w:t>
      </w:r>
      <w:r>
        <w:rPr>
          <w:rFonts w:ascii="Arial" w:cs="Arial" w:eastAsia="Arial" w:hAnsi="Arial"/>
          <w:sz w:val="18"/>
          <w:szCs w:val="18"/>
          <w:color w:val="231F20"/>
        </w:rPr>
        <w:t xml:space="preserve"> </w:t>
      </w:r>
      <w:r>
        <w:rPr>
          <w:rFonts w:ascii="Arial" w:cs="Arial" w:eastAsia="Arial" w:hAnsi="Arial"/>
          <w:sz w:val="18"/>
          <w:szCs w:val="18"/>
          <w:color w:val="000000"/>
        </w:rPr>
        <w:t>generated net income of $57.3 million in 2018, $40.4 million in 2017 and $19.2 million in 2016. Total assets as of December 31, 2018 and 2017 were $585.7 million and $537.5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2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cloud platform consists of a suite of IT security, compliance monitoring, web application security, IT asset management and cloud and container security solutions, which we refer to as the Qualys Cloud Apps, that leverages our shared and extensible core services and our highly scalable multi-tenant cloud infrastructure. We also provide open application program interfaces, or APIs, and other developer tools that allow third parties to embed our technology into their solutions and build applications on our cloud platform.</w:t>
      </w:r>
    </w:p>
    <w:p>
      <w:pPr>
        <w:spacing w:after="0" w:line="170" w:lineRule="exact"/>
        <w:rPr>
          <w:sz w:val="20"/>
          <w:szCs w:val="20"/>
          <w:color w:val="auto"/>
        </w:rPr>
      </w:pPr>
    </w:p>
    <w:p>
      <w:pPr>
        <w:jc w:val="both"/>
        <w:ind w:right="20" w:firstLine="392"/>
        <w:spacing w:after="0" w:line="292" w:lineRule="auto"/>
        <w:rPr>
          <w:sz w:val="20"/>
          <w:szCs w:val="20"/>
          <w:color w:val="auto"/>
        </w:rPr>
      </w:pPr>
      <w:r>
        <w:rPr>
          <w:rFonts w:ascii="Arial" w:cs="Arial" w:eastAsia="Arial" w:hAnsi="Arial"/>
          <w:sz w:val="18"/>
          <w:szCs w:val="18"/>
          <w:color w:val="auto"/>
        </w:rPr>
        <w:t>Our cloud platform utilizes physical and virtual sensors, and cloud agents that provide our customers with continuous visibility enabling customers to respond to threats immediately.</w:t>
      </w:r>
    </w:p>
    <w:p>
      <w:pPr>
        <w:spacing w:after="0" w:line="145"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auto"/>
        </w:rPr>
        <w:t xml:space="preserve">The Qualys Cloud Platform automatically gathers and analyzes security and compliance data in a scalable, state-of-the-art backend. The technology underlying our cloud infrastructure </w:t>
      </w:r>
      <w:r>
        <w:rPr>
          <w:rFonts w:ascii="Arial" w:cs="Arial" w:eastAsia="Arial" w:hAnsi="Arial"/>
          <w:sz w:val="18"/>
          <w:szCs w:val="18"/>
          <w:color w:val="222222"/>
        </w:rPr>
        <w:t>enables us to ingest, process, analyze and store a high volume of sensor data coming from our</w:t>
      </w:r>
      <w:r>
        <w:rPr>
          <w:rFonts w:ascii="Arial" w:cs="Arial" w:eastAsia="Arial" w:hAnsi="Arial"/>
          <w:sz w:val="18"/>
          <w:szCs w:val="18"/>
          <w:color w:val="auto"/>
        </w:rPr>
        <w:t xml:space="preserve"> </w:t>
      </w:r>
      <w:r>
        <w:rPr>
          <w:rFonts w:ascii="Arial" w:cs="Arial" w:eastAsia="Arial" w:hAnsi="Arial"/>
          <w:sz w:val="18"/>
          <w:szCs w:val="18"/>
          <w:color w:val="222222"/>
        </w:rPr>
        <w:t>agents, scanners and passive analyzers, and correlate information at very high speeds in a distributed manner for millions of devices.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460375</wp:posOffset>
            </wp:positionV>
            <wp:extent cx="5866130" cy="4185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21" w:right="1440"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Our cloud platform is delivered to our customers via our shared platform offering from our global data centers, or via our private platform offering, Qualys Private Cloud Platform (PCP), for customers or partners that want the platform to reside within the customer's data center. The PCP is a standalone version of our multi-layer, multi-tenant services architecture and is a fully integrated turnkey solution, making it more scalable, cost effective and faster to deploy within a customer's data center. Solutions delivered through our PCP are typically on the same subscription basis as solutions delivered through our shared platform. Our PCP utilizes hardware and software owned by us and is physically located on the customer's premises. The customer is not permitted to take possession of the software or access the software code. We also offer our PCP as a subscription-based platform services to the customer using a virtual version of our software. This virtualized PCP allows us to extend our security and compliance solutions without the complexity and cost associated with deploying traditional enterprise software. Additionally, in 2016, we introduced the Private Cloud Platform Appliance (PCPA), an on-premises security and compliance solution packaged in a form-factor for medium-sized companies.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Core Services</w:t>
      </w:r>
    </w:p>
    <w:p>
      <w:pPr>
        <w:spacing w:after="0" w:line="225" w:lineRule="exact"/>
        <w:rPr>
          <w:sz w:val="20"/>
          <w:szCs w:val="20"/>
          <w:color w:val="auto"/>
        </w:rPr>
      </w:pPr>
    </w:p>
    <w:p>
      <w:pPr>
        <w:jc w:val="both"/>
        <w:ind w:right="20" w:firstLine="392"/>
        <w:spacing w:after="0" w:line="292" w:lineRule="auto"/>
        <w:rPr>
          <w:sz w:val="20"/>
          <w:szCs w:val="20"/>
          <w:color w:val="auto"/>
        </w:rPr>
      </w:pPr>
      <w:r>
        <w:rPr>
          <w:rFonts w:ascii="Arial" w:cs="Arial" w:eastAsia="Arial" w:hAnsi="Arial"/>
          <w:sz w:val="18"/>
          <w:szCs w:val="18"/>
          <w:color w:val="auto"/>
        </w:rPr>
        <w:t>Our core services enable integrated workflows, management and real-time analysis and reporting across all of our IT security and compliance solutions for our customers inside their organizations, on the perimeter, on endpoints or in the cloud.</w:t>
      </w:r>
    </w:p>
    <w:p>
      <w:pPr>
        <w:spacing w:after="0" w:line="14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core services constitute dynamic and customizable dashboards and centrally managed, self-updating integrated Cloud Apps, through what we call a “single-pane-of-glass” user interface. Our interactive, dynamic dashboards and cloud platform allow our customers to aggregate and correlate all of their IT, security and compliance data in one place, drill down into details, and generate reports customized for different audiences. Our cloud platform’s powerful elasticsearch clusters enable customers to instantly find detailed data on any asset.</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core services include:</w:t>
      </w:r>
    </w:p>
    <w:p>
      <w:pPr>
        <w:spacing w:after="0" w:line="225" w:lineRule="exact"/>
        <w:rPr>
          <w:sz w:val="20"/>
          <w:szCs w:val="20"/>
          <w:color w:val="auto"/>
        </w:rPr>
      </w:pPr>
    </w:p>
    <w:p>
      <w:pPr>
        <w:jc w:val="both"/>
        <w:ind w:left="66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Asset Tagging and Management. </w:t>
      </w:r>
      <w:r>
        <w:rPr>
          <w:rFonts w:ascii="Arial" w:cs="Arial" w:eastAsia="Arial" w:hAnsi="Arial"/>
          <w:sz w:val="18"/>
          <w:szCs w:val="18"/>
          <w:color w:val="auto"/>
        </w:rPr>
        <w:t>Enables customers to easily identify, categorize and manage large numbers of assets in highly</w:t>
      </w:r>
      <w:r>
        <w:rPr>
          <w:rFonts w:ascii="Arial" w:cs="Arial" w:eastAsia="Arial" w:hAnsi="Arial"/>
          <w:sz w:val="18"/>
          <w:szCs w:val="18"/>
          <w:i w:val="1"/>
          <w:iCs w:val="1"/>
          <w:color w:val="auto"/>
        </w:rPr>
        <w:t xml:space="preserve"> </w:t>
      </w:r>
      <w:r>
        <w:rPr>
          <w:rFonts w:ascii="Arial" w:cs="Arial" w:eastAsia="Arial" w:hAnsi="Arial"/>
          <w:sz w:val="18"/>
          <w:szCs w:val="18"/>
          <w:color w:val="auto"/>
        </w:rPr>
        <w:t>dynamic IT environments and automates the process of inventory management and hierarchical organization of IT assets. Built on top of this core service is the Qualys AI framework, which is a global asset inventory service enabling our customers to search for information on any IT asset, scaling to millions of assets for customers of all sizes, helping IT and security personnel to search IT assets and maintain an up-to-date inventory on a continuous basis.</w:t>
      </w:r>
    </w:p>
    <w:p>
      <w:pPr>
        <w:spacing w:after="0" w:line="174" w:lineRule="exact"/>
        <w:rPr>
          <w:rFonts w:ascii="Times New Roman" w:cs="Times New Roman" w:eastAsia="Times New Roman" w:hAnsi="Times New Roman"/>
          <w:sz w:val="18"/>
          <w:szCs w:val="18"/>
          <w:color w:val="auto"/>
        </w:rPr>
      </w:pPr>
    </w:p>
    <w:p>
      <w:pPr>
        <w:ind w:left="660" w:hanging="328"/>
        <w:spacing w:after="0" w:line="291"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Reporting and Dashboards. </w:t>
      </w:r>
      <w:r>
        <w:rPr>
          <w:rFonts w:ascii="Arial" w:cs="Arial" w:eastAsia="Arial" w:hAnsi="Arial"/>
          <w:sz w:val="18"/>
          <w:szCs w:val="18"/>
          <w:color w:val="auto"/>
        </w:rPr>
        <w:t>A highly configurable reporting engine that provides customers with reports and dashboards based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roles and access privileges.</w:t>
      </w:r>
    </w:p>
    <w:p>
      <w:pPr>
        <w:spacing w:after="0" w:line="145" w:lineRule="exact"/>
        <w:rPr>
          <w:rFonts w:ascii="Times New Roman" w:cs="Times New Roman" w:eastAsia="Times New Roman" w:hAnsi="Times New Roman"/>
          <w:sz w:val="18"/>
          <w:szCs w:val="18"/>
          <w:color w:val="auto"/>
        </w:rPr>
      </w:pPr>
    </w:p>
    <w:p>
      <w:pPr>
        <w:ind w:left="660" w:right="20" w:hanging="328"/>
        <w:spacing w:after="0" w:line="291"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Questionnaires and Collaboration. </w:t>
      </w:r>
      <w:r>
        <w:rPr>
          <w:rFonts w:ascii="Arial" w:cs="Arial" w:eastAsia="Arial" w:hAnsi="Arial"/>
          <w:sz w:val="18"/>
          <w:szCs w:val="18"/>
          <w:color w:val="auto"/>
        </w:rPr>
        <w:t>A configurable workflow engine that enables customers to easily build questionnaires and capture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business processes and workflows to evaluate controls and gather evidence to validate and document compliance.</w:t>
      </w:r>
    </w:p>
    <w:p>
      <w:pPr>
        <w:spacing w:after="0" w:line="145" w:lineRule="exact"/>
        <w:rPr>
          <w:rFonts w:ascii="Times New Roman" w:cs="Times New Roman" w:eastAsia="Times New Roman" w:hAnsi="Times New Roman"/>
          <w:sz w:val="18"/>
          <w:szCs w:val="18"/>
          <w:color w:val="auto"/>
        </w:rPr>
      </w:pPr>
    </w:p>
    <w:p>
      <w:pPr>
        <w:jc w:val="both"/>
        <w:ind w:left="660" w:hanging="328"/>
        <w:spacing w:after="0" w:line="264"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Remediation and Workflow. </w:t>
      </w:r>
      <w:r>
        <w:rPr>
          <w:rFonts w:ascii="Arial" w:cs="Arial" w:eastAsia="Arial" w:hAnsi="Arial"/>
          <w:sz w:val="18"/>
          <w:szCs w:val="18"/>
          <w:color w:val="auto"/>
        </w:rPr>
        <w:t>An integrated workflow engine that allows customers to automatically generate helpdesk tickets for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remediation and to manage 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are applied and remediation is verified in subsequent scans.</w:t>
      </w:r>
    </w:p>
    <w:p>
      <w:pPr>
        <w:spacing w:after="0" w:line="168" w:lineRule="exact"/>
        <w:rPr>
          <w:rFonts w:ascii="Times New Roman" w:cs="Times New Roman" w:eastAsia="Times New Roman" w:hAnsi="Times New Roman"/>
          <w:sz w:val="18"/>
          <w:szCs w:val="18"/>
          <w:color w:val="auto"/>
        </w:rPr>
      </w:pPr>
    </w:p>
    <w:p>
      <w:pPr>
        <w:jc w:val="both"/>
        <w:ind w:left="660" w:right="20" w:hanging="328"/>
        <w:spacing w:after="0" w:line="270"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Big Data Correlation and Analytics Engine. </w:t>
      </w:r>
      <w:r>
        <w:rPr>
          <w:rFonts w:ascii="Arial" w:cs="Arial" w:eastAsia="Arial" w:hAnsi="Arial"/>
          <w:sz w:val="18"/>
          <w:szCs w:val="18"/>
          <w:color w:val="auto"/>
        </w:rPr>
        <w:t>Provides elasticsearch capabilities for indexing, searching and correlating large amounts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and compliance data with other security incidents and third-party security intelligence data. Embedded workflows enable customers to quickly assess risk and access information for remediation, incident analysis and forensic investigations.</w:t>
      </w:r>
    </w:p>
    <w:p>
      <w:pPr>
        <w:spacing w:after="0" w:line="164" w:lineRule="exact"/>
        <w:rPr>
          <w:rFonts w:ascii="Times New Roman" w:cs="Times New Roman" w:eastAsia="Times New Roman" w:hAnsi="Times New Roman"/>
          <w:sz w:val="18"/>
          <w:szCs w:val="18"/>
          <w:color w:val="auto"/>
        </w:rPr>
      </w:pPr>
    </w:p>
    <w:p>
      <w:pPr>
        <w:ind w:left="660" w:hanging="328"/>
        <w:spacing w:after="0" w:line="291"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Alerts and Notifications. </w:t>
      </w:r>
      <w:r>
        <w:rPr>
          <w:rFonts w:ascii="Arial" w:cs="Arial" w:eastAsia="Arial" w:hAnsi="Arial"/>
          <w:sz w:val="18"/>
          <w:szCs w:val="18"/>
          <w:color w:val="auto"/>
        </w:rPr>
        <w:t>Creates email notifications to alert customers of new vulnerabilities, malware infections, scan completion, open</w:t>
      </w:r>
      <w:r>
        <w:rPr>
          <w:rFonts w:ascii="Arial" w:cs="Arial" w:eastAsia="Arial" w:hAnsi="Arial"/>
          <w:sz w:val="18"/>
          <w:szCs w:val="18"/>
          <w:i w:val="1"/>
          <w:iCs w:val="1"/>
          <w:color w:val="auto"/>
        </w:rPr>
        <w:t xml:space="preserve"> </w:t>
      </w:r>
      <w:r>
        <w:rPr>
          <w:rFonts w:ascii="Arial" w:cs="Arial" w:eastAsia="Arial" w:hAnsi="Arial"/>
          <w:sz w:val="18"/>
          <w:szCs w:val="18"/>
          <w:color w:val="auto"/>
        </w:rPr>
        <w:t>trouble tickets and system updates.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Cloud Apps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Many organizations have an array of heterogeneous point tools that do not interoperate well and are difficult and costly to maintain and integrate, making it difficult for Chief Information Officers (CIOs) and Chief Information Security Officers (CISOs) to obtain a single, unified view of their organization’s security and compliance posture. The Qualys Cloud Platform and its Cloud Apps help organizations escape this tool-fragmentation dilemma by drastically simplifying their security stacks and regaining unimpeded visibility across their IT environment.</w:t>
      </w:r>
    </w:p>
    <w:p>
      <w:pPr>
        <w:spacing w:after="0" w:line="170"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auto"/>
        </w:rPr>
        <w:t>The Cloud Apps are self-updating, centrally managed and tightly integrated, and cover a broad range of functionality in areas such as IT security, compliance monitoring, web application security, IT asset management and cloud and container security solutions.</w:t>
      </w:r>
    </w:p>
    <w:p>
      <w:pPr>
        <w:spacing w:after="0" w:line="145"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auto"/>
        </w:rPr>
        <w:t>From inception through December 31, 2017, we have added the following Cloud Apps: VM, PCI, PC, WAS, WAF, CM, SYN, SAQ, TP, FIM, IOC, AI and SCA. In 2018, we introduced a number of new applications including CS, CI, CSA, CRI and CRA.</w:t>
      </w:r>
    </w:p>
    <w:p>
      <w:pPr>
        <w:spacing w:after="0" w:line="14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8"/>
          <w:szCs w:val="18"/>
          <w:color w:val="auto"/>
        </w:rPr>
        <w:t>We believe that our applications are easy to use and provide our customers with a high level of control because our applications are part of one platform, share a common user interface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utilize the same scanners and agents, access the same collected data, and leverage the same user permissions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customers can subscribe to one or more of our security and compliance Apps based on their initial needs and expand their subscriptions over time to new areas within their organization or to additional Qualys solutions. We offer four editions of our Qualys Cloud Apps: Enterprise for large enterprises, Express for medium-sized businesses, Express Lite for small-sized businesses, and Consulting Edition for consultants, consulting organizations and Managed Service Providers (MSPs).</w:t>
      </w:r>
    </w:p>
    <w:p>
      <w:pPr>
        <w:spacing w:after="0" w:line="170"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Many of our customers use multiple Cloud Apps to develop a more complete understanding of their respective environment’s IT security and compliance posture. The Qualys Cloud Platform currently provides the following Cloud Apps to our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 Security</w:t>
      </w:r>
    </w:p>
    <w:p>
      <w:pPr>
        <w:spacing w:after="0" w:line="22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Vulnerability Management (VM): VM is an industry leading and award-winning solution that automates network auditing and vulnerability management across an organization, including network discovery and mapping, asset management, vulnerability reporting and remediation tracking. Driven by our comprehensive knowledge base of known vulnerabilities, VM enables cost-effective protection against vulnerabilities without substantial resource deployment.</w:t>
      </w:r>
    </w:p>
    <w:p>
      <w:pPr>
        <w:spacing w:after="0" w:line="170"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Threat Protection (TP): Thousands of new vulnerabilities are disclosed annually. With TP, customers can pinpoint their most critical threats and identify what they need to remediate first. TP continuously correlates external threat information against a customer's vulnerabilities and IT asset inventory, so customers know which threats pose the greatest risk to their organization at any given time. As Qualys engineers continuously validate and rate new threats from internal and external sources, TP’s live feed displays the latest vulnerability disclosures and maps them to customers’ impacted IT assets. Customers can see the assets affected by each threat, and drill down into details.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Continuous Monitoring (CM): Built on top of VM, CM is a next-generation cloud service that can detect network threats and unexpected changes before they turn into breaches. Whenever CM spots an anomaly in a network, it immediately sends targeted, informative alerts to the right people for each situation and each machine. CM tracks what happens throughout public perimeters, internal networks, and cloud environments - anywhere in the world.</w:t>
      </w:r>
    </w:p>
    <w:p>
      <w:pPr>
        <w:spacing w:after="0" w:line="170"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Indication of Compromise (IOC): IOC delivers threat hunting, detects suspicious activity, and confirms the presence of known and unknown malware for devices both on and off the network. From its single console, customers can monitor current and historical system activity for all on-premises servers, user endpoints, and cloud instances - even for assets that are currently offline or have been re-imaged by IT. IOC utilizes the Cloud Agent to capture endpoint activity on files, processes, mutant handles, registries, and network connections, and uploads the data to the Qualys Cloud Platform for storage, processing, and query.</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Certificate Assessment (CRA): CRA continuously assesses certificates and underlying SSL/TLS configurations and vulnerabilities across global IT assets to prevent downtime and outages, and mitigate risks from expired or vulnerable SSL/TLS certificates and configurations. Using a straight-forward methodology, it generates SSL Labs-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caliber certificate grades that allow non-experts to assess often-overlooked server SSL/TLS configurations. CRA also identifies out-of-policy certificates and features a fast and powerful search engine to look for specific certificates, vulnerabilities, configurations and grades. Dynamic dashboards create a holistic and contextual view of a certificate estate, and power automatically created downloadable reports. By continuously correlating certificate and configuration information with vulnerability data, CRA provides remediation prioritization decisions are rooted in accurate, up-to-date, applicable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Monitoring</w:t>
      </w:r>
    </w:p>
    <w:p>
      <w:pPr>
        <w:spacing w:after="0" w:line="223"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Policy Compliance (PC): PC performs automated security configuration assessments on IT systems throughout a network, helping to reduce risk and continuously ensure compliance with internal policies and external regulations. PC leverages out-of-the-box library content to fast-track compliance assessments using industry-recommended best practices. PC also provides a centralized, interactive console for specifying baseline standards for different hosts. By automating requirement evaluation against multiple standards for OSes, network devices, databases and server applications, PC enables the quick identification of security issues and works to prevent configuration drift. PC works to prioritize and track remediation and exceptions, while demonstrating a repeatable auditable process for compliance management.</w:t>
      </w:r>
    </w:p>
    <w:p>
      <w:pPr>
        <w:spacing w:after="0" w:line="178"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PCI Compliance (PCI): PCI streamlines and automates compliance with PCI DSS (Payment Card Industry Data Security Standard) requirements for protecting the collection, storage, processing and transmission of cardholder data. As an Approved Scanning Vendor, Qualys has been authorized by the PCI Security Standards Council to conduct the required quarterly scans. PCI scans all Internet-facing networks and systems with Six Sigma (99.9996%) accuracy, generates reports and provides detailed patching instructions. An auto-submission feature completes the compliance process once remediation is completed.</w:t>
      </w:r>
    </w:p>
    <w:p>
      <w:pPr>
        <w:spacing w:after="0" w:line="17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File Integrity Monitoring (FIM): FIM logs and centrally tracks file change events on common enterprise operating systems in organizations of all sizes. FIM provides customers with a simple way to achieve centralized cloud-based visibility of activity resulting from normal patching and administrative tasks, change control exceptions or violations, or malicious activity - then reports on that system activity as part of compliance mandates. FIM collects the critical details needed to quickly identify changes and root out activity that violates policy or is potentially malicious. FIM helps customers to comply with change control policy enforcement and change monitoring requirements.</w:t>
      </w:r>
    </w:p>
    <w:p>
      <w:pPr>
        <w:spacing w:after="0" w:line="17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Security Configuration Assessment (SCA): SCA provides automatic assessment of IT assets’ configurations using the latest Center for Internet Security (CIS) Benchmarks for operating systems, databases, applications and network devices. SCA provides intuitive workflows for assessing, monitoring, reporting and remediating security-related configuration issues. SCA’s CIS assessments are provided via a web-based user interface and delivered from the Qualys Cloud Platform, enabling centralized management with minimal deployment overhead. SCA users can automatically create downloadable reports and view dashboards.</w:t>
      </w:r>
    </w:p>
    <w:p>
      <w:pPr>
        <w:spacing w:after="0" w:line="17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Security Assessment Questionnaire (SAQ): SAQ automates and streamlines third-party and internal risk assessment processes, obviating the need to perform such processes manually via email and spreadsheets. SAQ easily designs surveys to assess procedural controls of IT security policies and practices. SAQ automates the launch and monitoring of assessment campaigns, making the process agile, accurate, comprehensive, centralized, scalable and uniform across an organization. SAQ also provides tools for displaying, analyzing and acting on collected data, enabling the assessment of compliance with industry standards, regulations and internal policies of third parties, like vendors and partners, and of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 Application Security</w:t>
      </w:r>
    </w:p>
    <w:p>
      <w:pPr>
        <w:spacing w:after="0" w:line="22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Web Application Scanning (WAS): WAS continuously discovers and catalogs web applications - including new and unknown ones - and detects vulnerabilities and misconfigurations in web apps and APIs. Scaling to thousands of scans, it conducts incisive, thorough and precise testing of browser-based web apps, mobile app backends, and Internet of things (IoT) services. Its seamless integration with the Qualys Web Application Firewall (WAF) enables verification of attack protection and one click mitigation of vulnerabilities. WAS' powerful API enables integration with other systems and allows teams to detect issues within DevOps environments early in the application development process. Bundled malware detection capability with WAS uses reputational, behavioral, antivirus, and heuristic analyses to identify and alert on malware infecting a user's websites. By Integrating WAS with manual testing tools and bug bounty solutions, customers can build a comprehensive web application vulnerability testing program.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Web Application Firewall (WAF): WAF permits the reduction of application security cost and complexity with a unified platform to prevent any attempt to exploit vulnerabilities. Simple, scalable and adaptive, WAF enables the quick blocking of attacks, prevents disclosure of sensitive information, and controls when and where customer applications are accessed. WAF and WAS work together seamlessly. Customers scan web apps with WAS, deploy one-click virtual patches if needed in WAF, and manage it all from a centralized cloud-based portal. WAF can be deployed in minutes on prem or in the cloud, as a virtual machine or a container, supports load-balancing as well as Transport Layer Security (TLS) offloading, and does not require special hardware.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IT Asset Management</w:t>
      </w:r>
    </w:p>
    <w:p>
      <w:pPr>
        <w:spacing w:after="0" w:line="22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Asset Inventory (AI): AI constantly gathers information on all assets, including system and hardware details, running services, open ports, installed software and user accounts. Asset discovery and inventory collection is done through a combination of Qualys network scanners and Cloud Agents, which together collect comprehensive data from on-premises or cloud infrastructure as well as remote endpoints. In order to create consistent and uniform asset data, AI normalizes raw discovery data to standardize every manufacturer name, product name, model and software version using Qualys’ ever-evolving technology catalog as a reference. This catalog automatically extends IT asset inventory with non-discoverable metadata such as hardware and software release dates, end of life dates, and license categories. This new data layer allows teams to detect issues such as unauthorized software, outdated hardware or end-of-life software, which can help properly support and secure critical assets.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CMDB Sync (SYN): SYN is a certified application that synchronizes Qualys AI data with ServiceNow’s Configuration Management system. Device changes are immediately transmitted to the Qualys Cloud Platform and then synchronized with ServiceNow. For customers, this means an end to unidentified and misclassified assets, and to data update delays, all of which increase chances of breaches. SYN provides real-time, comprehensive visibility of IT asset inventories enabling immediate detection of security and compliance risks.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Certificate Inventory (CRI): CRI continuously scans global IT assets from a single console to discover internal and external certificates issued from any certificate authority across all enterprise IT assets, both on premise and in the cloud. By doing so, it provides certificates can be renewed before they expire, which stops certificate-related outages and improves availability. It collects all certificate, vulnerability and configuration data required for certificate inventory and analysis. CRI also reveals how many certificates are out of compliance or do not follow organizational policies for key length, for signature algorithms or for the use of trusted and approved Certificate Authorities through the use of highly customizable dashboards and provides users a comprehensive overview of Qualys SSL Labs-caliber certificate grades for internal and externally facing certificates.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 Container Security</w:t>
      </w:r>
    </w:p>
    <w:p>
      <w:pPr>
        <w:spacing w:after="0" w:line="22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Cloud Inventory (CI): CI delivers continuous visibility into public cloud accounts. In one single-pane view, it inventories virtual machines, storage buckets, databases, security groups, Access Control Lists (ACLs), Elastic Load Balancers (ELBs) and users - across all regions, multiple accounts and multiple cloud platforms. CI continuously tracks assets and enables users to quickly understand the topography of their cloud environment and uncover the root cause of incidents.</w:t>
      </w:r>
    </w:p>
    <w:p>
      <w:pPr>
        <w:spacing w:after="0" w:line="170"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Cloud Security Assessment (CSA): CSA provides a continuous assessment of the security posture of an organization’s cloud resources against misconfigurations, malicious behavior, and nonstandard deployments. CSA evaluates resources against CIS benchmarks and best practices to identify misconfigured storage buckets, security groups, Relational Database Service, exposing data and the resource for public exploitation. CSA correlates host vulnerabilities and compliance data into intelligent insights which allow users to quickly detect risks throughout their complex cloud environments. With CSA, users gain real-time visibility into their up-to-date security and compliance posture of public clouds in one single-pane view.</w:t>
      </w:r>
    </w:p>
    <w:p>
      <w:pPr>
        <w:spacing w:after="0" w:line="17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Container Security (CS): CS delivers container-native visibility and protection throughout the entire lifecycle of containerized applications. It incorporates scanning of container images for software composition and enforcement of hardened container stack configurations for continuous policy compliance, whether the images are on the build machines, in the container registries or in the runtime cluster nodes. CS uses a unique 'layered-in' approach to provide deep visibility into all the application activities and automatically creates a behavior profile, which is enforced on each container for runtime protection. By integrating with CI/CD pipelines and toolchains, CS enables DevSecOps processes and transparent enforcement of security and compliance without compromising the speed and agility of containers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and serverless deployment models. This leads to significant cost benefits for enterprises compared to certain legacy security solutions.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Services</w:t>
      </w:r>
    </w:p>
    <w:p>
      <w:pPr>
        <w:spacing w:after="0" w:line="2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also offer organizations of all sizes free security and compliance services based on the Qualys Cloud Platform:</w:t>
      </w:r>
    </w:p>
    <w:p>
      <w:pPr>
        <w:spacing w:after="0" w:line="225" w:lineRule="exact"/>
        <w:rPr>
          <w:sz w:val="20"/>
          <w:szCs w:val="20"/>
          <w:color w:val="auto"/>
        </w:rPr>
      </w:pPr>
    </w:p>
    <w:p>
      <w:pPr>
        <w:jc w:val="both"/>
        <w:ind w:left="660" w:hanging="328"/>
        <w:spacing w:after="0" w:line="27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Qualys Community Edition automatically gathers and analyzes security and compliance data from hybrid IT environments to provide a complete, continuously updated, and instant view of monitored IT assets on-premises or in the cloud, as well as web apps, from a single-pane-of-glass interface. The Community Edition is limited to one user with data retention for three months.</w:t>
      </w:r>
    </w:p>
    <w:p>
      <w:pPr>
        <w:spacing w:after="0" w:line="1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Qualys CloudView continuously discovers and tracks assets and resources across public cloud deployments to provide users both real-time and historical views of cloud inventory. It collects metadata about cloud assets and resources to help users understand the relationships between public cloud assets and resources across different dimensions then discover their threat posture based on those attributes and relationships. CloudView is limited to three accounts per public cloud platform.</w:t>
      </w:r>
    </w:p>
    <w:p>
      <w:pPr>
        <w:spacing w:after="0" w:line="169"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Qualys CertView inventories and assesses all Internet-facing certificates to generate SSL/TLS configuration grades, identifies the certificate issuer and tracks certificate expirations to help stop expired and expiring certificates from interrupting critical business functions.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7" w:lineRule="exact"/>
        <w:rPr>
          <w:sz w:val="20"/>
          <w:szCs w:val="20"/>
          <w:color w:val="auto"/>
        </w:rPr>
      </w:pPr>
    </w:p>
    <w:p>
      <w:pPr>
        <w:ind w:firstLine="405"/>
        <w:spacing w:after="0" w:line="292" w:lineRule="auto"/>
        <w:rPr>
          <w:sz w:val="20"/>
          <w:szCs w:val="20"/>
          <w:color w:val="auto"/>
        </w:rPr>
      </w:pPr>
      <w:r>
        <w:rPr>
          <w:rFonts w:ascii="Arial" w:cs="Arial" w:eastAsia="Arial" w:hAnsi="Arial"/>
          <w:sz w:val="18"/>
          <w:szCs w:val="18"/>
          <w:color w:val="auto"/>
        </w:rPr>
        <w:t>We intend to strengthen our leadership position as a trusted provider of cloud-based security and compliance solutions. The key elements of our growth strategy are:</w:t>
      </w:r>
    </w:p>
    <w:p>
      <w:pPr>
        <w:spacing w:after="0" w:line="145" w:lineRule="exact"/>
        <w:rPr>
          <w:sz w:val="20"/>
          <w:szCs w:val="20"/>
          <w:color w:val="auto"/>
        </w:rPr>
      </w:pPr>
    </w:p>
    <w:p>
      <w:pPr>
        <w:jc w:val="both"/>
        <w:ind w:left="66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Continue to innovate and enhance our cloud platform and suite of solutions. </w:t>
      </w:r>
      <w:r>
        <w:rPr>
          <w:rFonts w:ascii="Arial" w:cs="Arial" w:eastAsia="Arial" w:hAnsi="Arial"/>
          <w:sz w:val="18"/>
          <w:szCs w:val="18"/>
          <w:color w:val="auto"/>
        </w:rPr>
        <w:t>We intend to continue to make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research and development to extend our cloud platform’s functionality by developing new security solutions and capabilities and further enhancing our existing suite of solutions. From inception through December 31, 2017, we have added the following solutions: VM, PCI, PC, WAS, WAF, CM, SYN, SAQ, TP, FIM, IOC, AI and SCA. In 2018, we introduced a number of new applications, including, CS, CI, CSA, CRI, and CRA.</w:t>
      </w:r>
    </w:p>
    <w:p>
      <w:pPr>
        <w:spacing w:after="0" w:line="17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Expand the use of our suite of solutions by our large and diverse customer base. </w:t>
      </w:r>
      <w:r>
        <w:rPr>
          <w:rFonts w:ascii="Arial" w:cs="Arial" w:eastAsia="Arial" w:hAnsi="Arial"/>
          <w:sz w:val="18"/>
          <w:szCs w:val="18"/>
          <w:color w:val="auto"/>
        </w:rPr>
        <w:t>With more than 12,200 customers and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users across many industries and geographies, we believe we have a significant opportunity to sell additional solutions to our customers and expand their use of our suite of solutions. Since typically our customers initially deploy one or two of our solutions in select parts of their IT infrastructures, our existing customers serve as a strong source of new sales as they expand their scope and increase their subscriptions or choose to adopt additional solutions from our integrated suite of IT security and compliance offerings. In this regard, we continue to expand our sales execution and marketing functions to increase adoption of our newly developed solutions among our existing customers.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Drive new customer growth and broaden our global reach. </w:t>
      </w:r>
      <w:r>
        <w:rPr>
          <w:rFonts w:ascii="Arial" w:cs="Arial" w:eastAsia="Arial" w:hAnsi="Arial"/>
          <w:sz w:val="18"/>
          <w:szCs w:val="18"/>
          <w:color w:val="auto"/>
        </w:rPr>
        <w:t>We are pursuing new customers by targeting key accounts, releasing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free security and compliance services and expanding both our sales and marketing organization and network of channel partners. We will continue to seek to make significant investments to encourage organizations to replace their existing security products with our cloud solutions. We intend to expand our relationships with key security consulting organizations, managed security service providers and value 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data centers, helping us expand our reach in new markets and new geographies.</w:t>
      </w:r>
    </w:p>
    <w:p>
      <w:pPr>
        <w:spacing w:after="0" w:line="177" w:lineRule="exact"/>
        <w:rPr>
          <w:rFonts w:ascii="Times New Roman" w:cs="Times New Roman" w:eastAsia="Times New Roman" w:hAnsi="Times New Roman"/>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Selectively pursue technology acquisitions to bolster our capabilities and leadership position. </w:t>
      </w:r>
      <w:r>
        <w:rPr>
          <w:rFonts w:ascii="Arial" w:cs="Arial" w:eastAsia="Arial" w:hAnsi="Arial"/>
          <w:sz w:val="18"/>
          <w:szCs w:val="18"/>
          <w:color w:val="auto"/>
        </w:rPr>
        <w:t>We may explore acquisitions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complementary to and can expand the functionality of our cloud platform. We may also seek to acquire development teams to supplement our own personnel and acquire technology to increase the breadth of our cloud-based security and compliance solutions. In 2018, we acquired the software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660"/>
        <w:spacing w:after="0" w:line="307" w:lineRule="auto"/>
        <w:rPr>
          <w:sz w:val="20"/>
          <w:szCs w:val="20"/>
          <w:color w:val="auto"/>
        </w:rPr>
      </w:pPr>
      <w:r>
        <w:rPr>
          <w:rFonts w:ascii="Arial" w:cs="Arial" w:eastAsia="Arial" w:hAnsi="Arial"/>
          <w:sz w:val="18"/>
          <w:szCs w:val="18"/>
          <w:color w:val="auto"/>
        </w:rPr>
        <w:t>assets of 1Mobility, a Singapore based company, allowing Qualys to provide enterprises of all sizes with the ability to create and continuously update an inventory of mobile devices on all versions of Android, iOS and Windows Mobile in their environment; and to continuously assess their security and compliance posture, while quarantining devices that are compromised or out-of-compliance. In 2018, we also acquired Layered Insight, a provider of container native application protection, delivering insight into container images, adaptive analysis of running containers, and automated enforcement of the container environments.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1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As of December 31, 2018, we had over 12,200 customers and active users in more than 130 countries, including a majority of each of the Forbes Global 100 and Fortune 100. In each of 2018, 2017 and 2016, no one customer accounted for more than 10% of our revenues. In 2018, 2017 and 2016, 67%, 70% and 71%,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We market and sell our IT security and compliance solutions to customers directly through our sales teams as well as indirectly through our network of channel partners.</w:t>
      </w:r>
    </w:p>
    <w:p>
      <w:pPr>
        <w:spacing w:after="0" w:line="14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Our global sales force is organized into a field sales team, which focuses on enterprises, generally including organizations with more than 5,000 employees, and an inside sales team, which focuses on small to medium-sized businesses, which generally include organizations with less than 5,000 employees. Both our field and inside sales teams are divided into three geographic regions, including the Americas; Europe, Middle East and Africa; and Asia-Pacific. We also further segment each of our sales teams into groups that focus on adding new customers or managing relationships with existing customers.</w:t>
      </w:r>
    </w:p>
    <w:p>
      <w:pPr>
        <w:spacing w:after="0" w:line="17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managed service providers and resellers, such as BT, Deutsche Telekom AG, Fujitsu, DXC Technology, IBM, Insight Technologies, Inc., Optiv Security, Inc., SecureWorks Corp., and Verizon Communications Inc.</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earning a fee based on the total value of the order.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2018, 2017 and 2016, 41%, 41% and 42%, respectively, of our revenues were generated by channel partners.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Our marketing programs include a variety of online marketing, advertising, conferences, events, public relations activities and web-based seminar campaigns targeted at key decision makers within our prospective customers.</w:t>
      </w:r>
    </w:p>
    <w:p>
      <w:pPr>
        <w:spacing w:after="0" w:line="9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9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Qualys Support delivers 24x7x365 day customer technical support from global centers located in Foster City, California; Raleigh, North Carolina; and Pune, India. We recruit senior level technical personnel and trained subject matter experts who work closely with engineering and operations personnel to resolve issues quickly. Our security and compliance solutions can be deployed easily and are designed to be implemented and operated without the need for significant professional services. We also offer various training programs as part of our subscriptions to all of our customers. In addition, we leverage the insights drawn from our customers to further improve the functionality of our security and compliance solutions. Our mission is to ensure customer satisfaction and play a critical role in retaining and expanding our customer base.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Operations</w:t>
      </w:r>
    </w:p>
    <w:p>
      <w:pPr>
        <w:spacing w:after="0" w:line="9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devote significant resources to maintain, enhance and add new functionality to our Qualys Cloud Platform and the integrated suite of solutions that we offer. Our development organization consists of agile engineering teams with substantial security expertise in specific areas of our solutions. In addition to our development teams, we have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 States, France and India, which gives us access to some of the best research and engineering talent in the world. Our focus remains to attract engineering talent as we continue to add new solutions and improve existing ones.</w:t>
      </w:r>
    </w:p>
    <w:p>
      <w:pPr>
        <w:spacing w:after="0" w:line="42"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35"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physical appliances are provided by SYNNEX Corporation (SYNNEX), pursuant to a manufacturing services agreement dated March 1, 2011. Under this agreement, SYNNEX manufactures, assembles and tests our physical scanner appliances. This agreement has an initial term of one year, which is automatically renewed for additional one-year terms, unless terminated (i) at any time upon the mutual written agreement of us and SYNNEX, (ii) by either party upon 90 days or more written notice, (iii) upon written notice, subject to applicable cure periods, if the other party has materially breached its obligations under the agreement or (iv) by either party upon the other party seeking an order for relief under the bankruptcy laws of the United States or similar laws of any other jurisdiction, a composition with or assignment for the benefit of creditors, or dissolution or liquidation.</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Data Center Agreements</w:t>
      </w:r>
    </w:p>
    <w:p>
      <w:pPr>
        <w:spacing w:after="0" w:line="90"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Our data center operations are provided by large third-party data center vendors and are located in the United States, Switzerland, the Netherlands and India. Our data center agreements have varying terms through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2"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auto"/>
        </w:rPr>
        <w:t>The expanding capabilities of our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2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 xml:space="preserve">We compete with both large and small public companies, such as Carbon Black, Inc., FireEye, Inc., International Business Machines Corporation, Micro Focus International plc, Rapid7, Inc., Symantec Corporation, and Tenable Holdings, Inc., as well as privately held security providers including Barracuda Networks Inc., BeyondTrust Software, Inc., CrowdStrike Inc., Tanium Inc., Tripwire,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w:t>
      </w:r>
      <w:r>
        <w:rPr>
          <w:rFonts w:ascii="Arial" w:cs="Arial" w:eastAsia="Arial" w:hAnsi="Arial"/>
          <w:sz w:val="18"/>
          <w:szCs w:val="18"/>
          <w:color w:val="231F20"/>
        </w:rPr>
        <w:t>Our competitors may also attempt to further expand their presence in the IT</w:t>
      </w:r>
      <w:r>
        <w:rPr>
          <w:rFonts w:ascii="Arial" w:cs="Arial" w:eastAsia="Arial" w:hAnsi="Arial"/>
          <w:sz w:val="18"/>
          <w:szCs w:val="18"/>
          <w:color w:val="auto"/>
        </w:rPr>
        <w:t xml:space="preserve"> </w:t>
      </w:r>
      <w:r>
        <w:rPr>
          <w:rFonts w:ascii="Arial" w:cs="Arial" w:eastAsia="Arial" w:hAnsi="Arial"/>
          <w:sz w:val="18"/>
          <w:szCs w:val="18"/>
          <w:color w:val="231F20"/>
        </w:rPr>
        <w:t>security and compliance market and compete more directly against one or more of our solutions.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auto"/>
        </w:rPr>
        <w:t>We believe that the principal competitive factors affecting the market for cloud-based security and compliance solutions include product functionality, breadth of product offerings, flexibility of delivery models, ease of deployment and use, total cost of ownership, scalability and performance, customer support and extensibility of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We rely on a combination of trade secrets, copyrights, patents and trademarks, as well as contractual protections, to establish and protect our intellectual property rights and protect our proprietary technology. As of February 22, 2019, we have sixteen issued patents, several pending U.S. patent applications and an exclusive license to four U.S. patents, which was obtained in connection with our acquisition of Nemean in 2010. The inbound license remains in effect until the licensed 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the Qualys Cloud Platform, which we believe differentiates us from our competitors.</w:t>
      </w:r>
    </w:p>
    <w:p>
      <w:pPr>
        <w:spacing w:after="0" w:line="45"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As of December 31, 2018, we had 1,194 full-time employees, including 586 in research and development, 259 in sales and marketing, 231 in operations and customer support and 118 in general and administrative. As of December 31, 2018, we had 418 employees in the United States and 776 employees internationally. None of our U.S. employees are covered by collective bargaining agreements. Employees in certain European countries have collective bargaining arrangements at the national level. We believe our employee relations are good and we have not experienced any work stoppages. As of December 31, 2018, approximately 65% of our employees were located outside the United States, with 54% of our employees located in Pune, India.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Our principal executive offices are located at 919 E. Hillsdale Blvd., 4th Floor, Foster City, California 94404. The telephone number of our principal executive offices is (650) 801-6100, and our main corporate website is </w:t>
      </w:r>
      <w:r>
        <w:rPr>
          <w:rFonts w:ascii="Arial" w:cs="Arial" w:eastAsia="Arial" w:hAnsi="Arial"/>
          <w:sz w:val="18"/>
          <w:szCs w:val="18"/>
          <w:i w:val="1"/>
          <w:iCs w:val="1"/>
          <w:color w:val="auto"/>
        </w:rPr>
        <w:t>www.qualys.com</w:t>
      </w:r>
      <w:r>
        <w:rPr>
          <w:rFonts w:ascii="Arial" w:cs="Arial" w:eastAsia="Arial" w:hAnsi="Arial"/>
          <w:sz w:val="18"/>
          <w:szCs w:val="18"/>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170"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Arial" w:cs="Arial" w:eastAsia="Arial" w:hAnsi="Arial"/>
          <w:sz w:val="18"/>
          <w:szCs w:val="18"/>
          <w:i w:val="1"/>
          <w:iCs w:val="1"/>
          <w:color w:val="auto"/>
        </w:rPr>
        <w:t>www.qualys.com</w:t>
      </w:r>
      <w:r>
        <w:rPr>
          <w:rFonts w:ascii="Arial" w:cs="Arial" w:eastAsia="Arial" w:hAnsi="Arial"/>
          <w:sz w:val="18"/>
          <w:szCs w:val="18"/>
          <w:color w:val="auto"/>
        </w:rPr>
        <w:t xml:space="preserve"> as soon as reasonably practicable after they are electronically filed with or furnished to the Securities and Exchange Commission, or SEC. Additionally, copies of materials filed by us with the SEC may be accessed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7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Subscriptions to our Vulnerability Management solutions generate most of our revenues, and if we are unable to continue to renew and grow subscriptions for these solutions, our operating results would suffer.</w:t>
      </w:r>
    </w:p>
    <w:p>
      <w:pPr>
        <w:spacing w:after="0" w:line="1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We derived approximately 74%, 74% and 76% of our revenues from subscriptions to our VM solutions for the years ended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2018</w:t>
      </w:r>
      <w:r>
        <w:rPr>
          <w:rFonts w:ascii="Arial" w:cs="Arial" w:eastAsia="Arial" w:hAnsi="Arial"/>
          <w:sz w:val="18"/>
          <w:szCs w:val="18"/>
          <w:color w:val="231F20"/>
        </w:rPr>
        <w:t>,</w:t>
      </w:r>
      <w:r>
        <w:rPr>
          <w:rFonts w:ascii="Arial" w:cs="Arial" w:eastAsia="Arial" w:hAnsi="Arial"/>
          <w:sz w:val="18"/>
          <w:szCs w:val="18"/>
          <w:color w:val="000000"/>
        </w:rPr>
        <w:t xml:space="preserve"> 2017 </w:t>
      </w:r>
      <w:r>
        <w:rPr>
          <w:rFonts w:ascii="Arial" w:cs="Arial" w:eastAsia="Arial" w:hAnsi="Arial"/>
          <w:sz w:val="18"/>
          <w:szCs w:val="18"/>
          <w:color w:val="231F20"/>
        </w:rPr>
        <w:t>and</w:t>
      </w:r>
      <w:r>
        <w:rPr>
          <w:rFonts w:ascii="Arial" w:cs="Arial" w:eastAsia="Arial" w:hAnsi="Arial"/>
          <w:sz w:val="18"/>
          <w:szCs w:val="18"/>
          <w:color w:val="000000"/>
        </w:rPr>
        <w:t xml:space="preserve"> 2016</w:t>
      </w:r>
      <w:r>
        <w:rPr>
          <w:rFonts w:ascii="Arial" w:cs="Arial" w:eastAsia="Arial" w:hAnsi="Arial"/>
          <w:sz w:val="18"/>
          <w:szCs w:val="18"/>
          <w:color w:val="231F20"/>
        </w:rPr>
        <w:t>, respectively. In 2015 and prior 10-Q and 10-K filings, we had included all revenues from scanners and credits for prepaid</w:t>
      </w:r>
      <w:r>
        <w:rPr>
          <w:rFonts w:ascii="Arial" w:cs="Arial" w:eastAsia="Arial" w:hAnsi="Arial"/>
          <w:sz w:val="18"/>
          <w:szCs w:val="18"/>
          <w:color w:val="000000"/>
        </w:rPr>
        <w:t xml:space="preserve"> </w:t>
      </w:r>
      <w:r>
        <w:rPr>
          <w:rFonts w:ascii="Arial" w:cs="Arial" w:eastAsia="Arial" w:hAnsi="Arial"/>
          <w:sz w:val="18"/>
          <w:szCs w:val="18"/>
          <w:color w:val="231F20"/>
        </w:rPr>
        <w:t>services in our VM solutions revenues. In the fourth quarter of 2016, we changed the methodology to allocate revenues from scanners and credits across our products.</w:t>
      </w:r>
    </w:p>
    <w:p>
      <w:pPr>
        <w:spacing w:after="0" w:line="170"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VM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78"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29"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3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our existing and new products and services;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customer renewals of our solutions;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price competition;</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17"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income tax benefits that we recognize resulting from excess tax benefits related to stock-based compensation;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33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6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For example, "Brexit" could also lead to further legislative and regulatory changes. A Data Protection Act that substantially implements the European Union’s General Data Protection Regulation has been implemented in the United Kingdom, effective in May 2018. It is unclear, however, how United Kingdom data protection laws or regulations will develop in the medium to longer term, and how data transfers to and from the United Kingdom will be regulated.</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5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17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2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VM for our business and revenues to grow as we expect. Revenues from our other solutions such as Policy Compliance, PCI Compliance, Security Assessment Questionnaire, Web Application Scanning, and Web Application Firewall have been relatively modest compared to revenues from our VM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17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2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29"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6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163"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Additionally, concerns regarding the effects of the "Brexit" decision,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231F20"/>
        </w:rPr>
        <w:t>Our security and compliance solutions are delivered from seven data centers, and any disruption of service at these facilities would interrupt or delay our ability to deliver our solutions to our customers which could reduce our revenues and harm our operating results.</w:t>
      </w:r>
    </w:p>
    <w:p>
      <w:pPr>
        <w:spacing w:after="0" w:line="150"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1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29"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compete with large and small public companies, such as Carbon Black, Inc., FireEye, Inc., International Business Machines Corporation, Micro Focus International plc, Rapid7, Inc., Symantec Corporation, and Tenable Holdings, Inc., as well as privately held security providers including Barracuda Networks Inc., BeyondTrust Software, Inc., CrowdStrike Inc., Tanium Inc., Tripwire, Inc. and Trustwave Holdings, Inc. </w:t>
      </w:r>
      <w:r>
        <w:rPr>
          <w:rFonts w:ascii="Arial" w:cs="Arial" w:eastAsia="Arial" w:hAnsi="Arial"/>
          <w:sz w:val="18"/>
          <w:szCs w:val="18"/>
          <w:color w:val="231F20"/>
        </w:rPr>
        <w:t>We also seek to replace IT security and compliance solutions that organizations have developed internally. As we continue to extend our</w:t>
      </w:r>
      <w:r>
        <w:rPr>
          <w:rFonts w:ascii="Arial" w:cs="Arial" w:eastAsia="Arial" w:hAnsi="Arial"/>
          <w:sz w:val="18"/>
          <w:szCs w:val="18"/>
          <w:color w:val="auto"/>
        </w:rPr>
        <w:t xml:space="preserve"> </w:t>
      </w:r>
      <w:r>
        <w:rPr>
          <w:rFonts w:ascii="Arial" w:cs="Arial" w:eastAsia="Arial" w:hAnsi="Arial"/>
          <w:sz w:val="18"/>
          <w:szCs w:val="18"/>
          <w:color w:val="231F20"/>
        </w:rPr>
        <w:t>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7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5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3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63"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7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225"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163"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4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29"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17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General Data Protection Regulation, or GDPR, to supersede the Data Protection Directive. This regulation, which took full effect on May 25, 2018, causes EU data protection requirements to be more stringent and provides for greater penalties. Noncompliance with the GDPR can trigger fines of up to € 20 million or 4% of global annual revenues, whichever is higher. Additionally, California recently enacted legislation, the California Consumer Privacy Act (“CCPA”), that will, among other things, require covered companies to provide new disclosures to California consumers, and afford such consumers new abilities to opt-out of certain sales of personal information, when it goes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231F20"/>
        </w:rPr>
        <w:t>into effect on January 1, 2020. The CCPA was amended in September 2018, and it is unclear whether further modifications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r>
        <w:rPr>
          <w:rFonts w:ascii="Times New Roman" w:cs="Times New Roman" w:eastAsia="Times New Roman" w:hAnsi="Times New Roman"/>
          <w:sz w:val="18"/>
          <w:szCs w:val="18"/>
          <w:color w:val="231F20"/>
        </w:rPr>
        <w:t>.</w:t>
      </w:r>
    </w:p>
    <w:p>
      <w:pPr>
        <w:spacing w:after="0" w:line="16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The privacy, data protection, and information security laws and regulations we must comply with also are subject to change. For example, in June 2016, United Kingdom voters approved an exit from the European Union, commonly referred to as “Brexit,” which could also lead to further legislative and regulatory changes. Additionally, an October 2015 ruling of the Court of Justice of the European Union invalidated the U.S.-EU Safe Harbor Framework as a method of compliance with European restrictions regarding the transfer of personal data outside of the European Economic Area, or EEA. U.S. and EU authorities reached a political agreement in February 2016 regarding a new means for legitimizing personal data transfers from the EEA to the U.S., the EU-U.S. Privacy Shield Framework, and we have joined the EU-U.S. Privacy Shield Framework and a related program, the Swiss-U.S. Privacy Shield Framework. The EU-U.S. Privacy Shield Framework is subject to legal challenge, however, and it or the Swiss-U.S. Privacy Shield Framework may be modified or invalidated. We may be unsuccessful in maintaining legitimate means for our transfer and receipt of personal data from the EEA or Switzerland. We may experience reluctance or refusal by current or prospective European customers to use our products, and we may find it necessary or desirable to make further changes to our handling of personal data of European residents.</w:t>
      </w:r>
    </w:p>
    <w:p>
      <w:pPr>
        <w:spacing w:after="0" w:line="18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78" w:lineRule="exact"/>
        <w:rPr>
          <w:sz w:val="20"/>
          <w:szCs w:val="20"/>
          <w:color w:val="auto"/>
        </w:rPr>
      </w:pPr>
    </w:p>
    <w:p>
      <w:pPr>
        <w:jc w:val="both"/>
        <w:ind w:right="20" w:firstLine="405"/>
        <w:spacing w:after="0" w:line="271"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224"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5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92" w:lineRule="auto"/>
        <w:rPr>
          <w:sz w:val="20"/>
          <w:szCs w:val="20"/>
          <w:color w:val="auto"/>
        </w:rPr>
      </w:pPr>
      <w:r>
        <w:rPr>
          <w:rFonts w:ascii="Arial" w:cs="Arial" w:eastAsia="Arial" w:hAnsi="Arial"/>
          <w:sz w:val="18"/>
          <w:szCs w:val="18"/>
          <w:color w:val="231F20"/>
        </w:rPr>
        <w:t>outside the United States, particularly in Europe and Asia. Therefore, we are subject to risks associated with having international sales and worldwide operations, including:</w:t>
      </w:r>
    </w:p>
    <w:p>
      <w:pPr>
        <w:spacing w:after="0" w:line="3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tax laws (including U.S. taxes on foreign subsidiaries);</w:t>
      </w:r>
    </w:p>
    <w:p>
      <w:pPr>
        <w:spacing w:after="0" w:line="1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55"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8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In addition, as of </w:t>
      </w:r>
      <w:r>
        <w:rPr>
          <w:rFonts w:ascii="Arial" w:cs="Arial" w:eastAsia="Arial" w:hAnsi="Arial"/>
          <w:sz w:val="18"/>
          <w:szCs w:val="18"/>
          <w:color w:val="000000"/>
        </w:rPr>
        <w:t>December 31, 2018</w:t>
      </w:r>
      <w:r>
        <w:rPr>
          <w:rFonts w:ascii="Arial" w:cs="Arial" w:eastAsia="Arial" w:hAnsi="Arial"/>
          <w:sz w:val="18"/>
          <w:szCs w:val="18"/>
          <w:color w:val="231F20"/>
        </w:rPr>
        <w:t>, approximately 65% of our employees were located outside of the United States, and 54% of our employees were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29"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6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2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 xml:space="preserve">We have experienced significant growth over the last several years. From </w:t>
      </w:r>
      <w:r>
        <w:rPr>
          <w:rFonts w:ascii="Arial" w:cs="Arial" w:eastAsia="Arial" w:hAnsi="Arial"/>
          <w:sz w:val="18"/>
          <w:szCs w:val="18"/>
          <w:color w:val="000000"/>
        </w:rPr>
        <w:t>2016</w:t>
      </w:r>
      <w:r>
        <w:rPr>
          <w:rFonts w:ascii="Arial" w:cs="Arial" w:eastAsia="Arial" w:hAnsi="Arial"/>
          <w:sz w:val="18"/>
          <w:szCs w:val="18"/>
          <w:color w:val="231F20"/>
        </w:rPr>
        <w:t xml:space="preserve"> to </w:t>
      </w:r>
      <w:r>
        <w:rPr>
          <w:rFonts w:ascii="Arial" w:cs="Arial" w:eastAsia="Arial" w:hAnsi="Arial"/>
          <w:sz w:val="18"/>
          <w:szCs w:val="18"/>
          <w:color w:val="000000"/>
        </w:rPr>
        <w:t>2018</w:t>
      </w:r>
      <w:r>
        <w:rPr>
          <w:rFonts w:ascii="Arial" w:cs="Arial" w:eastAsia="Arial" w:hAnsi="Arial"/>
          <w:sz w:val="18"/>
          <w:szCs w:val="18"/>
          <w:color w:val="231F20"/>
        </w:rPr>
        <w:t xml:space="preserve">, our revenues grew from $197.9 million to $278.9 million, and our headcount increased from 510 employees at the beginning of </w:t>
      </w:r>
      <w:r>
        <w:rPr>
          <w:rFonts w:ascii="Arial" w:cs="Arial" w:eastAsia="Arial" w:hAnsi="Arial"/>
          <w:sz w:val="18"/>
          <w:szCs w:val="18"/>
          <w:color w:val="000000"/>
        </w:rPr>
        <w:t>2016</w:t>
      </w:r>
      <w:r>
        <w:rPr>
          <w:rFonts w:ascii="Arial" w:cs="Arial" w:eastAsia="Arial" w:hAnsi="Arial"/>
          <w:sz w:val="18"/>
          <w:szCs w:val="18"/>
          <w:color w:val="231F20"/>
        </w:rPr>
        <w:t xml:space="preserve"> to </w:t>
      </w:r>
      <w:r>
        <w:rPr>
          <w:rFonts w:ascii="Arial" w:cs="Arial" w:eastAsia="Arial" w:hAnsi="Arial"/>
          <w:sz w:val="18"/>
          <w:szCs w:val="18"/>
          <w:color w:val="000000"/>
        </w:rPr>
        <w:t>1,194</w:t>
      </w:r>
      <w:r>
        <w:rPr>
          <w:rFonts w:ascii="Arial" w:cs="Arial" w:eastAsia="Arial" w:hAnsi="Arial"/>
          <w:sz w:val="18"/>
          <w:szCs w:val="18"/>
          <w:color w:val="231F20"/>
        </w:rPr>
        <w:t xml:space="preserve"> employees as of </w:t>
      </w:r>
      <w:r>
        <w:rPr>
          <w:rFonts w:ascii="Arial" w:cs="Arial" w:eastAsia="Arial" w:hAnsi="Arial"/>
          <w:sz w:val="18"/>
          <w:szCs w:val="18"/>
          <w:color w:val="000000"/>
        </w:rPr>
        <w:t>December 31, 2018</w:t>
      </w:r>
      <w:r>
        <w:rPr>
          <w:rFonts w:ascii="Arial" w:cs="Arial" w:eastAsia="Arial" w:hAnsi="Arial"/>
          <w:sz w:val="18"/>
          <w:szCs w:val="18"/>
          <w:color w:val="231F20"/>
        </w:rPr>
        <w:t>.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7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29"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years ended December 31, </w:t>
      </w:r>
      <w:r>
        <w:rPr>
          <w:rFonts w:ascii="Arial" w:cs="Arial" w:eastAsia="Arial" w:hAnsi="Arial"/>
          <w:sz w:val="18"/>
          <w:szCs w:val="18"/>
          <w:color w:val="000000"/>
        </w:rPr>
        <w:t>2018</w:t>
      </w:r>
      <w:r>
        <w:rPr>
          <w:rFonts w:ascii="Arial" w:cs="Arial" w:eastAsia="Arial" w:hAnsi="Arial"/>
          <w:sz w:val="18"/>
          <w:szCs w:val="18"/>
          <w:color w:val="231F20"/>
        </w:rPr>
        <w:t xml:space="preserve">, </w:t>
      </w:r>
      <w:r>
        <w:rPr>
          <w:rFonts w:ascii="Arial" w:cs="Arial" w:eastAsia="Arial" w:hAnsi="Arial"/>
          <w:sz w:val="18"/>
          <w:szCs w:val="18"/>
          <w:color w:val="000000"/>
        </w:rPr>
        <w:t>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xml:space="preserve">, we derived approximately </w:t>
      </w:r>
      <w:r>
        <w:rPr>
          <w:rFonts w:ascii="Arial" w:cs="Arial" w:eastAsia="Arial" w:hAnsi="Arial"/>
          <w:sz w:val="18"/>
          <w:szCs w:val="18"/>
          <w:color w:val="000000"/>
        </w:rPr>
        <w:t>41%</w:t>
      </w:r>
      <w:r>
        <w:rPr>
          <w:rFonts w:ascii="Arial" w:cs="Arial" w:eastAsia="Arial" w:hAnsi="Arial"/>
          <w:sz w:val="18"/>
          <w:szCs w:val="18"/>
          <w:color w:val="231F20"/>
        </w:rPr>
        <w:t xml:space="preserve">, 41% and </w:t>
      </w:r>
      <w:r>
        <w:rPr>
          <w:rFonts w:ascii="Arial" w:cs="Arial" w:eastAsia="Arial" w:hAnsi="Arial"/>
          <w:sz w:val="18"/>
          <w:szCs w:val="18"/>
          <w:color w:val="000000"/>
        </w:rPr>
        <w:t>42%</w:t>
      </w:r>
      <w:r>
        <w:rPr>
          <w:rFonts w:ascii="Arial" w:cs="Arial" w:eastAsia="Arial" w:hAnsi="Arial"/>
          <w:sz w:val="18"/>
          <w:szCs w:val="18"/>
          <w:color w:val="231F20"/>
        </w:rPr>
        <w:t>, respectively,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77"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2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29"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We rely on third-party software -as-a-service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2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78"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7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Our reporting currency is the U.S. dollar and we generate a majority of our revenues in U.S. dollars. However, for the year ended December 31, </w:t>
      </w:r>
      <w:r>
        <w:rPr>
          <w:rFonts w:ascii="Arial" w:cs="Arial" w:eastAsia="Arial" w:hAnsi="Arial"/>
          <w:sz w:val="18"/>
          <w:szCs w:val="18"/>
          <w:color w:val="000000"/>
        </w:rPr>
        <w:t>2018</w:t>
      </w:r>
      <w:r>
        <w:rPr>
          <w:rFonts w:ascii="Arial" w:cs="Arial" w:eastAsia="Arial" w:hAnsi="Arial"/>
          <w:sz w:val="18"/>
          <w:szCs w:val="18"/>
          <w:color w:val="231F20"/>
        </w:rPr>
        <w:t xml:space="preserve">, we incurred approximately 24% of our expenses outside of the United States in foreign currencies, primarily Euros, British Pounds, and Indian Rupee, principally with respect to salaries and related personnel expenses associated with our European and Indian operations. Additionally, for the year ended December 31, </w:t>
      </w:r>
      <w:r>
        <w:rPr>
          <w:rFonts w:ascii="Arial" w:cs="Arial" w:eastAsia="Arial" w:hAnsi="Arial"/>
          <w:sz w:val="18"/>
          <w:szCs w:val="18"/>
          <w:color w:val="000000"/>
        </w:rPr>
        <w:t>2018</w:t>
      </w:r>
      <w:r>
        <w:rPr>
          <w:rFonts w:ascii="Arial" w:cs="Arial" w:eastAsia="Arial" w:hAnsi="Arial"/>
          <w:sz w:val="18"/>
          <w:szCs w:val="18"/>
          <w:color w:val="231F20"/>
        </w:rPr>
        <w:t>, approximately 19%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The Company uses foreign currency forward contracts to mitigate the impact of foreign currency fluctuations of certain non-U.S. dollar denominated asset positions, to date primarily cash and accounts receivable (non-designated), as well as to manage foreign currency fluctuation risk related to forecasted transactions (designated). The Company accounts for these instruments as either non-designated or cash flow hedges, respectively.</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29" w:lineRule="exact"/>
        <w:rPr>
          <w:sz w:val="20"/>
          <w:szCs w:val="20"/>
          <w:color w:val="auto"/>
        </w:rPr>
      </w:pPr>
    </w:p>
    <w:p>
      <w:pPr>
        <w:jc w:val="both"/>
        <w:ind w:right="20" w:firstLine="405"/>
        <w:spacing w:after="0" w:line="271"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63"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63"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 xml:space="preserve">As of December 31, 2018, we had sixteen issued patents and several pending U.S. patent applications, and we may file additional patent applications in the future. Additionally, we have an exclusive license to </w:t>
      </w:r>
      <w:r>
        <w:rPr>
          <w:rFonts w:ascii="Arial" w:cs="Arial" w:eastAsia="Arial" w:hAnsi="Arial"/>
          <w:sz w:val="18"/>
          <w:szCs w:val="18"/>
          <w:color w:val="000000"/>
        </w:rPr>
        <w:t>four</w:t>
      </w:r>
      <w:r>
        <w:rPr>
          <w:rFonts w:ascii="Arial" w:cs="Arial" w:eastAsia="Arial" w:hAnsi="Arial"/>
          <w:sz w:val="18"/>
          <w:szCs w:val="18"/>
          <w:color w:val="231F20"/>
        </w:rPr>
        <w:t xml:space="preserve">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75"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7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7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36"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78"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2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and Pune, India, locations in which we have a substantial presence and need for highly skilled personnel and we may not be able to compete for these employees.</w:t>
      </w:r>
    </w:p>
    <w:p>
      <w:pPr>
        <w:spacing w:after="0" w:line="17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78"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2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For example, we acquired 1Mobility on April 1, 2018 and Layered Insight on October 16, 2018.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 acquisitions may still be viewed negatively by</w:t>
      </w:r>
      <w:r>
        <w:rPr>
          <w:rFonts w:ascii="Arial" w:cs="Arial" w:eastAsia="Arial" w:hAnsi="Arial"/>
          <w:sz w:val="18"/>
          <w:szCs w:val="18"/>
          <w:color w:val="231F20"/>
        </w:rPr>
        <w:t xml:space="preserve"> </w:t>
      </w:r>
      <w:r>
        <w:rPr>
          <w:rFonts w:ascii="Arial" w:cs="Arial" w:eastAsia="Arial" w:hAnsi="Arial"/>
          <w:sz w:val="18"/>
          <w:szCs w:val="18"/>
          <w:color w:val="000000"/>
        </w:rPr>
        <w:t xml:space="preserve">customers, financial markets or investors. </w:t>
      </w:r>
      <w:r>
        <w:rPr>
          <w:rFonts w:ascii="Arial" w:cs="Arial" w:eastAsia="Arial" w:hAnsi="Arial"/>
          <w:sz w:val="18"/>
          <w:szCs w:val="18"/>
          <w:color w:val="231F20"/>
        </w:rPr>
        <w:t>The acquisition and integration process is complex, expensive and time-consuming, and may cause</w:t>
      </w:r>
      <w:r>
        <w:rPr>
          <w:rFonts w:ascii="Arial" w:cs="Arial" w:eastAsia="Arial" w:hAnsi="Arial"/>
          <w:sz w:val="18"/>
          <w:szCs w:val="18"/>
          <w:color w:val="000000"/>
        </w:rPr>
        <w:t xml:space="preserve"> </w:t>
      </w:r>
      <w:r>
        <w:rPr>
          <w:rFonts w:ascii="Arial" w:cs="Arial" w:eastAsia="Arial" w:hAnsi="Arial"/>
          <w:sz w:val="18"/>
          <w:szCs w:val="18"/>
          <w:color w:val="231F20"/>
        </w:rPr>
        <w:t xml:space="preserve">an interruption of, or loss of momentum in, product development and sales activities and operations of both companies, as well as divert the attention of management, </w:t>
      </w:r>
      <w:r>
        <w:rPr>
          <w:rFonts w:ascii="Arial" w:cs="Arial" w:eastAsia="Arial" w:hAnsi="Arial"/>
          <w:sz w:val="18"/>
          <w:szCs w:val="18"/>
          <w:color w:val="000000"/>
        </w:rPr>
        <w:t>and we may incur substantial cost and expense. We may issue equity securities which could dilute current</w:t>
      </w:r>
      <w:r>
        <w:rPr>
          <w:rFonts w:ascii="Arial" w:cs="Arial" w:eastAsia="Arial" w:hAnsi="Arial"/>
          <w:sz w:val="18"/>
          <w:szCs w:val="18"/>
          <w:color w:val="231F20"/>
        </w:rPr>
        <w:t xml:space="preserve"> </w:t>
      </w:r>
      <w:r>
        <w:rPr>
          <w:rFonts w:ascii="Arial" w:cs="Arial" w:eastAsia="Arial" w:hAnsi="Arial"/>
          <w:sz w:val="18"/>
          <w:szCs w:val="18"/>
          <w:color w:val="000000"/>
        </w:rPr>
        <w:t xml:space="preserve">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 candidates, and acquisitions we complete may be</w:t>
      </w:r>
      <w:r>
        <w:rPr>
          <w:rFonts w:ascii="Arial" w:cs="Arial" w:eastAsia="Arial" w:hAnsi="Arial"/>
          <w:sz w:val="18"/>
          <w:szCs w:val="18"/>
          <w:color w:val="000000"/>
        </w:rPr>
        <w:t xml:space="preserve"> </w:t>
      </w:r>
      <w:r>
        <w:rPr>
          <w:rFonts w:ascii="Arial" w:cs="Arial" w:eastAsia="Arial" w:hAnsi="Arial"/>
          <w:sz w:val="18"/>
          <w:szCs w:val="18"/>
          <w:color w:val="231F20"/>
        </w:rPr>
        <w:t>unsuccessful. If we consummate a transaction, we may be unable to integrate and manage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acquired products and businesses effectively or retain key personnel. If we are unable to effectively execute acquisitions, our business, financial condition and operating results could be adversely affected.</w:t>
      </w:r>
    </w:p>
    <w:p>
      <w:pPr>
        <w:spacing w:after="0" w:line="14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stock-based compensation, and fair value measurement.</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2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or 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We have historically expensed commissions associated with sales of our solutions immediately upon receipt of a subscription order from a customer and generally recognize the revenues associated with such sale over the term of the agreement. Accordingly, our historical operating income in any period may not be indicative of our financial health and future performance. With the adoption of Accounting Standards Codification (ASC) 606, Revenue from Contracts with Customers effective January 1, 2018, we commenced capitalizing our commissions but elected to use the practical expedient in ASC 606 and expense commissions related to contracts with a renewal contract term of one year or less. As a result of the adoption of ASC 606, our future operating results may vary from period to period as our commission expense will not be directly comparable to historical periods.</w:t>
      </w:r>
    </w:p>
    <w:p>
      <w:pPr>
        <w:spacing w:after="0" w:line="16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Through December 2017, we expensed commissions paid to our sales personnel in the quarter in which the related order was received. In contrast, we have generally recognized the revenues associated with a sale of our solutions ratably over the term of the subscription, which is typically one year. Accordingly, our historical results may have fluctuated based on timing of commission expenses as compared to revenue recognized. With the adoption of ASC 606, our operating results will also fluctuate and not be comparable to historical periods and will continue to fluctuate as we will generally capitalize commissions for new and upsell contracts except for renewal sales that are one year or less. In addition, amortization of expense from previously capitalized contracts is expected to increase over time as our opening capitalized commission asset balance upon adoption of ASC 606 only included open contracts as of December 31, 2017. Accordingly, we expect our commission expense to grow in future periods as a result of the adoption of ASC 606. Without the adoption of ASC 606, commission expenses would have been $2.5 million higher for the year ended December 31, 2018.</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$62.4 million as of December 31, 2018. As a result of the Tax Cuts and Jobs Act (“the 2017 Tax Act”), which was enacted by the U.S. federal government on December 22, 2017, our federal tax rate decreased in 2018. Accordingly, our operating results have fluctuated and may not be comparable to historical periods and may continue to fluctuate in the future. Increases in our effective tax rate could harm our operating results.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Additionally, </w:t>
      </w:r>
      <w:r>
        <w:rPr>
          <w:rFonts w:ascii="Arial" w:cs="Arial" w:eastAsia="Arial" w:hAnsi="Arial"/>
          <w:sz w:val="18"/>
          <w:szCs w:val="18"/>
          <w:color w:val="000000"/>
        </w:rPr>
        <w:t>significant judgment is required in evaluating our tax positions and our worldwide provision for taxes. During the ordinary</w:t>
      </w:r>
      <w:r>
        <w:rPr>
          <w:rFonts w:ascii="Arial" w:cs="Arial" w:eastAsia="Arial" w:hAnsi="Arial"/>
          <w:sz w:val="18"/>
          <w:szCs w:val="18"/>
          <w:color w:val="231F20"/>
        </w:rPr>
        <w:t xml:space="preserve"> </w:t>
      </w:r>
      <w:r>
        <w:rPr>
          <w:rFonts w:ascii="Arial" w:cs="Arial" w:eastAsia="Arial" w:hAnsi="Arial"/>
          <w:sz w:val="18"/>
          <w:szCs w:val="18"/>
          <w:color w:val="000000"/>
        </w:rPr>
        <w:t>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78"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231F20"/>
        </w:rPr>
        <w:t>Uncertainties in the interpretation and application of the 2017 Tax Cuts and Jobs Act could materially affect our tax obligations and effective tax rate.</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2017 Tax Act significantly affected U.S. tax law by changing how the U.S. imposes income tax on multinational corporations. 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2017 Tax Act. In accordance with SAB 118, the effects of the 2017 Tax Act may be adjusted within a one-year measurement period from the enactment date of the 2017 Tax Act for items that were previously reported as provisional estimates, or where a provisional estimate could not be made. During 2018, we completed our analysis within the measurement period in accordance with the SEC guidance. The final resolution of provisional amounts relating to the effects of the 2017 Tax Act did not have a material impact to our effective tax rate. However, the U.S. Treasury Department, the IRS, and other standard-setting bodies continue to interpret or issue guidance on how provisions of the 2017 Tax Act will be applied or otherwise administered. As future guidance is issued, it may have an adverse effect on our business, financial condition, results of operations, or cash flows in the period such guidance is issued.</w:t>
      </w:r>
    </w:p>
    <w:p>
      <w:pPr>
        <w:spacing w:after="0" w:line="178"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Our internal control over financial reporting is a process designed to provide reasonable assurance regarding the reliability of financial reporting and the preparation of financial statements in accordance with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this Annual Report on Form 10-K that our internal control over financial reporting was effective as of December 31, 2018,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25"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7" w:lineRule="exact"/>
        <w:rPr>
          <w:sz w:val="20"/>
          <w:szCs w:val="20"/>
          <w:color w:val="auto"/>
        </w:rPr>
      </w:pPr>
    </w:p>
    <w:p>
      <w:pPr>
        <w:ind w:left="660" w:hanging="328"/>
        <w:spacing w:after="0" w:line="29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320"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Annual Report on Form 10-K could result in our actual operating results being different from our guidance, and the differences may be adverse and material.</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As of December 31, 2018, our executive officers, directors and holders of 10% or more of our outstanding common stock beneficially owned, in the aggregate, approximately 27%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36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December 31, 2018, we had approximately 39.0 million shares of our common stock outstanding.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In addition, as of December 31, 2018, there were approximately 1.2 million restricted stock units and options to purchase approximately 3.4 million shares of our common stock outstanding. If such options are exercised and restricted stock units are released, these additional shares will become available for sale. As of December 31, 2018, we had an aggregate of 3.8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256"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We cannot guarantee that our stock repurchase program will be fully consummated or that it will enhance stockholder value, and any stock repurchases we make could affect the price of our common stock.</w:t>
      </w:r>
    </w:p>
    <w:p>
      <w:pPr>
        <w:spacing w:after="0" w:line="210"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In February 2018, we announced a $100.0 million stock repurchase program and in October 2018, we announced an additional $100.0 million stock repurchase program.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year ended December 31, 2018, we repurchased 1,088,899 shares of our common stock for an aggregate purchase price of approximately $85.0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6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9"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37" w:lineRule="exact"/>
        <w:rPr>
          <w:sz w:val="20"/>
          <w:szCs w:val="20"/>
          <w:color w:val="auto"/>
        </w:rPr>
      </w:pPr>
    </w:p>
    <w:p>
      <w:pPr>
        <w:jc w:val="both"/>
        <w:ind w:left="660" w:hanging="328"/>
        <w:spacing w:after="0" w:line="27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5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3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121" w:right="1440"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principal executive offices are located in Foster City, California, where we occupy a 76,922 square-foot facility under a lease expiring on April 30, 2028. We have additional U.S. offices in Bellevue, Washington and Raleigh, North Carolina. We also lease offices in Courbevoie, France; Moscow, Russia; Munich, Germany; Frankfurt, Germany; Nuremberg, Germany; Pune, India; Dubai, United Arab Emirates; Reading, United Kingdom; and Tokyo, Japan. We believe our facilities are adequate for our current needs and for the foreseeable future.</w:t>
      </w:r>
    </w:p>
    <w:p>
      <w:pPr>
        <w:spacing w:after="0" w:line="170"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auto"/>
        </w:rPr>
        <w:t>We operate principal data centers at third-party facilities in Santa Clara, California; Ashburn, Virginia; Geneva, Switzerland; Pune, India; and Amsterdam, the Netherlands.</w:t>
      </w:r>
    </w:p>
    <w:p>
      <w:pPr>
        <w:spacing w:after="0" w:line="30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3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Market for Registrant's Common Equity, Related Stockholder Matters and Issuer Purchases</w:t>
      </w:r>
    </w:p>
    <w:p>
      <w:pPr>
        <w:spacing w:after="0" w:line="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of Equity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Equity</w:t>
      </w:r>
    </w:p>
    <w:p>
      <w:pPr>
        <w:spacing w:after="0" w:line="22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As of January 31, 2019, there were approximately 85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7"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08" w:lineRule="exact"/>
        <w:rPr>
          <w:sz w:val="20"/>
          <w:szCs w:val="20"/>
          <w:color w:val="auto"/>
        </w:rPr>
      </w:pPr>
    </w:p>
    <w:p>
      <w:pPr>
        <w:ind w:right="40" w:firstLine="432"/>
        <w:spacing w:after="0" w:line="292"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2018. All outstanding awards relate to our common stock.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Plan Category</w:t>
      </w:r>
    </w:p>
    <w:p>
      <w:pPr>
        <w:spacing w:after="0" w:line="137" w:lineRule="exact"/>
        <w:rPr>
          <w:sz w:val="20"/>
          <w:szCs w:val="20"/>
          <w:color w:val="auto"/>
        </w:rPr>
      </w:pPr>
    </w:p>
    <w:p>
      <w:pPr>
        <w:ind w:left="40" w:right="60"/>
        <w:spacing w:after="0" w:line="276" w:lineRule="auto"/>
        <w:rPr>
          <w:sz w:val="20"/>
          <w:szCs w:val="20"/>
          <w:color w:val="auto"/>
        </w:rPr>
      </w:pPr>
      <w:r>
        <w:rPr>
          <w:rFonts w:ascii="Arial" w:cs="Arial" w:eastAsia="Arial" w:hAnsi="Arial"/>
          <w:sz w:val="18"/>
          <w:szCs w:val="18"/>
          <w:color w:val="auto"/>
        </w:rPr>
        <w:t>Equity compensation plans approved by security holders(1)</w:t>
      </w:r>
    </w:p>
    <w:p>
      <w:pPr>
        <w:spacing w:after="0" w:line="145" w:lineRule="exact"/>
        <w:rPr>
          <w:sz w:val="20"/>
          <w:szCs w:val="20"/>
          <w:color w:val="auto"/>
        </w:rPr>
      </w:pPr>
    </w:p>
    <w:p>
      <w:pPr>
        <w:ind w:left="40"/>
        <w:spacing w:after="0" w:line="276" w:lineRule="auto"/>
        <w:rPr>
          <w:sz w:val="20"/>
          <w:szCs w:val="20"/>
          <w:color w:val="auto"/>
        </w:rPr>
      </w:pPr>
      <w:r>
        <w:rPr>
          <w:rFonts w:ascii="Arial" w:cs="Arial" w:eastAsia="Arial" w:hAnsi="Arial"/>
          <w:sz w:val="18"/>
          <w:szCs w:val="18"/>
          <w:color w:val="auto"/>
        </w:rPr>
        <w:t>Equity compensation plans not approved by security holders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(c) Number of Securities</w:t>
            </w:r>
          </w:p>
        </w:tc>
      </w:tr>
      <w:tr>
        <w:trPr>
          <w:trHeight w:val="189"/>
        </w:trPr>
        <w:tc>
          <w:tcPr>
            <w:tcW w:w="2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 Number of Securities to be</w:t>
            </w: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Remaining Available for</w:t>
            </w:r>
          </w:p>
        </w:tc>
      </w:tr>
      <w:tr>
        <w:trPr>
          <w:trHeight w:val="189"/>
        </w:trPr>
        <w:tc>
          <w:tcPr>
            <w:tcW w:w="2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Issued Upon</w:t>
            </w: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Future Issuance Under</w:t>
            </w:r>
          </w:p>
        </w:tc>
      </w:tr>
      <w:tr>
        <w:trPr>
          <w:trHeight w:val="189"/>
        </w:trPr>
        <w:tc>
          <w:tcPr>
            <w:tcW w:w="2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Exercise of</w:t>
            </w:r>
          </w:p>
        </w:tc>
        <w:tc>
          <w:tcPr>
            <w:tcW w:w="240" w:type="dxa"/>
            <w:vAlign w:val="bottom"/>
          </w:tcPr>
          <w:p>
            <w:pPr>
              <w:spacing w:after="0"/>
              <w:rPr>
                <w:sz w:val="16"/>
                <w:szCs w:val="16"/>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(b) Weighted-Average</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Equity Compensation</w:t>
            </w:r>
          </w:p>
        </w:tc>
      </w:tr>
      <w:tr>
        <w:trPr>
          <w:trHeight w:val="189"/>
        </w:trPr>
        <w:tc>
          <w:tcPr>
            <w:tcW w:w="2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Outstanding</w:t>
            </w:r>
          </w:p>
        </w:tc>
        <w:tc>
          <w:tcPr>
            <w:tcW w:w="240" w:type="dxa"/>
            <w:vAlign w:val="bottom"/>
          </w:tcPr>
          <w:p>
            <w:pPr>
              <w:spacing w:after="0"/>
              <w:rPr>
                <w:sz w:val="16"/>
                <w:szCs w:val="16"/>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Exercise Price of</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Plans (Excluding</w:t>
            </w:r>
          </w:p>
        </w:tc>
      </w:tr>
      <w:tr>
        <w:trPr>
          <w:trHeight w:val="189"/>
        </w:trPr>
        <w:tc>
          <w:tcPr>
            <w:tcW w:w="2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Options, Warrants</w:t>
            </w:r>
          </w:p>
        </w:tc>
        <w:tc>
          <w:tcPr>
            <w:tcW w:w="240" w:type="dxa"/>
            <w:vAlign w:val="bottom"/>
          </w:tcPr>
          <w:p>
            <w:pPr>
              <w:spacing w:after="0"/>
              <w:rPr>
                <w:sz w:val="16"/>
                <w:szCs w:val="16"/>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Outstanding Options,</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Securities Reflected in</w:t>
            </w:r>
          </w:p>
        </w:tc>
      </w:tr>
      <w:tr>
        <w:trPr>
          <w:trHeight w:val="232"/>
        </w:trPr>
        <w:tc>
          <w:tcPr>
            <w:tcW w:w="2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and Rights</w:t>
            </w:r>
          </w:p>
        </w:tc>
        <w:tc>
          <w:tcPr>
            <w:tcW w:w="240" w:type="dxa"/>
            <w:vAlign w:val="bottom"/>
          </w:tcPr>
          <w:p>
            <w:pPr>
              <w:spacing w:after="0"/>
              <w:rPr>
                <w:sz w:val="20"/>
                <w:szCs w:val="20"/>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Warrants and Rights</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Column (a)</w:t>
            </w:r>
          </w:p>
        </w:tc>
      </w:tr>
      <w:tr>
        <w:trPr>
          <w:trHeight w:val="595"/>
        </w:trPr>
        <w:tc>
          <w:tcPr>
            <w:tcW w:w="24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3,429,309</w:t>
            </w:r>
          </w:p>
        </w:tc>
        <w:tc>
          <w:tcPr>
            <w:tcW w:w="160" w:type="dxa"/>
            <w:vAlign w:val="bottom"/>
          </w:tcPr>
          <w:p>
            <w:pPr>
              <w:spacing w:after="0"/>
              <w:rPr>
                <w:sz w:val="24"/>
                <w:szCs w:val="24"/>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24"/>
                <w:szCs w:val="24"/>
                <w:color w:val="auto"/>
              </w:rPr>
            </w:pPr>
          </w:p>
        </w:tc>
        <w:tc>
          <w:tcPr>
            <w:tcW w:w="2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3,817,097</w:t>
            </w:r>
          </w:p>
        </w:tc>
      </w:tr>
      <w:tr>
        <w:trPr>
          <w:trHeight w:val="621"/>
        </w:trPr>
        <w:tc>
          <w:tcPr>
            <w:tcW w:w="2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37"/>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-2296795</wp:posOffset>
            </wp:positionH>
            <wp:positionV relativeFrom="paragraph">
              <wp:posOffset>-782320</wp:posOffset>
            </wp:positionV>
            <wp:extent cx="723773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394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340"/>
            <w:col w:w="7780"/>
          </w:cols>
          <w:pgMar w:left="240" w:top="121" w:right="239" w:bottom="1440" w:gutter="0" w:footer="0" w:header="0"/>
          <w:type w:val="continuous"/>
        </w:sectPr>
      </w:pPr>
    </w:p>
    <w:p>
      <w:pPr>
        <w:spacing w:after="0" w:line="3" w:lineRule="exact"/>
        <w:rPr>
          <w:sz w:val="20"/>
          <w:szCs w:val="20"/>
          <w:color w:val="auto"/>
        </w:rPr>
      </w:pPr>
    </w:p>
    <w:p>
      <w:pPr>
        <w:ind w:left="260" w:right="40" w:hanging="9"/>
        <w:spacing w:after="0" w:line="271" w:lineRule="auto"/>
        <w:tabs>
          <w:tab w:leader="none" w:pos="5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compensation plans approved by stockholders include the 2000 Equity Incentive Plan, as amended and the 2012 Equity Incentive Plan. Prior to our IPO, we issued securities under our 2000 Equity Incentive Plan, as amended. Following our IPO, we issued securities under our 2012 Equity Incentive Plan.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 following graph shows a comparison from December 31, 2013 through December 31, 2018 of the cumulative total return for an investment of $100 (and the reinvestment of dividends) in our common stock, the NASDAQ Global Select Market and the NASDAQ Computer. Such returns are based on historical results and are not intended to suggest future performance.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CUMULATIVE TOTAL RETURN*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Among Qualys, Inc., NASDAQ-Global Select Market Composite Index, and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156210</wp:posOffset>
            </wp:positionV>
            <wp:extent cx="6226175" cy="3507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26175" cy="350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12/31/13 in stock or index, including reinvestment of dividends. Fiscal year ending December 31.</w:t>
      </w:r>
    </w:p>
    <w:p>
      <w:pPr>
        <w:spacing w:after="0" w:line="200" w:lineRule="exact"/>
        <w:rPr>
          <w:sz w:val="20"/>
          <w:szCs w:val="20"/>
          <w:color w:val="auto"/>
        </w:rPr>
      </w:pP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 31, 2013</w:t>
            </w:r>
          </w:p>
        </w:tc>
        <w:tc>
          <w:tcPr>
            <w:tcW w:w="1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Dec 31, 2014</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Dec 31, 2015</w:t>
            </w:r>
          </w:p>
        </w:tc>
        <w:tc>
          <w:tcPr>
            <w:tcW w:w="2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Dec 31, 2016</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 31, 2017</w:t>
            </w:r>
          </w:p>
        </w:tc>
        <w:tc>
          <w:tcPr>
            <w:tcW w:w="12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Dec 31, 2018</w:t>
            </w:r>
          </w:p>
        </w:tc>
      </w:tr>
      <w:tr>
        <w:trPr>
          <w:trHeight w:val="267"/>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Qualys, Inc.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163.35</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143.18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136.95</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256.82</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323.41</w:t>
            </w:r>
          </w:p>
        </w:tc>
      </w:tr>
      <w:tr>
        <w:trPr>
          <w:trHeight w:val="262"/>
        </w:trPr>
        <w:tc>
          <w:tcPr>
            <w:tcW w:w="33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113.70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120.64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129.80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166.71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160.58</w:t>
            </w:r>
          </w:p>
        </w:tc>
      </w:tr>
      <w:tr>
        <w:trPr>
          <w:trHeight w:val="278"/>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Computer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119.88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127.36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191.11</w:t>
            </w:r>
          </w:p>
        </w:tc>
      </w:tr>
    </w:tbl>
    <w:p>
      <w:pPr>
        <w:spacing w:after="0" w:line="8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Securities and Exchange Commission, whether made before or after the date of this Annual Report on Form 10-K, regardless of any general incorporation language in such filing, except as shall be expressly set forth by specific reference in such filing.</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1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February 5, 2018, our Board of Directors authorized a $100.0 million two-year share repurchase program, which was announced on February 12, 2018. On October 25, 2018, the Company's Board of Directors authorized an additional $ 100.0 million two-year share repurchase program, which was announced on October 30, 2018 and. Our share repurchases may be effected from time to time through open market purchases or pursuant to a Rule 10b5-1 plan. All share repurchases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were made using cash resources. As of December 31, 2018, approximately $115.0 million remained available for share repurchases pursuant to our share repurchase program.</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repurchases of common stock during the fourth quarter of 2018 is as follows:</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jc w:val="center"/>
              <w:ind w:right="99"/>
              <w:spacing w:after="0"/>
              <w:rPr>
                <w:sz w:val="20"/>
                <w:szCs w:val="20"/>
                <w:color w:val="auto"/>
              </w:rPr>
            </w:pPr>
            <w:r>
              <w:rPr>
                <w:rFonts w:ascii="Arial" w:cs="Arial" w:eastAsia="Arial" w:hAnsi="Arial"/>
                <w:sz w:val="16"/>
                <w:szCs w:val="16"/>
                <w:b w:val="1"/>
                <w:bCs w:val="1"/>
                <w:color w:val="auto"/>
              </w:rPr>
              <w:t>Approximate Dollar</w:t>
            </w:r>
          </w:p>
        </w:tc>
      </w:tr>
      <w:tr>
        <w:trPr>
          <w:trHeight w:val="189"/>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jc w:val="center"/>
              <w:ind w:right="99"/>
              <w:spacing w:after="0"/>
              <w:rPr>
                <w:sz w:val="20"/>
                <w:szCs w:val="20"/>
                <w:color w:val="auto"/>
              </w:rPr>
            </w:pPr>
            <w:r>
              <w:rPr>
                <w:rFonts w:ascii="Arial" w:cs="Arial" w:eastAsia="Arial" w:hAnsi="Arial"/>
                <w:sz w:val="16"/>
                <w:szCs w:val="16"/>
                <w:b w:val="1"/>
                <w:bCs w:val="1"/>
                <w:color w:val="auto"/>
              </w:rPr>
              <w:t>Value of Shares that</w:t>
            </w:r>
          </w:p>
        </w:tc>
      </w:tr>
      <w:tr>
        <w:trPr>
          <w:trHeight w:val="189"/>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May Yet Be Purchased</w:t>
            </w:r>
          </w:p>
        </w:tc>
      </w:tr>
      <w:tr>
        <w:trPr>
          <w:trHeight w:val="189"/>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b w:val="1"/>
                <w:bCs w:val="1"/>
                <w:color w:val="auto"/>
              </w:rPr>
              <w:t>Average Price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jc w:val="center"/>
              <w:ind w:right="99"/>
              <w:spacing w:after="0"/>
              <w:rPr>
                <w:sz w:val="20"/>
                <w:szCs w:val="20"/>
                <w:color w:val="auto"/>
              </w:rPr>
            </w:pPr>
            <w:r>
              <w:rPr>
                <w:rFonts w:ascii="Arial" w:cs="Arial" w:eastAsia="Arial" w:hAnsi="Arial"/>
                <w:sz w:val="16"/>
                <w:szCs w:val="16"/>
                <w:b w:val="1"/>
                <w:bCs w:val="1"/>
                <w:color w:val="auto"/>
              </w:rPr>
              <w:t>under the Plan or</w:t>
            </w:r>
          </w:p>
        </w:tc>
      </w:tr>
      <w:tr>
        <w:trPr>
          <w:trHeight w:val="232"/>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 or Program</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Program</w:t>
            </w:r>
          </w:p>
        </w:tc>
      </w:tr>
      <w:tr>
        <w:trPr>
          <w:trHeight w:val="254"/>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2018 - October 31, 2018</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153,458,021</w:t>
            </w:r>
          </w:p>
        </w:tc>
      </w:tr>
      <w:tr>
        <w:trPr>
          <w:trHeight w:val="262"/>
        </w:trPr>
        <w:tc>
          <w:tcPr>
            <w:tcW w:w="4120" w:type="dxa"/>
            <w:vAlign w:val="bottom"/>
          </w:tcPr>
          <w:p>
            <w:pPr>
              <w:ind w:left="20"/>
              <w:spacing w:after="0"/>
              <w:rPr>
                <w:sz w:val="20"/>
                <w:szCs w:val="20"/>
                <w:color w:val="auto"/>
              </w:rPr>
            </w:pPr>
            <w:r>
              <w:rPr>
                <w:rFonts w:ascii="Arial" w:cs="Arial" w:eastAsia="Arial" w:hAnsi="Arial"/>
                <w:sz w:val="16"/>
                <w:szCs w:val="16"/>
                <w:color w:val="auto"/>
              </w:rPr>
              <w:t>November 1, 2018 - November 30, 2018</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521,257</w:t>
            </w: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73.86</w:t>
            </w:r>
          </w:p>
        </w:tc>
        <w:tc>
          <w:tcPr>
            <w:tcW w:w="100" w:type="dxa"/>
            <w:vAlign w:val="bottom"/>
          </w:tcPr>
          <w:p>
            <w:pPr>
              <w:spacing w:after="0"/>
              <w:rPr>
                <w:sz w:val="22"/>
                <w:szCs w:val="22"/>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521,257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114,959,626</w:t>
            </w:r>
          </w:p>
        </w:tc>
      </w:tr>
      <w:tr>
        <w:trPr>
          <w:trHeight w:val="271"/>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2018 - December 31, 2018</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114,959,626</w:t>
            </w:r>
          </w:p>
        </w:tc>
      </w:tr>
      <w:tr>
        <w:trPr>
          <w:trHeight w:val="269"/>
        </w:trPr>
        <w:tc>
          <w:tcPr>
            <w:tcW w:w="4120" w:type="dxa"/>
            <w:vAlign w:val="bottom"/>
          </w:tcPr>
          <w:p>
            <w:pPr>
              <w:ind w:left="2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521,257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521,257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Consolidated Financial Data</w:t>
      </w:r>
    </w:p>
    <w:p>
      <w:pPr>
        <w:spacing w:after="0" w:line="24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auto"/>
        </w:rPr>
        <w:t>The following selected consolidated financial data should be read in conjunction with "Item 7. Management’s Discussion and Analysis of Financial Condition and Results of Operations” and our consolidated financial statements, related notes and other financial information included elsewhere in this Annual Report on Form 10-K. Our historical results are not necessarily indicative of the results that may be expected in the future, and the results for the year ended December 31, 2018 are not necessarily indicative of operating results to be expected for any other period.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b w:val="1"/>
                <w:bCs w:val="1"/>
                <w:color w:val="auto"/>
              </w:rPr>
              <w:t>As of December 31,</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64"/>
        </w:trPr>
        <w:tc>
          <w:tcPr>
            <w:tcW w:w="5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r>
      <w:tr>
        <w:trPr>
          <w:trHeight w:val="246"/>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0" w:type="dxa"/>
            <w:vAlign w:val="bottom"/>
            <w:gridSpan w:val="5"/>
          </w:tcPr>
          <w:p>
            <w:pPr>
              <w:jc w:val="center"/>
              <w:ind w:right="179"/>
              <w:spacing w:after="0"/>
              <w:rPr>
                <w:sz w:val="20"/>
                <w:szCs w:val="20"/>
                <w:color w:val="auto"/>
              </w:rPr>
            </w:pPr>
            <w:r>
              <w:rPr>
                <w:rFonts w:ascii="Arial" w:cs="Arial" w:eastAsia="Arial" w:hAnsi="Arial"/>
                <w:sz w:val="16"/>
                <w:szCs w:val="16"/>
                <w:b w:val="1"/>
                <w:bCs w:val="1"/>
                <w:color w:val="auto"/>
              </w:rPr>
              <w:t>(in thousands, except per share data)</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278,889</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230,828</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197,925</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164,284</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133,579</w:t>
            </w:r>
          </w:p>
        </w:tc>
      </w:tr>
      <w:tr>
        <w:trPr>
          <w:trHeight w:val="262"/>
        </w:trPr>
        <w:tc>
          <w:tcPr>
            <w:tcW w:w="526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50,361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37,243</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30,107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24,806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9,247</w:t>
            </w: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57,304</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40,440</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19,224</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15,865</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30,244</w:t>
            </w: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 xml:space="preserve">Net income per share attributable to common stockholders: </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5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0.55</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0.47</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0.92</w:t>
            </w:r>
          </w:p>
        </w:tc>
      </w:tr>
      <w:tr>
        <w:trPr>
          <w:trHeight w:val="255"/>
        </w:trPr>
        <w:tc>
          <w:tcPr>
            <w:tcW w:w="5260" w:type="dxa"/>
            <w:vAlign w:val="bottom"/>
          </w:tcPr>
          <w:p>
            <w:pPr>
              <w:ind w:left="3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1.01</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0.81</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b w:val="1"/>
                <w:bCs w:val="1"/>
                <w:color w:val="auto"/>
              </w:rPr>
              <w:t>As of December 31,</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64"/>
        </w:trPr>
        <w:tc>
          <w:tcPr>
            <w:tcW w:w="5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r>
      <w:tr>
        <w:trPr>
          <w:trHeight w:val="246"/>
        </w:trPr>
        <w:tc>
          <w:tcPr>
            <w:tcW w:w="5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4"/>
        </w:trPr>
        <w:tc>
          <w:tcPr>
            <w:tcW w:w="524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short-term investments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289,166</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288,414</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243,856</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178,966</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127,218</w:t>
            </w:r>
          </w:p>
        </w:tc>
      </w:tr>
      <w:tr>
        <w:trPr>
          <w:trHeight w:val="262"/>
        </w:trPr>
        <w:tc>
          <w:tcPr>
            <w:tcW w:w="524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76,710</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67,224</w:t>
            </w:r>
          </w:p>
        </w:tc>
        <w:tc>
          <w:tcPr>
            <w:tcW w:w="46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45,725</w:t>
            </w:r>
          </w:p>
        </w:tc>
        <w:tc>
          <w:tcPr>
            <w:tcW w:w="30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43,277</w:t>
            </w:r>
          </w:p>
        </w:tc>
        <w:tc>
          <w:tcPr>
            <w:tcW w:w="3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39,448</w:t>
            </w:r>
          </w:p>
        </w:tc>
      </w:tr>
      <w:tr>
        <w:trPr>
          <w:trHeight w:val="278"/>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585,680</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537,525</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407,004</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323,514</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260,024</w:t>
            </w:r>
          </w:p>
        </w:tc>
      </w:tr>
      <w:tr>
        <w:trPr>
          <w:trHeight w:val="262"/>
        </w:trPr>
        <w:tc>
          <w:tcPr>
            <w:tcW w:w="5240" w:type="dxa"/>
            <w:vAlign w:val="bottom"/>
          </w:tcPr>
          <w:p>
            <w:pPr>
              <w:ind w:left="40"/>
              <w:spacing w:after="0"/>
              <w:rPr>
                <w:sz w:val="20"/>
                <w:szCs w:val="20"/>
                <w:color w:val="auto"/>
              </w:rPr>
            </w:pPr>
            <w:r>
              <w:rPr>
                <w:rFonts w:ascii="Arial" w:cs="Arial" w:eastAsia="Arial" w:hAnsi="Arial"/>
                <w:sz w:val="16"/>
                <w:szCs w:val="16"/>
                <w:color w:val="auto"/>
              </w:rPr>
              <w:t>Deferred revenues, current</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164,624</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143,186</w:t>
            </w:r>
          </w:p>
        </w:tc>
        <w:tc>
          <w:tcPr>
            <w:tcW w:w="46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114,964</w:t>
            </w:r>
          </w:p>
        </w:tc>
        <w:tc>
          <w:tcPr>
            <w:tcW w:w="30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98,025</w:t>
            </w:r>
          </w:p>
        </w:tc>
        <w:tc>
          <w:tcPr>
            <w:tcW w:w="3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81,147</w:t>
            </w:r>
          </w:p>
        </w:tc>
      </w:tr>
      <w:tr>
        <w:trPr>
          <w:trHeight w:val="278"/>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revenues, noncurrent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20,423</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17,136</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15,528</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14,564</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10,064</w:t>
            </w:r>
          </w:p>
        </w:tc>
      </w:tr>
      <w:tr>
        <w:trPr>
          <w:trHeight w:val="255"/>
        </w:trPr>
        <w:tc>
          <w:tcPr>
            <w:tcW w:w="52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357,989</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343,544</w:t>
            </w:r>
          </w:p>
        </w:tc>
        <w:tc>
          <w:tcPr>
            <w:tcW w:w="46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258,413</w:t>
            </w:r>
          </w:p>
        </w:tc>
        <w:tc>
          <w:tcPr>
            <w:tcW w:w="30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195,566</w:t>
            </w:r>
          </w:p>
        </w:tc>
        <w:tc>
          <w:tcPr>
            <w:tcW w:w="3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151,827</w:t>
            </w:r>
          </w:p>
        </w:tc>
      </w:tr>
    </w:tbl>
    <w:p>
      <w:pPr>
        <w:spacing w:after="0" w:line="214" w:lineRule="exact"/>
        <w:rPr>
          <w:sz w:val="20"/>
          <w:szCs w:val="20"/>
          <w:color w:val="auto"/>
        </w:rPr>
      </w:pPr>
    </w:p>
    <w:p>
      <w:pPr>
        <w:ind w:left="340" w:hanging="332"/>
        <w:spacing w:after="0" w:line="223"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See Notes 1 and 12 to our consolidated financial statements included elsewhere in this Annual Report on Form 10-K for an explanation of the calculation of our basic and diluted income per share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jc w:val="both"/>
        <w:ind w:left="340" w:firstLine="405"/>
        <w:spacing w:after="0" w:line="258" w:lineRule="auto"/>
        <w:rPr>
          <w:sz w:val="20"/>
          <w:szCs w:val="20"/>
          <w:color w:val="auto"/>
        </w:rPr>
      </w:pPr>
      <w:r>
        <w:rPr>
          <w:rFonts w:ascii="Arial" w:cs="Arial" w:eastAsia="Arial" w:hAnsi="Arial"/>
          <w:sz w:val="18"/>
          <w:szCs w:val="18"/>
          <w:i w:val="1"/>
          <w:iCs w:val="1"/>
          <w:color w:val="231F20"/>
        </w:rPr>
        <w:t>You should read the following discussion in conjunction with the section titled "Selected Consolidated Financial Data" and our consolidated financial statements and the related notes included elsewhere in this Annual Report on Form 10-K.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7" w:lineRule="exact"/>
        <w:rPr>
          <w:sz w:val="20"/>
          <w:szCs w:val="20"/>
          <w:color w:val="auto"/>
        </w:rPr>
      </w:pPr>
    </w:p>
    <w:p>
      <w:pPr>
        <w:jc w:val="both"/>
        <w:ind w:left="340" w:firstLine="405"/>
        <w:spacing w:after="0" w:line="254" w:lineRule="auto"/>
        <w:rPr>
          <w:sz w:val="20"/>
          <w:szCs w:val="20"/>
          <w:color w:val="auto"/>
        </w:rPr>
      </w:pPr>
      <w:r>
        <w:rPr>
          <w:rFonts w:ascii="Arial" w:cs="Arial" w:eastAsia="Arial" w:hAnsi="Arial"/>
          <w:sz w:val="18"/>
          <w:szCs w:val="18"/>
          <w:color w:val="231F20"/>
        </w:rPr>
        <w:t xml:space="preserve">We </w:t>
      </w:r>
      <w:r>
        <w:rPr>
          <w:rFonts w:ascii="Arial" w:cs="Arial" w:eastAsia="Arial" w:hAnsi="Arial"/>
          <w:sz w:val="18"/>
          <w:szCs w:val="18"/>
          <w:color w:val="000000"/>
        </w:rPr>
        <w:t>are a pioneer and leading provider of a cloud-based platform delivering security and compliance solutions that enable</w:t>
      </w:r>
      <w:r>
        <w:rPr>
          <w:rFonts w:ascii="Arial" w:cs="Arial" w:eastAsia="Arial" w:hAnsi="Arial"/>
          <w:sz w:val="18"/>
          <w:szCs w:val="18"/>
          <w:color w:val="231F20"/>
        </w:rPr>
        <w:t xml:space="preserve"> </w:t>
      </w:r>
      <w:r>
        <w:rPr>
          <w:rFonts w:ascii="Arial" w:cs="Arial" w:eastAsia="Arial" w:hAnsi="Arial"/>
          <w:sz w:val="18"/>
          <w:szCs w:val="18"/>
          <w:color w:val="000000"/>
        </w:rPr>
        <w:t>organizations to identify security risks to their information technology (IT) infrastructures, help protect their IT systems and a</w:t>
      </w:r>
      <w:r>
        <w:rPr>
          <w:rFonts w:ascii="Arial" w:cs="Arial" w:eastAsia="Arial" w:hAnsi="Arial"/>
          <w:sz w:val="18"/>
          <w:szCs w:val="18"/>
          <w:color w:val="231F20"/>
        </w:rPr>
        <w:t>pplications from</w:t>
      </w:r>
      <w:r>
        <w:rPr>
          <w:rFonts w:ascii="Arial" w:cs="Arial" w:eastAsia="Arial" w:hAnsi="Arial"/>
          <w:sz w:val="18"/>
          <w:szCs w:val="18"/>
          <w:color w:val="000000"/>
        </w:rPr>
        <w:t xml:space="preserve"> </w:t>
      </w:r>
      <w:r>
        <w:rPr>
          <w:rFonts w:ascii="Arial" w:cs="Arial" w:eastAsia="Arial" w:hAnsi="Arial"/>
          <w:sz w:val="18"/>
          <w:szCs w:val="18"/>
          <w:color w:val="231F20"/>
        </w:rPr>
        <w:t>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security and compliance solutions delivered on our Qualys Cloud Platform enables our customers to identify and manage their IT assets, collect and analyze large amounts of IT security data, discover and prioritize vulnerabilities, recommend remediation actions and verify the implementati</w:t>
      </w:r>
      <w:r>
        <w:rPr>
          <w:rFonts w:ascii="Arial" w:cs="Arial" w:eastAsia="Arial" w:hAnsi="Arial"/>
          <w:sz w:val="18"/>
          <w:szCs w:val="18"/>
          <w:color w:val="000000"/>
        </w:rPr>
        <w:t>on of such actions. Organizations use our integrated suite of</w:t>
      </w:r>
      <w:r>
        <w:rPr>
          <w:rFonts w:ascii="Arial" w:cs="Arial" w:eastAsia="Arial" w:hAnsi="Arial"/>
          <w:sz w:val="18"/>
          <w:szCs w:val="18"/>
          <w:color w:val="231F20"/>
        </w:rPr>
        <w:t xml:space="preserve"> </w:t>
      </w:r>
      <w:r>
        <w:rPr>
          <w:rFonts w:ascii="Arial" w:cs="Arial" w:eastAsia="Arial" w:hAnsi="Arial"/>
          <w:sz w:val="18"/>
          <w:szCs w:val="18"/>
          <w:color w:val="000000"/>
        </w:rPr>
        <w:t>solutions delivered on our Qualys Cloud Platform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83" w:lineRule="exact"/>
        <w:rPr>
          <w:sz w:val="20"/>
          <w:szCs w:val="20"/>
          <w:color w:val="auto"/>
        </w:rPr>
      </w:pPr>
    </w:p>
    <w:p>
      <w:pPr>
        <w:jc w:val="both"/>
        <w:ind w:left="340" w:firstLine="405"/>
        <w:spacing w:after="0" w:line="260"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on-premise assets, endpoints and cloud environments. These solutions and their Cloud Apps address and include:</w:t>
      </w:r>
    </w:p>
    <w:p>
      <w:pPr>
        <w:spacing w:after="0" w:line="202" w:lineRule="exact"/>
        <w:rPr>
          <w:sz w:val="20"/>
          <w:szCs w:val="20"/>
          <w:color w:val="auto"/>
        </w:rPr>
      </w:pPr>
    </w:p>
    <w:p>
      <w:pPr>
        <w:ind w:left="1620" w:right="1480" w:hanging="640"/>
        <w:spacing w:after="0" w:line="307" w:lineRule="auto"/>
        <w:tabs>
          <w:tab w:leader="none" w:pos="1359" w:val="left"/>
        </w:tabs>
        <w:numPr>
          <w:ilvl w:val="0"/>
          <w:numId w:val="21"/>
        </w:numPr>
        <w:rPr>
          <w:rFonts w:ascii="Arial" w:cs="Arial" w:eastAsia="Arial" w:hAnsi="Arial"/>
          <w:sz w:val="18"/>
          <w:szCs w:val="18"/>
          <w:color w:val="231F20"/>
        </w:rPr>
      </w:pPr>
      <w:r>
        <w:rPr>
          <w:rFonts w:ascii="Arial" w:cs="Arial" w:eastAsia="Arial" w:hAnsi="Arial"/>
          <w:sz w:val="18"/>
          <w:szCs w:val="18"/>
          <w:i w:val="1"/>
          <w:iCs w:val="1"/>
          <w:color w:val="231F20"/>
        </w:rPr>
        <w:t xml:space="preserve">IT Security: </w:t>
      </w:r>
      <w:r>
        <w:rPr>
          <w:rFonts w:ascii="Arial" w:cs="Arial" w:eastAsia="Arial" w:hAnsi="Arial"/>
          <w:sz w:val="18"/>
          <w:szCs w:val="18"/>
          <w:color w:val="231F20"/>
        </w:rPr>
        <w:t>Vulnerability Management (VM), Threat Protection (TP), Continuous Monitoring (CM), Indication</w:t>
      </w:r>
      <w:r>
        <w:rPr>
          <w:rFonts w:ascii="Arial" w:cs="Arial" w:eastAsia="Arial" w:hAnsi="Arial"/>
          <w:sz w:val="18"/>
          <w:szCs w:val="18"/>
          <w:i w:val="1"/>
          <w:iCs w:val="1"/>
          <w:color w:val="231F20"/>
        </w:rPr>
        <w:t xml:space="preserve"> </w:t>
      </w:r>
      <w:r>
        <w:rPr>
          <w:rFonts w:ascii="Arial" w:cs="Arial" w:eastAsia="Arial" w:hAnsi="Arial"/>
          <w:sz w:val="18"/>
          <w:szCs w:val="18"/>
          <w:color w:val="231F20"/>
        </w:rPr>
        <w:t>of Compromise (IOC), Certificate Assessment (CRA);</w:t>
      </w:r>
    </w:p>
    <w:p>
      <w:pPr>
        <w:spacing w:after="0" w:line="159" w:lineRule="exact"/>
        <w:rPr>
          <w:rFonts w:ascii="Arial" w:cs="Arial" w:eastAsia="Arial" w:hAnsi="Arial"/>
          <w:sz w:val="18"/>
          <w:szCs w:val="18"/>
          <w:color w:val="231F20"/>
        </w:rPr>
      </w:pPr>
    </w:p>
    <w:p>
      <w:pPr>
        <w:ind w:left="1620" w:right="1840" w:hanging="640"/>
        <w:spacing w:after="0" w:line="307" w:lineRule="auto"/>
        <w:tabs>
          <w:tab w:leader="none" w:pos="1359" w:val="left"/>
        </w:tabs>
        <w:numPr>
          <w:ilvl w:val="0"/>
          <w:numId w:val="21"/>
        </w:numPr>
        <w:rPr>
          <w:rFonts w:ascii="Arial" w:cs="Arial" w:eastAsia="Arial" w:hAnsi="Arial"/>
          <w:sz w:val="18"/>
          <w:szCs w:val="18"/>
          <w:color w:val="231F20"/>
        </w:rPr>
      </w:pPr>
      <w:r>
        <w:rPr>
          <w:rFonts w:ascii="Arial" w:cs="Arial" w:eastAsia="Arial" w:hAnsi="Arial"/>
          <w:sz w:val="18"/>
          <w:szCs w:val="18"/>
          <w:i w:val="1"/>
          <w:iCs w:val="1"/>
          <w:color w:val="231F20"/>
        </w:rPr>
        <w:t xml:space="preserve">Compliance Monitoring: </w:t>
      </w:r>
      <w:r>
        <w:rPr>
          <w:rFonts w:ascii="Arial" w:cs="Arial" w:eastAsia="Arial" w:hAnsi="Arial"/>
          <w:sz w:val="18"/>
          <w:szCs w:val="18"/>
          <w:color w:val="231F20"/>
        </w:rPr>
        <w:t>Policy Compliance (PC), PCI Compliance (PCI), File Integrity Monitoring (FIM),</w:t>
      </w:r>
      <w:r>
        <w:rPr>
          <w:rFonts w:ascii="Arial" w:cs="Arial" w:eastAsia="Arial" w:hAnsi="Arial"/>
          <w:sz w:val="18"/>
          <w:szCs w:val="18"/>
          <w:i w:val="1"/>
          <w:iCs w:val="1"/>
          <w:color w:val="231F20"/>
        </w:rPr>
        <w:t xml:space="preserve"> </w:t>
      </w:r>
      <w:r>
        <w:rPr>
          <w:rFonts w:ascii="Arial" w:cs="Arial" w:eastAsia="Arial" w:hAnsi="Arial"/>
          <w:sz w:val="18"/>
          <w:szCs w:val="18"/>
          <w:color w:val="231F20"/>
        </w:rPr>
        <w:t>Security Configuration Assessment (SCA), Security Assessment Questionnaire (SAQ);</w:t>
      </w:r>
    </w:p>
    <w:p>
      <w:pPr>
        <w:spacing w:after="0" w:line="159" w:lineRule="exact"/>
        <w:rPr>
          <w:rFonts w:ascii="Arial" w:cs="Arial" w:eastAsia="Arial" w:hAnsi="Arial"/>
          <w:sz w:val="18"/>
          <w:szCs w:val="18"/>
          <w:color w:val="231F20"/>
        </w:rPr>
      </w:pPr>
    </w:p>
    <w:p>
      <w:pPr>
        <w:ind w:left="1360" w:hanging="380"/>
        <w:spacing w:after="0"/>
        <w:tabs>
          <w:tab w:leader="none" w:pos="1360" w:val="left"/>
        </w:tabs>
        <w:numPr>
          <w:ilvl w:val="0"/>
          <w:numId w:val="21"/>
        </w:numPr>
        <w:rPr>
          <w:rFonts w:ascii="Arial" w:cs="Arial" w:eastAsia="Arial" w:hAnsi="Arial"/>
          <w:sz w:val="18"/>
          <w:szCs w:val="18"/>
          <w:color w:val="231F20"/>
        </w:rPr>
      </w:pPr>
      <w:r>
        <w:rPr>
          <w:rFonts w:ascii="Arial" w:cs="Arial" w:eastAsia="Arial" w:hAnsi="Arial"/>
          <w:sz w:val="18"/>
          <w:szCs w:val="18"/>
          <w:i w:val="1"/>
          <w:iCs w:val="1"/>
          <w:color w:val="231F20"/>
        </w:rPr>
        <w:t xml:space="preserve">Web Application Security: </w:t>
      </w:r>
      <w:r>
        <w:rPr>
          <w:rFonts w:ascii="Arial" w:cs="Arial" w:eastAsia="Arial" w:hAnsi="Arial"/>
          <w:sz w:val="18"/>
          <w:szCs w:val="18"/>
          <w:color w:val="231F20"/>
        </w:rPr>
        <w:t>Web Application Scanning (WAS), Web Application Firewall (WAF);</w:t>
      </w:r>
    </w:p>
    <w:p>
      <w:pPr>
        <w:spacing w:after="0" w:line="265" w:lineRule="exact"/>
        <w:rPr>
          <w:rFonts w:ascii="Arial" w:cs="Arial" w:eastAsia="Arial" w:hAnsi="Arial"/>
          <w:sz w:val="18"/>
          <w:szCs w:val="18"/>
          <w:color w:val="231F20"/>
        </w:rPr>
      </w:pPr>
    </w:p>
    <w:p>
      <w:pPr>
        <w:ind w:left="1360" w:hanging="380"/>
        <w:spacing w:after="0"/>
        <w:tabs>
          <w:tab w:leader="none" w:pos="1360" w:val="left"/>
        </w:tabs>
        <w:numPr>
          <w:ilvl w:val="0"/>
          <w:numId w:val="21"/>
        </w:numPr>
        <w:rPr>
          <w:rFonts w:ascii="Arial" w:cs="Arial" w:eastAsia="Arial" w:hAnsi="Arial"/>
          <w:sz w:val="18"/>
          <w:szCs w:val="18"/>
          <w:color w:val="231F20"/>
        </w:rPr>
      </w:pPr>
      <w:r>
        <w:rPr>
          <w:rFonts w:ascii="Arial" w:cs="Arial" w:eastAsia="Arial" w:hAnsi="Arial"/>
          <w:sz w:val="18"/>
          <w:szCs w:val="18"/>
          <w:i w:val="1"/>
          <w:iCs w:val="1"/>
          <w:color w:val="231F20"/>
        </w:rPr>
        <w:t xml:space="preserve">Global IT Asset Management: </w:t>
      </w:r>
      <w:r>
        <w:rPr>
          <w:rFonts w:ascii="Arial" w:cs="Arial" w:eastAsia="Arial" w:hAnsi="Arial"/>
          <w:sz w:val="18"/>
          <w:szCs w:val="18"/>
          <w:color w:val="231F20"/>
        </w:rPr>
        <w:t>Asset Inventory (AI), CMDB Sync (SYN), Certificate Inventory (CRI); and</w:t>
      </w:r>
    </w:p>
    <w:p>
      <w:pPr>
        <w:spacing w:after="0" w:line="265" w:lineRule="exact"/>
        <w:rPr>
          <w:rFonts w:ascii="Arial" w:cs="Arial" w:eastAsia="Arial" w:hAnsi="Arial"/>
          <w:sz w:val="18"/>
          <w:szCs w:val="18"/>
          <w:color w:val="231F20"/>
        </w:rPr>
      </w:pPr>
    </w:p>
    <w:p>
      <w:pPr>
        <w:ind w:left="1360" w:hanging="380"/>
        <w:spacing w:after="0"/>
        <w:tabs>
          <w:tab w:leader="none" w:pos="1360" w:val="left"/>
        </w:tabs>
        <w:numPr>
          <w:ilvl w:val="0"/>
          <w:numId w:val="21"/>
        </w:numPr>
        <w:rPr>
          <w:rFonts w:ascii="Arial" w:cs="Arial" w:eastAsia="Arial" w:hAnsi="Arial"/>
          <w:sz w:val="18"/>
          <w:szCs w:val="18"/>
          <w:color w:val="231F20"/>
        </w:rPr>
      </w:pPr>
      <w:r>
        <w:rPr>
          <w:rFonts w:ascii="Arial" w:cs="Arial" w:eastAsia="Arial" w:hAnsi="Arial"/>
          <w:sz w:val="18"/>
          <w:szCs w:val="18"/>
          <w:i w:val="1"/>
          <w:iCs w:val="1"/>
          <w:color w:val="231F20"/>
        </w:rPr>
        <w:t xml:space="preserve">Cloud/Container Security: </w:t>
      </w:r>
      <w:r>
        <w:rPr>
          <w:rFonts w:ascii="Arial" w:cs="Arial" w:eastAsia="Arial" w:hAnsi="Arial"/>
          <w:sz w:val="18"/>
          <w:szCs w:val="18"/>
          <w:color w:val="231F20"/>
        </w:rPr>
        <w:t>Cloud Inventory (CI), Cloud Security Assessment (CSA), Container Security (CS).</w:t>
      </w:r>
    </w:p>
    <w:p>
      <w:pPr>
        <w:spacing w:after="0" w:line="239" w:lineRule="exact"/>
        <w:rPr>
          <w:sz w:val="20"/>
          <w:szCs w:val="20"/>
          <w:color w:val="auto"/>
        </w:rPr>
      </w:pPr>
    </w:p>
    <w:p>
      <w:pPr>
        <w:jc w:val="both"/>
        <w:ind w:left="340" w:firstLine="405"/>
        <w:spacing w:after="0" w:line="271" w:lineRule="auto"/>
        <w:rPr>
          <w:sz w:val="20"/>
          <w:szCs w:val="20"/>
          <w:color w:val="auto"/>
        </w:rPr>
      </w:pPr>
      <w:r>
        <w:rPr>
          <w:rFonts w:ascii="Arial" w:cs="Arial" w:eastAsia="Arial" w:hAnsi="Arial"/>
          <w:sz w:val="18"/>
          <w:szCs w:val="18"/>
          <w:color w:val="231F20"/>
        </w:rPr>
        <w:t xml:space="preserve">Our VM solutions (including VM, CM, TP, Cloud Agent for VM, allocated scanner revenue and Qualys Private Cloud Platform) have provided a substantial majority of our revenues to date, representing 74%, 74% and 76% of total revenues in </w:t>
      </w:r>
      <w:r>
        <w:rPr>
          <w:rFonts w:ascii="Arial" w:cs="Arial" w:eastAsia="Arial" w:hAnsi="Arial"/>
          <w:sz w:val="18"/>
          <w:szCs w:val="18"/>
          <w:color w:val="000000"/>
        </w:rPr>
        <w:t>2018</w:t>
      </w:r>
      <w:r>
        <w:rPr>
          <w:rFonts w:ascii="Arial" w:cs="Arial" w:eastAsia="Arial" w:hAnsi="Arial"/>
          <w:sz w:val="18"/>
          <w:szCs w:val="18"/>
          <w:color w:val="231F20"/>
        </w:rPr>
        <w:t xml:space="preserve">, </w:t>
      </w:r>
      <w:r>
        <w:rPr>
          <w:rFonts w:ascii="Arial" w:cs="Arial" w:eastAsia="Arial" w:hAnsi="Arial"/>
          <w:sz w:val="18"/>
          <w:szCs w:val="18"/>
          <w:color w:val="000000"/>
        </w:rPr>
        <w:t>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respectively.</w:t>
      </w:r>
    </w:p>
    <w:p>
      <w:pPr>
        <w:spacing w:after="0" w:line="163" w:lineRule="exact"/>
        <w:rPr>
          <w:sz w:val="20"/>
          <w:szCs w:val="20"/>
          <w:color w:val="auto"/>
        </w:rPr>
      </w:pPr>
    </w:p>
    <w:p>
      <w:pPr>
        <w:jc w:val="both"/>
        <w:ind w:left="340" w:firstLine="405"/>
        <w:spacing w:after="0" w:line="260"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significant revenue growth from our existing customers as they renew and purchase additional subscriptions</w:t>
      </w:r>
      <w:r>
        <w:rPr>
          <w:rFonts w:ascii="Arial" w:cs="Arial" w:eastAsia="Arial" w:hAnsi="Arial"/>
          <w:sz w:val="18"/>
          <w:szCs w:val="18"/>
          <w:color w:val="000000"/>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40" w:firstLine="405"/>
        <w:spacing w:after="0" w:line="257" w:lineRule="auto"/>
        <w:rPr>
          <w:sz w:val="20"/>
          <w:szCs w:val="20"/>
          <w:color w:val="auto"/>
        </w:rPr>
      </w:pPr>
      <w:r>
        <w:rPr>
          <w:rFonts w:ascii="Arial" w:cs="Arial" w:eastAsia="Arial" w:hAnsi="Arial"/>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As of December 31, 2018, we had over 12,200 customers and active users in more than 130 countries, including a majority of each of the Forbes Global 100 and Fortune 100. In 2018, 2017 and 2016, approximately 67%, 70% and 71%,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77" w:lineRule="exact"/>
        <w:rPr>
          <w:sz w:val="20"/>
          <w:szCs w:val="20"/>
          <w:color w:val="auto"/>
        </w:rPr>
      </w:pPr>
    </w:p>
    <w:p>
      <w:pPr>
        <w:jc w:val="both"/>
        <w:ind w:left="340" w:firstLine="405"/>
        <w:spacing w:after="0" w:line="264" w:lineRule="auto"/>
        <w:rPr>
          <w:sz w:val="20"/>
          <w:szCs w:val="20"/>
          <w:color w:val="auto"/>
        </w:rPr>
      </w:pPr>
      <w:r>
        <w:rPr>
          <w:rFonts w:ascii="Arial" w:cs="Arial" w:eastAsia="Arial" w:hAnsi="Arial"/>
          <w:sz w:val="18"/>
          <w:szCs w:val="18"/>
          <w:color w:val="auto"/>
        </w:rPr>
        <w:t>We have had continued revenue growth over the past three years. Our revenues increased from $197.9 million in 2016 to $ 230.8 million in 2017, and reached $278.9 million in 2018, representing period-over-period increases of $32.9 million and $48.1 million in 2017 and 2018, or 17% and 21%, respectively. We generated net income of $19.2 million in 2016, $40.4 million in 2017, and $57.3 million in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w:t>
      </w:r>
    </w:p>
    <w:p>
      <w:pPr>
        <w:spacing w:after="0" w:line="11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In addition to measures of financial performance presented in our consolidated financial statements, we monitor the key metric set forth below to help us evaluate growth trends, establish budgets, measure the effectiveness of our sales and marketing efforts and assess operational efficiencies.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gridSpan w:val="4"/>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Pr>
          <w:p>
            <w:pPr>
              <w:spacing w:after="0"/>
              <w:rPr>
                <w:sz w:val="19"/>
                <w:szCs w:val="19"/>
                <w:color w:val="auto"/>
              </w:rPr>
            </w:pPr>
          </w:p>
        </w:tc>
      </w:tr>
      <w:tr>
        <w:trPr>
          <w:trHeight w:val="274"/>
        </w:trPr>
        <w:tc>
          <w:tcPr>
            <w:tcW w:w="67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0"/>
        </w:trPr>
        <w:tc>
          <w:tcPr>
            <w:tcW w:w="6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4"/>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112,380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84,933</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67,966</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1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78"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(benefit from) income taxes, (3) depreciation of property and equipment, (4) amortization of intangible assets, (5) stock-based compensation, (6) non-recurring expenses and (7) cash acquisition-related expense that do not reflect ongoing costs of operating the business.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unaudited table presents the reconciliation of net income to Adjusted EBITDA for each of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color w:val="auto"/>
              </w:rPr>
              <w:t>Year Ended December 31,</w:t>
            </w:r>
          </w:p>
        </w:tc>
        <w:tc>
          <w:tcPr>
            <w:tcW w:w="1080" w:type="dxa"/>
            <w:vAlign w:val="bottom"/>
            <w:tcBorders>
              <w:bottom w:val="single" w:sz="8" w:color="auto"/>
            </w:tcBorders>
          </w:tcPr>
          <w:p>
            <w:pPr>
              <w:spacing w:after="0"/>
              <w:rPr>
                <w:sz w:val="19"/>
                <w:szCs w:val="19"/>
                <w:color w:val="auto"/>
              </w:rPr>
            </w:pPr>
          </w:p>
        </w:tc>
      </w:tr>
      <w:tr>
        <w:trPr>
          <w:trHeight w:val="264"/>
        </w:trPr>
        <w:tc>
          <w:tcPr>
            <w:tcW w:w="69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2016</w:t>
            </w:r>
          </w:p>
        </w:tc>
      </w:tr>
      <w:tr>
        <w:trPr>
          <w:trHeight w:val="249"/>
        </w:trPr>
        <w:tc>
          <w:tcPr>
            <w:tcW w:w="6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rPr>
              <w:t>(in thousands)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8"/>
        </w:trPr>
        <w:tc>
          <w:tcPr>
            <w:tcW w:w="6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57,304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40,440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19,224</w:t>
            </w:r>
          </w:p>
        </w:tc>
      </w:tr>
      <w:tr>
        <w:trPr>
          <w:trHeight w:val="262"/>
        </w:trPr>
        <w:tc>
          <w:tcPr>
            <w:tcW w:w="6940" w:type="dxa"/>
            <w:vAlign w:val="bottom"/>
          </w:tcPr>
          <w:p>
            <w:pPr>
              <w:ind w:left="380"/>
              <w:spacing w:after="0"/>
              <w:rPr>
                <w:sz w:val="20"/>
                <w:szCs w:val="20"/>
                <w:color w:val="auto"/>
              </w:rPr>
            </w:pPr>
            <w:r>
              <w:rPr>
                <w:rFonts w:ascii="Arial" w:cs="Arial" w:eastAsia="Arial" w:hAnsi="Arial"/>
                <w:sz w:val="16"/>
                <w:szCs w:val="16"/>
                <w:color w:val="auto"/>
              </w:rPr>
              <w:t>Depreciation of property and equipment</w:t>
            </w:r>
          </w:p>
        </w:tc>
        <w:tc>
          <w:tcPr>
            <w:tcW w:w="320" w:type="dxa"/>
            <w:vAlign w:val="bottom"/>
          </w:tcPr>
          <w:p>
            <w:pPr>
              <w:spacing w:after="0"/>
              <w:rPr>
                <w:sz w:val="22"/>
                <w:szCs w:val="22"/>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25,136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19,828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16,621</w:t>
            </w:r>
          </w:p>
        </w:tc>
      </w:tr>
      <w:tr>
        <w:trPr>
          <w:trHeight w:val="278"/>
        </w:trPr>
        <w:tc>
          <w:tcPr>
            <w:tcW w:w="6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373</w:t>
            </w:r>
          </w:p>
        </w:tc>
      </w:tr>
      <w:tr>
        <w:trPr>
          <w:trHeight w:val="262"/>
        </w:trPr>
        <w:tc>
          <w:tcPr>
            <w:tcW w:w="69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2"/>
                <w:szCs w:val="22"/>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26</w:t>
            </w:r>
          </w:p>
        </w:tc>
      </w:tr>
      <w:tr>
        <w:trPr>
          <w:trHeight w:val="271"/>
        </w:trPr>
        <w:tc>
          <w:tcPr>
            <w:tcW w:w="6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(Benefit from) provision for income taxes</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11,205</w:t>
            </w:r>
          </w:p>
        </w:tc>
      </w:tr>
      <w:tr>
        <w:trPr>
          <w:trHeight w:val="262"/>
        </w:trPr>
        <w:tc>
          <w:tcPr>
            <w:tcW w:w="6940" w:type="dxa"/>
            <w:vAlign w:val="bottom"/>
          </w:tcPr>
          <w:p>
            <w:pPr>
              <w:ind w:left="40"/>
              <w:spacing w:after="0"/>
              <w:rPr>
                <w:sz w:val="20"/>
                <w:szCs w:val="20"/>
                <w:color w:val="auto"/>
              </w:rPr>
            </w:pPr>
            <w:r>
              <w:rPr>
                <w:rFonts w:ascii="Arial" w:cs="Arial" w:eastAsia="Arial" w:hAnsi="Arial"/>
                <w:sz w:val="16"/>
                <w:szCs w:val="16"/>
                <w:color w:val="auto"/>
              </w:rPr>
              <w:t>EBITDA</w:t>
            </w:r>
          </w:p>
        </w:tc>
        <w:tc>
          <w:tcPr>
            <w:tcW w:w="320" w:type="dxa"/>
            <w:vAlign w:val="bottom"/>
          </w:tcPr>
          <w:p>
            <w:pPr>
              <w:spacing w:after="0"/>
              <w:rPr>
                <w:sz w:val="22"/>
                <w:szCs w:val="22"/>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84,544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60,017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47,449</w:t>
            </w:r>
          </w:p>
        </w:tc>
      </w:tr>
      <w:tr>
        <w:trPr>
          <w:trHeight w:val="278"/>
        </w:trPr>
        <w:tc>
          <w:tcPr>
            <w:tcW w:w="6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26,961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20,149</w:t>
            </w:r>
          </w:p>
        </w:tc>
      </w:tr>
      <w:tr>
        <w:trPr>
          <w:trHeight w:val="262"/>
        </w:trPr>
        <w:tc>
          <w:tcPr>
            <w:tcW w:w="6940" w:type="dxa"/>
            <w:vAlign w:val="bottom"/>
          </w:tcPr>
          <w:p>
            <w:pPr>
              <w:ind w:left="380"/>
              <w:spacing w:after="0"/>
              <w:rPr>
                <w:sz w:val="20"/>
                <w:szCs w:val="20"/>
                <w:color w:val="auto"/>
              </w:rPr>
            </w:pPr>
            <w:r>
              <w:rPr>
                <w:rFonts w:ascii="Arial" w:cs="Arial" w:eastAsia="Arial" w:hAnsi="Arial"/>
                <w:sz w:val="16"/>
                <w:szCs w:val="16"/>
                <w:color w:val="auto"/>
              </w:rPr>
              <w:t>Other income, net</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(5,279)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(348)</w:t>
            </w:r>
          </w:p>
        </w:tc>
      </w:tr>
      <w:tr>
        <w:trPr>
          <w:trHeight w:val="278"/>
        </w:trPr>
        <w:tc>
          <w:tcPr>
            <w:tcW w:w="6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Cash acquisition-related expense</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70"/>
        </w:trPr>
        <w:tc>
          <w:tcPr>
            <w:tcW w:w="6940" w:type="dxa"/>
            <w:vAlign w:val="bottom"/>
          </w:tcPr>
          <w:p>
            <w:pPr>
              <w:ind w:left="380"/>
              <w:spacing w:after="0"/>
              <w:rPr>
                <w:sz w:val="20"/>
                <w:szCs w:val="20"/>
                <w:color w:val="auto"/>
              </w:rPr>
            </w:pPr>
            <w:r>
              <w:rPr>
                <w:rFonts w:ascii="Arial" w:cs="Arial" w:eastAsia="Arial" w:hAnsi="Arial"/>
                <w:sz w:val="16"/>
                <w:szCs w:val="16"/>
                <w:color w:val="auto"/>
              </w:rPr>
              <w:t>One-time tax related expense</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716</w:t>
            </w:r>
          </w:p>
        </w:tc>
      </w:tr>
      <w:tr>
        <w:trPr>
          <w:trHeight w:val="236"/>
        </w:trPr>
        <w:tc>
          <w:tcPr>
            <w:tcW w:w="6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112,380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84,933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67,966</w:t>
            </w: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9"/>
        </w:trPr>
        <w:tc>
          <w:tcPr>
            <w:tcW w:w="69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r>
    </w:tbl>
    <w:p>
      <w:pPr>
        <w:spacing w:after="0" w:line="164"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i w:val="1"/>
          <w:iCs w:val="1"/>
          <w:color w:val="auto"/>
        </w:rPr>
      </w:pPr>
      <w:r>
        <w:rPr>
          <w:rFonts w:ascii="Arial" w:cs="Arial" w:eastAsia="Arial" w:hAnsi="Arial"/>
          <w:sz w:val="14"/>
          <w:szCs w:val="14"/>
          <w:color w:val="auto"/>
        </w:rPr>
        <w:t>Relates to compensation expense from the acquisition of NetWatcher and Layered Insight.</w:t>
      </w:r>
    </w:p>
    <w:p>
      <w:pPr>
        <w:spacing w:after="0" w:line="19" w:lineRule="exact"/>
        <w:rPr>
          <w:rFonts w:ascii="Arial" w:cs="Arial" w:eastAsia="Arial" w:hAnsi="Arial"/>
          <w:sz w:val="14"/>
          <w:szCs w:val="14"/>
          <w:i w:val="1"/>
          <w:iCs w:val="1"/>
          <w:color w:val="auto"/>
        </w:rPr>
      </w:pPr>
    </w:p>
    <w:p>
      <w:pPr>
        <w:ind w:right="220" w:firstLine="8"/>
        <w:spacing w:after="0" w:line="252" w:lineRule="auto"/>
        <w:tabs>
          <w:tab w:leader="none" w:pos="216"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for 2016 excludes approximately $0.7 million of a non-recurring expense related to the remittance of payroll taxes from fiscal year 2013 through May 2016. During this same period, we have not excluded any amounts related to other non-recurring items from Adjusted EBITDA because we have considered such amounts to be immaterial.</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Limitations of Adjusted EBITDA</w:t>
      </w:r>
    </w:p>
    <w:p>
      <w:pPr>
        <w:spacing w:after="0" w:line="360" w:lineRule="exact"/>
        <w:rPr>
          <w:sz w:val="20"/>
          <w:szCs w:val="20"/>
          <w:color w:val="auto"/>
        </w:rPr>
      </w:pPr>
    </w:p>
    <w:p>
      <w:pPr>
        <w:ind w:firstLine="405"/>
        <w:spacing w:after="0" w:line="292" w:lineRule="auto"/>
        <w:rPr>
          <w:sz w:val="20"/>
          <w:szCs w:val="20"/>
          <w:color w:val="auto"/>
        </w:rPr>
      </w:pPr>
      <w:r>
        <w:rPr>
          <w:rFonts w:ascii="Arial" w:cs="Arial" w:eastAsia="Arial" w:hAnsi="Arial"/>
          <w:sz w:val="18"/>
          <w:szCs w:val="18"/>
          <w:color w:val="auto"/>
        </w:rPr>
        <w:t>Adjusted EBITDA, a non-GAAP financial measure, has limitations as an analytical tool, and should not be considered in isolation from or as a substitute for the measures presented in accordance with U.S. GAAP. Some of these limitations are:</w:t>
      </w:r>
    </w:p>
    <w:p>
      <w:pPr>
        <w:spacing w:after="0" w:line="14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excludes depreciation of property and equipment and amortization of intangible assets, although these are non-cash charges, the assets being depreciated and amortized may have to be replaced in the future; and</w:t>
      </w:r>
    </w:p>
    <w:p>
      <w:pPr>
        <w:ind w:left="660" w:hanging="328"/>
        <w:spacing w:after="0" w:line="26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67"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Revenues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Cost of revenues consists primarily of personnel expenses, comprised of salaries, benefits, amortization of internal-use software,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Research and Development</w:t>
      </w:r>
    </w:p>
    <w:p>
      <w:pPr>
        <w:spacing w:after="0" w:line="2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acquisitions and overhead allocations. All research and development costs are expensed as incurred, except for capitalized costs related to new products' internal-use software development. Capitalized costs include salaries, benefits, and stock-based compensation charges for employees that are directly involved in developing its cloud security platform during the planning and post implementation phases of development. Capitalized costs related to internally developed software under development are treated as construction in progress until the program, feature or functionality is ready for its intended use, at which time amortization commences.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Sales and Marketing</w:t>
      </w:r>
    </w:p>
    <w:p>
      <w:pPr>
        <w:spacing w:after="0" w:line="2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cost related to new business and upsells are capitalized as an asset. We amortize the capitalized commission cost as a selling expense on a straight-line basis over a period of five years. We expense sales commissions related to contract renewals.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General and Administrative</w:t>
      </w:r>
    </w:p>
    <w:p>
      <w:pPr>
        <w:spacing w:after="0" w:line="22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and human resources teams, as well as professional services, insurance, fees, and software licenses. We expect that general and administrative expenses will increase in absolute dollars, as we continue to add personnel and incur professional services to support our growth and compliance with legal requirements.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Indian Rupee; losses on disposal of property and equipment; and impairment of long-lived assets.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33"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countries at rates which were generally similar to the U.S. statutory tax rate. Our effective rate differs from the U.S. statutory rate primarily due to excess tax benefits related to stock-based compensation, U.S. federal research and development tax credits, U.S. foreign tax credits, and non-deductible compensation to certain employees.</w:t>
      </w:r>
    </w:p>
    <w:p>
      <w:pPr>
        <w:spacing w:after="0" w:line="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 During 2017, we recognized an expense of $10.4 million as a result of re-measuring deferred tax assets and liabilities using the reduced U.S. federal tax rate of 21% which decreased from 35% due to the enactment of the 2017 Tax Act.</w:t>
      </w:r>
    </w:p>
    <w:p>
      <w:pPr>
        <w:spacing w:after="0" w:line="6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5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Our benefit from income taxes in 2018 consists of a tax benefit from excess stock-based compensation deductions, as well as from U.S. federal research and development and foreign tax credits. The tax benefit was partially offset by a tax expense for non-deductible compensation of certain employees.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tables set forth selected consolidated statements of operations data for each of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r>
      <w:tr>
        <w:trPr>
          <w:trHeight w:val="233"/>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278,889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230,828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197,925</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14"/>
                <w:szCs w:val="14"/>
                <w:color w:val="auto"/>
                <w:vertAlign w:val="superscript"/>
              </w:rPr>
              <w:t>(1)</w:t>
            </w:r>
          </w:p>
        </w:tc>
        <w:tc>
          <w:tcPr>
            <w:tcW w:w="36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66,185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51,580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43,128</w:t>
            </w: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212,704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179,248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154,797</w:t>
            </w: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8"/>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14"/>
                <w:szCs w:val="14"/>
                <w:color w:val="auto"/>
                <w:vertAlign w:val="superscript"/>
              </w:rPr>
              <w:t>(1)</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36,591</w:t>
            </w:r>
          </w:p>
        </w:tc>
      </w:tr>
      <w:tr>
        <w:trPr>
          <w:trHeight w:val="262"/>
        </w:trPr>
        <w:tc>
          <w:tcPr>
            <w:tcW w:w="6740" w:type="dxa"/>
            <w:vAlign w:val="bottom"/>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14"/>
                <w:szCs w:val="14"/>
                <w:color w:val="auto"/>
                <w:vertAlign w:val="superscript"/>
              </w:rPr>
              <w:t>(1)</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70,039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63,855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58,985</w:t>
            </w:r>
          </w:p>
        </w:tc>
      </w:tr>
      <w:tr>
        <w:trPr>
          <w:trHeight w:val="271"/>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14"/>
                <w:szCs w:val="14"/>
                <w:color w:val="auto"/>
                <w:vertAlign w:val="superscript"/>
              </w:rPr>
              <w:t>(1)</w:t>
            </w:r>
          </w:p>
        </w:tc>
        <w:tc>
          <w:tcPr>
            <w:tcW w:w="360" w:type="dxa"/>
            <w:vAlign w:val="bottom"/>
            <w:tcBorders>
              <w:bottom w:val="single" w:sz="8" w:color="231F20"/>
            </w:tcBorders>
            <w:shd w:val="clear" w:color="auto" w:fill="CCEEFF"/>
          </w:tcPr>
          <w:p>
            <w:pPr>
              <w:spacing w:after="0"/>
              <w:rPr>
                <w:sz w:val="23"/>
                <w:szCs w:val="23"/>
                <w:color w:val="auto"/>
              </w:rPr>
            </w:pPr>
          </w:p>
        </w:tc>
        <w:tc>
          <w:tcPr>
            <w:tcW w:w="11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39,049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11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35,334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11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29,114</w:t>
            </w:r>
          </w:p>
        </w:tc>
      </w:tr>
      <w:tr>
        <w:trPr>
          <w:trHeight w:val="250"/>
        </w:trPr>
        <w:tc>
          <w:tcPr>
            <w:tcW w:w="67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162,343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142,005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124,690</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50,361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37,243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30,107</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55,468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30,429</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11,205</w:t>
            </w:r>
          </w:p>
        </w:tc>
      </w:tr>
      <w:tr>
        <w:trPr>
          <w:trHeight w:val="242"/>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57,304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19,224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64"/>
        </w:trPr>
        <w:tc>
          <w:tcPr>
            <w:tcW w:w="6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26"/>
        </w:trPr>
        <w:tc>
          <w:tcPr>
            <w:tcW w:w="6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1"/>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1,858</w:t>
            </w:r>
          </w:p>
        </w:tc>
      </w:tr>
      <w:tr>
        <w:trPr>
          <w:trHeight w:val="262"/>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7,961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5,678</w:t>
            </w:r>
          </w:p>
        </w:tc>
      </w:tr>
      <w:tr>
        <w:trPr>
          <w:trHeight w:val="278"/>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4,870</w:t>
            </w:r>
          </w:p>
        </w:tc>
      </w:tr>
      <w:tr>
        <w:trPr>
          <w:trHeight w:val="264"/>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14,990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14,103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7,743</w:t>
            </w:r>
          </w:p>
        </w:tc>
      </w:tr>
      <w:tr>
        <w:trPr>
          <w:trHeight w:val="242"/>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stock-based compensation</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20,149</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firstLine="405"/>
        <w:spacing w:after="0" w:line="292" w:lineRule="auto"/>
        <w:rPr>
          <w:sz w:val="20"/>
          <w:szCs w:val="20"/>
          <w:color w:val="auto"/>
        </w:rPr>
      </w:pPr>
      <w:r>
        <w:rPr>
          <w:rFonts w:ascii="Arial" w:cs="Arial" w:eastAsia="Arial" w:hAnsi="Arial"/>
          <w:sz w:val="18"/>
          <w:szCs w:val="18"/>
          <w:color w:val="231F20"/>
        </w:rPr>
        <w:t>The following table sets forth selected consolidated statements of operations data for each of the periods presented as a percentage of revenues.</w:t>
      </w:r>
    </w:p>
    <w:p>
      <w:pPr>
        <w:spacing w:after="0" w:line="120"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33020</wp:posOffset>
            </wp:positionV>
            <wp:extent cx="3155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4"/>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r>
      <w:tr>
        <w:trPr>
          <w:trHeight w:val="257"/>
        </w:trPr>
        <w:tc>
          <w:tcPr>
            <w:tcW w:w="75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r>
      <w:tr>
        <w:trPr>
          <w:trHeight w:val="262"/>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8"/>
        </w:trPr>
        <w:tc>
          <w:tcPr>
            <w:tcW w:w="75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r>
      <w:tr>
        <w:trPr>
          <w:trHeight w:val="262"/>
        </w:trPr>
        <w:tc>
          <w:tcPr>
            <w:tcW w:w="756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60" w:type="dxa"/>
            <w:vAlign w:val="bottom"/>
          </w:tcPr>
          <w:p>
            <w:pPr>
              <w:jc w:val="right"/>
              <w:ind w:right="15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30</w:t>
            </w:r>
          </w:p>
        </w:tc>
      </w:tr>
      <w:tr>
        <w:trPr>
          <w:trHeight w:val="271"/>
        </w:trPr>
        <w:tc>
          <w:tcPr>
            <w:tcW w:w="6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r>
      <w:tr>
        <w:trPr>
          <w:trHeight w:val="250"/>
        </w:trPr>
        <w:tc>
          <w:tcPr>
            <w:tcW w:w="65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w:t>
            </w:r>
          </w:p>
        </w:tc>
      </w:tr>
      <w:tr>
        <w:trPr>
          <w:trHeight w:val="257"/>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net</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r>
      <w:tr>
        <w:trPr>
          <w:trHeight w:val="257"/>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r>
      <w:tr>
        <w:trPr>
          <w:trHeight w:val="242"/>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Years Ended December 31, 2018 and 2017</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4"/>
        </w:trPr>
        <w:tc>
          <w:tcPr>
            <w:tcW w:w="5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3"/>
                <w:szCs w:val="23"/>
                <w:color w:val="auto"/>
              </w:rPr>
            </w:pPr>
          </w:p>
        </w:tc>
      </w:tr>
      <w:tr>
        <w:trPr>
          <w:trHeight w:val="264"/>
        </w:trPr>
        <w:tc>
          <w:tcPr>
            <w:tcW w:w="5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740" w:type="dxa"/>
            <w:vAlign w:val="bottom"/>
            <w:gridSpan w:val="5"/>
          </w:tcPr>
          <w:p>
            <w:pPr>
              <w:jc w:val="right"/>
              <w:ind w:right="63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7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278,889</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230,828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48,061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bl>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Revenues increased $48.1 million in 2018 compared to 2017 due to an increase in the subscriptions from existing customers and new customer subscriptions entered into in 2018. Revenues from customers existing at or prior to December 31, 2017 grew by $36.4 million to $267.2 million during 2018. Subscriptions from new customers added in 2018 contributed $11.7 million to the increase in revenues. Of the total increase of $48.1 million, $23.2 million was from customers in the United States and the remaining $24.9 million was from customers in foreign countries. We expect revenue growth from existing and new customers to continue. The growth in revenues reflects the continued demand for our solutions. There was no impact to our revenues as a result of adopting Accounting Standards Codification ("ASC") 606. See in Part II, Item 8 of this Annual Report on Form 10-K Note 4, “Revenue from Contracts with Customers”.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50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w w:val="99"/>
              </w:rPr>
              <w:t>December 31,</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66,185</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51,580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14,605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$14.6 million</w:t>
      </w:r>
      <w:r>
        <w:rPr>
          <w:rFonts w:ascii="Arial" w:cs="Arial" w:eastAsia="Arial" w:hAnsi="Arial"/>
          <w:sz w:val="18"/>
          <w:szCs w:val="18"/>
          <w:color w:val="231F20"/>
        </w:rPr>
        <w:t xml:space="preserve"> in </w:t>
      </w:r>
      <w:r>
        <w:rPr>
          <w:rFonts w:ascii="Arial" w:cs="Arial" w:eastAsia="Arial" w:hAnsi="Arial"/>
          <w:sz w:val="18"/>
          <w:szCs w:val="18"/>
          <w:color w:val="000000"/>
        </w:rPr>
        <w:t>2018</w:t>
      </w:r>
      <w:r>
        <w:rPr>
          <w:rFonts w:ascii="Arial" w:cs="Arial" w:eastAsia="Arial" w:hAnsi="Arial"/>
          <w:sz w:val="18"/>
          <w:szCs w:val="18"/>
          <w:color w:val="231F20"/>
        </w:rPr>
        <w:t xml:space="preserve"> compared to </w:t>
      </w:r>
      <w:r>
        <w:rPr>
          <w:rFonts w:ascii="Arial" w:cs="Arial" w:eastAsia="Arial" w:hAnsi="Arial"/>
          <w:sz w:val="18"/>
          <w:szCs w:val="18"/>
          <w:color w:val="000000"/>
        </w:rPr>
        <w:t>2017</w:t>
      </w:r>
      <w:r>
        <w:rPr>
          <w:rFonts w:ascii="Arial" w:cs="Arial" w:eastAsia="Arial" w:hAnsi="Arial"/>
          <w:sz w:val="18"/>
          <w:szCs w:val="18"/>
          <w:color w:val="231F20"/>
        </w:rPr>
        <w:t>, primarily due to an increase in personnel expenses of $4.5 million, driven by additional employees hired to support the continued growth of our business; a $ 3.1 million increase in amortization expense related to acquired technology resulting from our business acquisitions; a $2.6 million increase in depreciation expense related to additional computer hardware and software; a $1.9 million increase in data center and supplies costs; an increase of $1.3 million in third-party software license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121" w:right="2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maintenance expense, resulting from our continued business growth; and $1.2 million increase related to other miscellaneous costs.</w:t>
      </w:r>
    </w:p>
    <w:p>
      <w:pPr>
        <w:spacing w:after="0" w:line="225" w:lineRule="exact"/>
        <w:rPr>
          <w:rFonts w:ascii="Arial" w:cs="Arial" w:eastAsia="Arial" w:hAnsi="Arial"/>
          <w:sz w:val="18"/>
          <w:szCs w:val="18"/>
          <w:color w:val="231F20"/>
        </w:rPr>
      </w:pPr>
    </w:p>
    <w:p>
      <w:pPr>
        <w:ind w:left="180"/>
        <w:spacing w:after="0"/>
        <w:rPr>
          <w:rFonts w:ascii="Arial" w:cs="Arial" w:eastAsia="Arial" w:hAnsi="Arial"/>
          <w:sz w:val="18"/>
          <w:szCs w:val="18"/>
          <w:color w:val="231F20"/>
        </w:rPr>
      </w:pPr>
      <w:r>
        <w:rPr>
          <w:rFonts w:ascii="Arial" w:cs="Arial" w:eastAsia="Arial" w:hAnsi="Arial"/>
          <w:sz w:val="18"/>
          <w:szCs w:val="18"/>
          <w:b w:val="1"/>
          <w:bCs w:val="1"/>
          <w:i w:val="1"/>
          <w:iCs w:val="1"/>
          <w:color w:val="231F20"/>
        </w:rPr>
        <w:t>Research and Development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50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w w:val="99"/>
              </w:rPr>
              <w:t>December 31,</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53,255</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42,816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10,439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0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Research and development expenses increased $10.4 million in 2018 compared to 2017, primarily due to an increase in personnel expenses of $8.5 million, driven by additional employees hired to support the growth of our business; an increase of $0.9 million in consulting &amp; professional services costs; an increase of $0.8 million data center, third-party software license &amp; maintenance expense; and a $1.5 million increase in other miscellaneous costs; partially offset by software capitalization of $1.3 million. We continue to significantly invest in and expand our research and development teams to continuously improve our platform and existing solutions, as well as develop new solutions and capabilities.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50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w w:val="99"/>
              </w:rPr>
              <w:t>December 31,</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70,039</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63,855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6,184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0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Sales and marketing expenses increased $6.2 million in 2018 compared to 2017, primarily due to an increase in personnel expenses of $2.9 million, driven by additional employees hired to support the growth of our business; a $1.7 million increase in acquisition-related compensation expense from Netwatcher; an increase of $1.6 million for trade shows; an increase of $ 1.2 million in recruiting, consulting and temporary services; an increase of $0.8 million in travel and entertainment expense and a $0.7 million increase in other miscellaneous costs. The increases were partially offset by a decrease of $2.7 million in commission expense, primarily due to the adoption of ASC 606, resulting in us capitalizing commissions on new business and upsells in the year ended December 31, 2018 versus expensing all commissions in the year ended December 31, 2017.</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50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w w:val="99"/>
              </w:rPr>
              <w:t>December 31,</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39,049</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35,334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3,715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0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$3.7 million</w:t>
      </w:r>
      <w:r>
        <w:rPr>
          <w:rFonts w:ascii="Arial" w:cs="Arial" w:eastAsia="Arial" w:hAnsi="Arial"/>
          <w:sz w:val="18"/>
          <w:szCs w:val="18"/>
          <w:color w:val="231F20"/>
        </w:rPr>
        <w:t xml:space="preserve"> in </w:t>
      </w:r>
      <w:r>
        <w:rPr>
          <w:rFonts w:ascii="Arial" w:cs="Arial" w:eastAsia="Arial" w:hAnsi="Arial"/>
          <w:sz w:val="18"/>
          <w:szCs w:val="18"/>
          <w:color w:val="000000"/>
        </w:rPr>
        <w:t>2018</w:t>
      </w:r>
      <w:r>
        <w:rPr>
          <w:rFonts w:ascii="Arial" w:cs="Arial" w:eastAsia="Arial" w:hAnsi="Arial"/>
          <w:sz w:val="18"/>
          <w:szCs w:val="18"/>
          <w:color w:val="231F20"/>
        </w:rPr>
        <w:t xml:space="preserve"> compared to </w:t>
      </w:r>
      <w:r>
        <w:rPr>
          <w:rFonts w:ascii="Arial" w:cs="Arial" w:eastAsia="Arial" w:hAnsi="Arial"/>
          <w:sz w:val="18"/>
          <w:szCs w:val="18"/>
          <w:color w:val="000000"/>
        </w:rPr>
        <w:t>2017</w:t>
      </w:r>
      <w:r>
        <w:rPr>
          <w:rFonts w:ascii="Arial" w:cs="Arial" w:eastAsia="Arial" w:hAnsi="Arial"/>
          <w:sz w:val="18"/>
          <w:szCs w:val="18"/>
          <w:color w:val="231F20"/>
        </w:rPr>
        <w:t>, primarily driven by an increase of $1.8 million in consulting, legal service fees and outside services; an increase of $1.2 million in personnel expenses; an increase of $0.3 million in taxes, fees</w:t>
      </w:r>
    </w:p>
    <w:p>
      <w:pPr>
        <w:spacing w:after="0" w:line="1" w:lineRule="exact"/>
        <w:rPr>
          <w:sz w:val="20"/>
          <w:szCs w:val="20"/>
          <w:color w:val="auto"/>
        </w:rPr>
      </w:pPr>
    </w:p>
    <w:p>
      <w:pPr>
        <w:ind w:left="5620" w:right="5460" w:hanging="5612"/>
        <w:spacing w:after="0" w:line="417" w:lineRule="auto"/>
        <w:tabs>
          <w:tab w:leader="none" w:pos="184" w:val="left"/>
        </w:tabs>
        <w:numPr>
          <w:ilvl w:val="0"/>
          <w:numId w:val="26"/>
        </w:numPr>
        <w:rPr>
          <w:rFonts w:ascii="Arial" w:cs="Arial" w:eastAsia="Arial" w:hAnsi="Arial"/>
          <w:sz w:val="17"/>
          <w:szCs w:val="17"/>
          <w:color w:val="231F20"/>
        </w:rPr>
      </w:pPr>
      <w:r>
        <w:rPr>
          <w:rFonts w:ascii="Arial" w:cs="Arial" w:eastAsia="Arial" w:hAnsi="Arial"/>
          <w:sz w:val="17"/>
          <w:szCs w:val="17"/>
          <w:color w:val="231F20"/>
        </w:rPr>
        <w:t xml:space="preserve">penalties, and $0.5 million increase related to other miscellaneous costs. </w:t>
      </w:r>
      <w:r>
        <w:rPr>
          <w:rFonts w:ascii="Arial" w:cs="Arial" w:eastAsia="Arial" w:hAnsi="Arial"/>
          <w:sz w:val="17"/>
          <w:szCs w:val="17"/>
          <w:color w:val="000000"/>
        </w:rPr>
        <w:t>50</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Net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4"/>
        </w:trPr>
        <w:tc>
          <w:tcPr>
            <w:tcW w:w="53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3"/>
                <w:szCs w:val="23"/>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74"/>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net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5,107</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2,135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2,972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55"/>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spacing w:after="0" w:line="209"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Total other income, net, increased $3.0 million in 2018 compared to 2017, primarily due to the accretion of purchase discounts from marketable securities balances increasing year over year.</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Benefit from Income Taxes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4"/>
        </w:trPr>
        <w:tc>
          <w:tcPr>
            <w:tcW w:w="53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3"/>
                <w:szCs w:val="23"/>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74"/>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from income taxes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1,836</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774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55"/>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spacing w:after="0" w:line="209"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We recorded an income tax benefit of $1.8 million in 2018 as compared to an income tax benefit of $1.1 million in 2017. This was primarily due to an increase in our U.S. federal research and development and foreign tax credits. While the 2017 income tax benefit was driven by greater excess tax benefits from stock based compensation it was offset by $10.4 million of expense from the re-measuring of deferred tax assets and liabilities due to the decrease in the federal tax rate from 35% to 21% resulting from the Tax Cuts and Jobs Act, enacted into law on December 22,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2017 and 2016</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4"/>
        </w:trPr>
        <w:tc>
          <w:tcPr>
            <w:tcW w:w="5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23"/>
                <w:szCs w:val="23"/>
                <w:color w:val="auto"/>
              </w:rPr>
            </w:pPr>
          </w:p>
        </w:tc>
      </w:tr>
      <w:tr>
        <w:trPr>
          <w:trHeight w:val="264"/>
        </w:trPr>
        <w:tc>
          <w:tcPr>
            <w:tcW w:w="5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r>
      <w:tr>
        <w:trPr>
          <w:trHeight w:val="250"/>
        </w:trPr>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70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(in thousands, except percentages)</w:t>
            </w:r>
          </w:p>
        </w:tc>
        <w:tc>
          <w:tcPr>
            <w:tcW w:w="1080" w:type="dxa"/>
            <w:vAlign w:val="bottom"/>
          </w:tcPr>
          <w:p>
            <w:pPr>
              <w:spacing w:after="0"/>
              <w:rPr>
                <w:sz w:val="21"/>
                <w:szCs w:val="21"/>
                <w:color w:val="auto"/>
              </w:rPr>
            </w:pPr>
          </w:p>
        </w:tc>
      </w:tr>
      <w:tr>
        <w:trPr>
          <w:trHeight w:val="27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230,828</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197,925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32,903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bl>
    <w:p>
      <w:pPr>
        <w:spacing w:after="0" w:line="139"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Revenues increased $32.9 million in 2017 compared to 2016. Revenues from customers existing at or prior to December 31, 2016 grew by $21.5 million to $219.4 million during 2017</w:t>
      </w:r>
      <w:r>
        <w:rPr>
          <w:rFonts w:ascii="Arial" w:cs="Arial" w:eastAsia="Arial" w:hAnsi="Arial"/>
          <w:sz w:val="18"/>
          <w:szCs w:val="18"/>
          <w:color w:val="231F20"/>
        </w:rPr>
        <w:t>.</w:t>
      </w:r>
      <w:r>
        <w:rPr>
          <w:rFonts w:ascii="Arial" w:cs="Arial" w:eastAsia="Arial" w:hAnsi="Arial"/>
          <w:sz w:val="18"/>
          <w:szCs w:val="18"/>
          <w:color w:val="auto"/>
        </w:rPr>
        <w:t xml:space="preserve"> Subscriptions from new customers added in 2017 contributed $11.4 million to the increase in revenues. Of the total increase of $32.9 million, $22.9 million was from customers in the United States and the remaining $10.0 million was from customers in foreign countries. The growth in revenues reflects the continued demand for our solutions. We expect revenue growth from existing and new customers to continue. The growth in revenues reflects the continued demand for our solutions.</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4"/>
        </w:trPr>
        <w:tc>
          <w:tcPr>
            <w:tcW w:w="54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3"/>
                <w:szCs w:val="23"/>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50"/>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74"/>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51,580</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43,128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8,452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62"/>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Cost of revenues increased $8.5 million in 2017 compared to 2016, primarily due to an increase in personnel expenses of $4.1 million, driven by the increase in the number of employees to support the continued growth of our business; a $2.8 million increase in depreciation expense related to additional computer hardware and software; a $0.5 million increase in amortization expense related to acquired technology resulting from our business acquisitions; increased data center costs of $0.5 million; and increased consulting services and third-party software license maintenance expense of $0.2 million each as our business continues to grow.</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4"/>
        </w:trPr>
        <w:tc>
          <w:tcPr>
            <w:tcW w:w="54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3"/>
                <w:szCs w:val="23"/>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50"/>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74"/>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42,816</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36,591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6,225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5"/>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15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Research and development expenses increased $6.2 million in 2017 compared to 2016, primarily due to an increase in personnel expenses of $5.7 million, driven by additional employees hired to support the growth of our business; and increased related facilities costs and expenses of $1.0 million to support our research and development activities. These increases were partially offset by lower consulting services of $ 0.4 million. We continue to significantly invest in and expand our research and development teams to continuously improve our platform and existing solutions, as well as develop new solutions and capabilities.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4"/>
        </w:trPr>
        <w:tc>
          <w:tcPr>
            <w:tcW w:w="54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3"/>
                <w:szCs w:val="23"/>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50"/>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74"/>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63,855</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58,985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4,870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55"/>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15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Sales and marketing expenses increased $4.9 million in 2017 compared to 2016, primarily due to an increase in personnel expenses of $3.8 million, driven by the increase in the number of employees to support the growth of our business; and increased marketing expenses of $1.2 million, including lead generation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4"/>
        </w:trPr>
        <w:tc>
          <w:tcPr>
            <w:tcW w:w="53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3"/>
                <w:szCs w:val="23"/>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r>
      <w:tr>
        <w:trPr>
          <w:trHeight w:val="250"/>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74"/>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35,334</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29,114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6,220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5"/>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15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General and administrative expenses increased $6.2 million in 2017 compared to 2016, primarily driven by an increase in personnel expenses of $7.4 million, principally due to higher executive stock-based compensation and the addition of new employees to support the growth of our business. The increase was partially offset by lower legal fees of $1.4 million.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w w:val="99"/>
              </w:rPr>
              <w:t>Year Ended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4"/>
        </w:trPr>
        <w:tc>
          <w:tcPr>
            <w:tcW w:w="53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6"/>
                <w:szCs w:val="16"/>
                <w:b w:val="1"/>
                <w:bCs w:val="1"/>
                <w:color w:val="auto"/>
                <w:w w:val="99"/>
              </w:rPr>
              <w:t>December 31,</w:t>
            </w:r>
          </w:p>
        </w:tc>
        <w:tc>
          <w:tcPr>
            <w:tcW w:w="4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3"/>
                <w:szCs w:val="23"/>
                <w:color w:val="auto"/>
              </w:rPr>
            </w:pPr>
          </w:p>
        </w:tc>
      </w:tr>
      <w:tr>
        <w:trPr>
          <w:trHeight w:val="264"/>
        </w:trPr>
        <w:tc>
          <w:tcPr>
            <w:tcW w:w="5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r>
      <w:tr>
        <w:trPr>
          <w:trHeight w:val="250"/>
        </w:trPr>
        <w:tc>
          <w:tcPr>
            <w:tcW w:w="5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(in thousands, except percentages)</w:t>
            </w:r>
          </w:p>
        </w:tc>
        <w:tc>
          <w:tcPr>
            <w:tcW w:w="1060" w:type="dxa"/>
            <w:vAlign w:val="bottom"/>
          </w:tcPr>
          <w:p>
            <w:pPr>
              <w:spacing w:after="0"/>
              <w:rPr>
                <w:sz w:val="21"/>
                <w:szCs w:val="21"/>
                <w:color w:val="auto"/>
              </w:rPr>
            </w:pPr>
          </w:p>
        </w:tc>
      </w:tr>
      <w:tr>
        <w:trPr>
          <w:trHeight w:val="274"/>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(expense), net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2,135</w:t>
            </w:r>
          </w:p>
        </w:tc>
        <w:tc>
          <w:tcPr>
            <w:tcW w:w="10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1,813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r>
      <w:tr>
        <w:trPr>
          <w:trHeight w:val="255"/>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60" w:type="dxa"/>
            <w:vAlign w:val="bottom"/>
          </w:tcPr>
          <w:p>
            <w:pPr>
              <w:spacing w:after="0"/>
              <w:rPr>
                <w:sz w:val="22"/>
                <w:szCs w:val="22"/>
                <w:color w:val="auto"/>
              </w:rPr>
            </w:pPr>
          </w:p>
        </w:tc>
      </w:tr>
    </w:tbl>
    <w:p>
      <w:pPr>
        <w:spacing w:after="0" w:line="155"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Total other income (expense), net increased $1.8 million in 2017 compared to 2016, primarily due to an increase in investment income as our cash and investment balances increased year over year.</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4"/>
        </w:trPr>
        <w:tc>
          <w:tcPr>
            <w:tcW w:w="52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3"/>
                <w:szCs w:val="23"/>
                <w:color w:val="auto"/>
              </w:rPr>
            </w:pPr>
          </w:p>
        </w:tc>
      </w:tr>
      <w:tr>
        <w:trPr>
          <w:trHeight w:val="264"/>
        </w:trPr>
        <w:tc>
          <w:tcPr>
            <w:tcW w:w="5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r>
      <w:tr>
        <w:trPr>
          <w:trHeight w:val="250"/>
        </w:trPr>
        <w:tc>
          <w:tcPr>
            <w:tcW w:w="5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54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(in thousands, except percentages)</w:t>
            </w:r>
          </w:p>
        </w:tc>
        <w:tc>
          <w:tcPr>
            <w:tcW w:w="1060" w:type="dxa"/>
            <w:vAlign w:val="bottom"/>
          </w:tcPr>
          <w:p>
            <w:pPr>
              <w:spacing w:after="0"/>
              <w:rPr>
                <w:sz w:val="21"/>
                <w:szCs w:val="21"/>
                <w:color w:val="auto"/>
              </w:rPr>
            </w:pPr>
          </w:p>
        </w:tc>
      </w:tr>
      <w:tr>
        <w:trPr>
          <w:trHeight w:val="274"/>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(1,062)</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11,205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(12,267)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55"/>
        </w:trPr>
        <w:tc>
          <w:tcPr>
            <w:tcW w:w="52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60" w:type="dxa"/>
            <w:vAlign w:val="bottom"/>
          </w:tcPr>
          <w:p>
            <w:pPr>
              <w:spacing w:after="0"/>
              <w:rPr>
                <w:sz w:val="22"/>
                <w:szCs w:val="22"/>
                <w:color w:val="auto"/>
              </w:rPr>
            </w:pPr>
          </w:p>
        </w:tc>
      </w:tr>
    </w:tbl>
    <w:p>
      <w:pPr>
        <w:spacing w:after="0" w:line="15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recorded an income tax benefit of $1.1 million in 2017 as compared to an income tax provision of $11.2 million in 2016. This was primarily due to the favorable impact of excess tax benefits from stock-based compensation of $27.1 million due to the adoption of ASU 2016-09 in 2017. This benefit was partially offset by $ 10.4 million of expense recorded for the re-measuring of deferred tax assets and liabilities due to the decrease in the federal tax rate from 35% to 21% resulting from the Tax Cuts and Jobs Act, enacted into law on December 22, 2017.</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2018</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$ 365.9</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w:t>
      </w:r>
      <w:r>
        <w:rPr>
          <w:rFonts w:ascii="Arial" w:cs="Arial" w:eastAsia="Arial" w:hAnsi="Arial"/>
          <w:sz w:val="18"/>
          <w:szCs w:val="18"/>
          <w:color w:val="000000"/>
        </w:rPr>
        <w:t xml:space="preserve"> $8.0 million </w:t>
      </w:r>
      <w:r>
        <w:rPr>
          <w:rFonts w:ascii="Arial" w:cs="Arial" w:eastAsia="Arial" w:hAnsi="Arial"/>
          <w:sz w:val="18"/>
          <w:szCs w:val="18"/>
          <w:color w:val="231F20"/>
        </w:rPr>
        <w:t>of cash held outside of the United States by our foreign subsidiaries. We do not anticipate that we will need funds</w:t>
      </w:r>
      <w:r>
        <w:rPr>
          <w:rFonts w:ascii="Arial" w:cs="Arial" w:eastAsia="Arial" w:hAnsi="Arial"/>
          <w:sz w:val="18"/>
          <w:szCs w:val="18"/>
          <w:color w:val="000000"/>
        </w:rPr>
        <w:t xml:space="preserve"> </w:t>
      </w:r>
      <w:r>
        <w:rPr>
          <w:rFonts w:ascii="Arial" w:cs="Arial" w:eastAsia="Arial" w:hAnsi="Arial"/>
          <w:sz w:val="18"/>
          <w:szCs w:val="18"/>
          <w:color w:val="231F20"/>
        </w:rPr>
        <w:t>generated from foreign operations to fund our domestic operations. However, if we repatriate these funds, we could be subject to foreign withholding taxes.</w:t>
      </w:r>
    </w:p>
    <w:p>
      <w:pPr>
        <w:spacing w:after="0" w:line="1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 xml:space="preserve">We have experienced positive cash flows from operations during the </w:t>
      </w:r>
      <w:r>
        <w:rPr>
          <w:rFonts w:ascii="Arial" w:cs="Arial" w:eastAsia="Arial" w:hAnsi="Arial"/>
          <w:sz w:val="18"/>
          <w:szCs w:val="18"/>
          <w:color w:val="000000"/>
        </w:rPr>
        <w:t>years ended December 31, 2018, 2017 and 2016</w:t>
      </w:r>
      <w:r>
        <w:rPr>
          <w:rFonts w:ascii="Arial" w:cs="Arial" w:eastAsia="Arial" w:hAnsi="Arial"/>
          <w:sz w:val="18"/>
          <w:szCs w:val="18"/>
          <w:color w:val="231F20"/>
        </w:rPr>
        <w:t>. We believe our existing cash, cash equivalents, short-term and long-term investments, and cash from operations will be sufficient to fund our operations for at least the next twelve months. In 2019 we expect capital expenditures to be in a range of $26.0 million to $31.0 million.</w:t>
      </w:r>
    </w:p>
    <w:p>
      <w:pPr>
        <w:spacing w:after="0" w:line="16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25"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The following summary of cash flows for the periods indicated has been derived from our consolidated financial statements included elsewhere in this report: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50"/>
        </w:trPr>
        <w:tc>
          <w:tcPr>
            <w:tcW w:w="7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125,464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107,646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69,310</w:t>
            </w:r>
          </w:p>
        </w:tc>
      </w:tr>
      <w:tr>
        <w:trPr>
          <w:trHeight w:val="262"/>
        </w:trPr>
        <w:tc>
          <w:tcPr>
            <w:tcW w:w="708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(93,546)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(118,195)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(96,490)</w:t>
            </w:r>
          </w:p>
        </w:tc>
      </w:tr>
      <w:tr>
        <w:trPr>
          <w:trHeight w:val="271"/>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provided by financing activities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(77,483)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10,403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23,419</w:t>
            </w:r>
          </w:p>
        </w:tc>
      </w:tr>
      <w:tr>
        <w:trPr>
          <w:trHeight w:val="242"/>
        </w:trPr>
        <w:tc>
          <w:tcPr>
            <w:tcW w:w="7080" w:type="dxa"/>
            <w:vAlign w:val="bottom"/>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(45,565)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(3,761)</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121" w:right="23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2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 xml:space="preserve">In </w:t>
      </w:r>
      <w:r>
        <w:rPr>
          <w:rFonts w:ascii="Arial" w:cs="Arial" w:eastAsia="Arial" w:hAnsi="Arial"/>
          <w:sz w:val="18"/>
          <w:szCs w:val="18"/>
          <w:color w:val="000000"/>
        </w:rPr>
        <w:t>2018</w:t>
      </w:r>
      <w:r>
        <w:rPr>
          <w:rFonts w:ascii="Arial" w:cs="Arial" w:eastAsia="Arial" w:hAnsi="Arial"/>
          <w:sz w:val="18"/>
          <w:szCs w:val="18"/>
          <w:color w:val="231F20"/>
        </w:rPr>
        <w:t xml:space="preserve">, cash provided by operating activities of </w:t>
      </w:r>
      <w:r>
        <w:rPr>
          <w:rFonts w:ascii="Arial" w:cs="Arial" w:eastAsia="Arial" w:hAnsi="Arial"/>
          <w:sz w:val="18"/>
          <w:szCs w:val="18"/>
          <w:color w:val="000000"/>
        </w:rPr>
        <w:t>$125.5 million was primarily due to $57.3 million of net income, as adjusted by increases</w:t>
      </w:r>
      <w:r>
        <w:rPr>
          <w:rFonts w:ascii="Arial" w:cs="Arial" w:eastAsia="Arial" w:hAnsi="Arial"/>
          <w:sz w:val="18"/>
          <w:szCs w:val="18"/>
          <w:color w:val="231F20"/>
        </w:rPr>
        <w:t xml:space="preserve"> </w:t>
      </w:r>
      <w:r>
        <w:rPr>
          <w:rFonts w:ascii="Arial" w:cs="Arial" w:eastAsia="Arial" w:hAnsi="Arial"/>
          <w:sz w:val="18"/>
          <w:szCs w:val="18"/>
          <w:color w:val="000000"/>
        </w:rPr>
        <w:t>in deferred revenues of $24.7 million</w:t>
      </w:r>
      <w:r>
        <w:rPr>
          <w:rFonts w:ascii="Arial" w:cs="Arial" w:eastAsia="Arial" w:hAnsi="Arial"/>
          <w:sz w:val="18"/>
          <w:szCs w:val="18"/>
          <w:color w:val="231F20"/>
        </w:rPr>
        <w:t>, attributable to our continued growth in sales; non-cash items including depreciation and amortization</w:t>
      </w:r>
      <w:r>
        <w:rPr>
          <w:rFonts w:ascii="Arial" w:cs="Arial" w:eastAsia="Arial" w:hAnsi="Arial"/>
          <w:sz w:val="18"/>
          <w:szCs w:val="18"/>
          <w:color w:val="000000"/>
        </w:rPr>
        <w:t xml:space="preserve"> </w:t>
      </w:r>
      <w:r>
        <w:rPr>
          <w:rFonts w:ascii="Arial" w:cs="Arial" w:eastAsia="Arial" w:hAnsi="Arial"/>
          <w:sz w:val="18"/>
          <w:szCs w:val="18"/>
          <w:color w:val="231F20"/>
        </w:rPr>
        <w:t xml:space="preserve">expense of </w:t>
      </w:r>
      <w:r>
        <w:rPr>
          <w:rFonts w:ascii="Arial" w:cs="Arial" w:eastAsia="Arial" w:hAnsi="Arial"/>
          <w:sz w:val="18"/>
          <w:szCs w:val="18"/>
          <w:color w:val="000000"/>
        </w:rPr>
        <w:t>$28.9 million and</w:t>
      </w:r>
      <w:r>
        <w:rPr>
          <w:rFonts w:ascii="Arial" w:cs="Arial" w:eastAsia="Arial" w:hAnsi="Arial"/>
          <w:sz w:val="18"/>
          <w:szCs w:val="18"/>
          <w:color w:val="231F20"/>
        </w:rPr>
        <w:t xml:space="preserve"> stock-based compensation expense of </w:t>
      </w:r>
      <w:r>
        <w:rPr>
          <w:rFonts w:ascii="Arial" w:cs="Arial" w:eastAsia="Arial" w:hAnsi="Arial"/>
          <w:sz w:val="18"/>
          <w:szCs w:val="18"/>
          <w:color w:val="000000"/>
        </w:rPr>
        <w:t>$30.1 million; and an increase in accounts payable of $3.5 million and</w:t>
      </w:r>
      <w:r>
        <w:rPr>
          <w:rFonts w:ascii="Arial" w:cs="Arial" w:eastAsia="Arial" w:hAnsi="Arial"/>
          <w:sz w:val="18"/>
          <w:szCs w:val="18"/>
          <w:color w:val="231F20"/>
        </w:rPr>
        <w:t xml:space="preserve"> </w:t>
      </w:r>
      <w:r>
        <w:rPr>
          <w:rFonts w:ascii="Arial" w:cs="Arial" w:eastAsia="Arial" w:hAnsi="Arial"/>
          <w:sz w:val="18"/>
          <w:szCs w:val="18"/>
          <w:color w:val="000000"/>
        </w:rPr>
        <w:t xml:space="preserve">other accrued liabilities of $1.4 million. </w:t>
      </w:r>
      <w:r>
        <w:rPr>
          <w:rFonts w:ascii="Arial" w:cs="Arial" w:eastAsia="Arial" w:hAnsi="Arial"/>
          <w:sz w:val="18"/>
          <w:szCs w:val="18"/>
          <w:color w:val="231F20"/>
        </w:rPr>
        <w:t>These increases were partially offset by an increase in accounts receivable of</w:t>
      </w:r>
      <w:r>
        <w:rPr>
          <w:rFonts w:ascii="Arial" w:cs="Arial" w:eastAsia="Arial" w:hAnsi="Arial"/>
          <w:sz w:val="18"/>
          <w:szCs w:val="18"/>
          <w:color w:val="000000"/>
        </w:rPr>
        <w:t xml:space="preserve"> $11.5 million due to the timing of customer payments, and increase in amortization of investment discounts of $1.1 million, and increase in deferred income taxes of $2.5 million and an increase in prepaid and other assets of $5.0 million.</w:t>
      </w:r>
    </w:p>
    <w:p>
      <w:pPr>
        <w:spacing w:after="0" w:line="178"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In 2017, cash flows from operating activities of $107.6 million resulted primarily from our net income of approximately $40.4 million, as adjusted by increases in deferred revenues of $29.8 million</w:t>
      </w:r>
      <w:r>
        <w:rPr>
          <w:rFonts w:ascii="Arial" w:cs="Arial" w:eastAsia="Arial" w:hAnsi="Arial"/>
          <w:sz w:val="18"/>
          <w:szCs w:val="18"/>
          <w:color w:val="231F20"/>
        </w:rPr>
        <w:t>, attributable to our continued growth in sales; non-cash items including depreciation</w:t>
      </w:r>
      <w:r>
        <w:rPr>
          <w:rFonts w:ascii="Arial" w:cs="Arial" w:eastAsia="Arial" w:hAnsi="Arial"/>
          <w:sz w:val="18"/>
          <w:szCs w:val="18"/>
          <w:color w:val="auto"/>
        </w:rPr>
        <w:t xml:space="preserve"> </w:t>
      </w:r>
      <w:r>
        <w:rPr>
          <w:rFonts w:ascii="Arial" w:cs="Arial" w:eastAsia="Arial" w:hAnsi="Arial"/>
          <w:sz w:val="18"/>
          <w:szCs w:val="18"/>
          <w:color w:val="231F20"/>
        </w:rPr>
        <w:t xml:space="preserve">and amortization expense of </w:t>
      </w:r>
      <w:r>
        <w:rPr>
          <w:rFonts w:ascii="Arial" w:cs="Arial" w:eastAsia="Arial" w:hAnsi="Arial"/>
          <w:sz w:val="18"/>
          <w:szCs w:val="18"/>
          <w:color w:val="000000"/>
        </w:rPr>
        <w:t>$20.6 million and</w:t>
      </w:r>
      <w:r>
        <w:rPr>
          <w:rFonts w:ascii="Arial" w:cs="Arial" w:eastAsia="Arial" w:hAnsi="Arial"/>
          <w:sz w:val="18"/>
          <w:szCs w:val="18"/>
          <w:color w:val="231F20"/>
        </w:rPr>
        <w:t xml:space="preserve"> stock-based compensation expense of </w:t>
      </w:r>
      <w:r>
        <w:rPr>
          <w:rFonts w:ascii="Arial" w:cs="Arial" w:eastAsia="Arial" w:hAnsi="Arial"/>
          <w:sz w:val="18"/>
          <w:szCs w:val="18"/>
          <w:color w:val="000000"/>
        </w:rPr>
        <w:t>$27.0 million, and an increase in other noncurrent</w:t>
      </w:r>
      <w:r>
        <w:rPr>
          <w:rFonts w:ascii="Arial" w:cs="Arial" w:eastAsia="Arial" w:hAnsi="Arial"/>
          <w:sz w:val="18"/>
          <w:szCs w:val="18"/>
          <w:color w:val="231F20"/>
        </w:rPr>
        <w:t xml:space="preserve"> </w:t>
      </w:r>
      <w:r>
        <w:rPr>
          <w:rFonts w:ascii="Arial" w:cs="Arial" w:eastAsia="Arial" w:hAnsi="Arial"/>
          <w:sz w:val="18"/>
          <w:szCs w:val="18"/>
          <w:color w:val="000000"/>
        </w:rPr>
        <w:t xml:space="preserve">liabilities of $7.3 million, primarily attributable to deferred rent relating to our office facility. </w:t>
      </w:r>
      <w:r>
        <w:rPr>
          <w:rFonts w:ascii="Arial" w:cs="Arial" w:eastAsia="Arial" w:hAnsi="Arial"/>
          <w:sz w:val="18"/>
          <w:szCs w:val="18"/>
          <w:color w:val="231F20"/>
        </w:rPr>
        <w:t>These increases were partially offset by an increase</w:t>
      </w:r>
      <w:r>
        <w:rPr>
          <w:rFonts w:ascii="Arial" w:cs="Arial" w:eastAsia="Arial" w:hAnsi="Arial"/>
          <w:sz w:val="18"/>
          <w:szCs w:val="18"/>
          <w:color w:val="000000"/>
        </w:rPr>
        <w:t xml:space="preserve"> </w:t>
      </w:r>
      <w:r>
        <w:rPr>
          <w:rFonts w:ascii="Arial" w:cs="Arial" w:eastAsia="Arial" w:hAnsi="Arial"/>
          <w:sz w:val="18"/>
          <w:szCs w:val="18"/>
          <w:color w:val="231F20"/>
        </w:rPr>
        <w:t xml:space="preserve">in accounts receivable of </w:t>
      </w:r>
      <w:r>
        <w:rPr>
          <w:rFonts w:ascii="Arial" w:cs="Arial" w:eastAsia="Arial" w:hAnsi="Arial"/>
          <w:sz w:val="18"/>
          <w:szCs w:val="18"/>
          <w:color w:val="000000"/>
        </w:rPr>
        <w:t>$18.0 million due to the timing of customer payments.</w:t>
      </w:r>
    </w:p>
    <w:p>
      <w:pPr>
        <w:spacing w:after="0" w:line="17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In 2016, cash flows from operating activities of $ 69.3 million resulted primarily from our net income of approximately $19.2 million, as adjusted by an increase in deferred revenues of $17.9 million, attributable to our continued growth in sales; accrued liabilities of $9.7 million; non-cash items including depreciation and amortization expense of $17.0 million and stock-based compensation expense of $20.1 million. These increases were partially offset by the non-cash effect of excess tax benefits from stock-based compensation of $8.7 million, an increase in prepaid expenses and other assets of $2.1 million and an increase in accounts receivable of $4.9 million.</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2018, cash used in investing activities of $93.5 million was primarily attributable to net purchases of investments of $ 54.6 million and $22.8 million of cash used for capital expenditures, including computer hardware and software for our data centers to support our growth, and $13.6 million used in connection with our acquisition of Layered Insight and the assets of 1Mobility in addition to $2.5 million for our purchase of an investment in a privately-held company.</w:t>
      </w:r>
    </w:p>
    <w:p>
      <w:pPr>
        <w:spacing w:after="0" w:line="170"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In 2017, cash used in investing activities of $118.2 million was primarily attributable to net purchases of investments of $67.9 million and net cash paid in connection with our acquisitions of Nevis Network (India) Private Limited (Nevis) and Defensative, LLC (NetWatcher) of $12.5 million. Additionally, $37.8 million of cash was used for capital expenditures, including the buildout of our new headquarters facility, computer hardware and software for our data centers to support our growth and development, and to purchase physical scanner appliances and computer hardware provided to certain customers as part of their subscriptions.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2016, cash used in investing activities of $96.5 million was primarily attributable to net purchases of investments of $73.2 million, arising from cash provided from operating activities. Additionally, $23.2 million of cash was used for capital expenditures, including computer hardware and software for our data centers to support our growth and development, and to purchase physical scanner appliances and computer hardware provided to certain customers as part of their subscriptions.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In 2018, cash used in financing activities of $77.5 million was primarily attributable to $ 85.0 million of common stock repurchases and $14.9 million of payments related to net share settlement of equity awards, offset by $24.1 million of proceeds from the exercise of stock options.</w:t>
      </w:r>
    </w:p>
    <w:p>
      <w:pPr>
        <w:spacing w:after="0" w:line="163"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In 2017, cash provided by financing activities of $10.4 million was primarily attributable to $31.3 million of proceeds from the exercise of stock options, offset by employee payroll taxes paid related to net share settlement of equity awards of $20.9 million.</w:t>
      </w:r>
    </w:p>
    <w:p>
      <w:pPr>
        <w:spacing w:after="0" w:line="145"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In 2016, cash provided by financing activities of $23.4 million was primarily attributable to $15.2 million of proceeds from the exercise of stock options and $8.7 million of excess tax benefits from stock-based compensation.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Our principal commitments consist of obligations under our outstanding leases for office space, third-party data centers and office equipment. The following table summarizes our contractual cash obligations at December 31, 2018 and the effect such obligations are expected to have on our liquidity and cash flows in future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Payment Due by Period</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193"/>
        </w:trPr>
        <w:tc>
          <w:tcPr>
            <w:tcW w:w="4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Less Than</w:t>
            </w:r>
          </w:p>
        </w:tc>
        <w:tc>
          <w:tcPr>
            <w:tcW w:w="280" w:type="dxa"/>
            <w:vAlign w:val="bottom"/>
          </w:tcPr>
          <w:p>
            <w:pPr>
              <w:spacing w:after="0"/>
              <w:rPr>
                <w:sz w:val="16"/>
                <w:szCs w:val="16"/>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b w:val="1"/>
                <w:bCs w:val="1"/>
                <w:color w:val="auto"/>
              </w:rPr>
              <w:t>More than 5</w:t>
            </w:r>
          </w:p>
        </w:tc>
      </w:tr>
      <w:tr>
        <w:trPr>
          <w:trHeight w:val="232"/>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2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1 Year</w:t>
            </w:r>
          </w:p>
        </w:tc>
        <w:tc>
          <w:tcPr>
            <w:tcW w:w="28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Years</w:t>
            </w:r>
          </w:p>
        </w:tc>
        <w:tc>
          <w:tcPr>
            <w:tcW w:w="30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20"/>
                <w:szCs w:val="20"/>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b w:val="1"/>
                <w:bCs w:val="1"/>
                <w:color w:val="auto"/>
              </w:rPr>
              <w:t>Years</w:t>
            </w:r>
          </w:p>
        </w:tc>
      </w:tr>
      <w:tr>
        <w:trPr>
          <w:trHeight w:val="264"/>
        </w:trPr>
        <w:tc>
          <w:tcPr>
            <w:tcW w:w="4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74"/>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49,638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13,330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19,299</w:t>
            </w:r>
          </w:p>
        </w:tc>
      </w:tr>
      <w:tr>
        <w:trPr>
          <w:trHeight w:val="264"/>
        </w:trPr>
        <w:tc>
          <w:tcPr>
            <w:tcW w:w="4100" w:type="dxa"/>
            <w:vAlign w:val="bottom"/>
          </w:tcPr>
          <w:p>
            <w:pPr>
              <w:ind w:left="40"/>
              <w:spacing w:after="0"/>
              <w:rPr>
                <w:sz w:val="20"/>
                <w:szCs w:val="20"/>
                <w:color w:val="auto"/>
              </w:rPr>
            </w:pPr>
            <w:r>
              <w:rPr>
                <w:rFonts w:ascii="Arial" w:cs="Arial" w:eastAsia="Arial" w:hAnsi="Arial"/>
                <w:sz w:val="16"/>
                <w:szCs w:val="16"/>
                <w:color w:val="auto"/>
              </w:rPr>
              <w:t>Purchase order obligations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ind w:left="640"/>
              <w:spacing w:after="0"/>
              <w:rPr>
                <w:sz w:val="20"/>
                <w:szCs w:val="20"/>
                <w:color w:val="auto"/>
              </w:rPr>
            </w:pPr>
            <w:r>
              <w:rPr>
                <w:rFonts w:ascii="Arial" w:cs="Arial" w:eastAsia="Arial" w:hAnsi="Arial"/>
                <w:sz w:val="16"/>
                <w:szCs w:val="16"/>
                <w:color w:val="auto"/>
              </w:rPr>
              <w:t>17,978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3,460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2"/>
                <w:szCs w:val="22"/>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99"/>
              </w:rPr>
              <w:t>—</w:t>
            </w:r>
          </w:p>
        </w:tc>
      </w:tr>
      <w:tr>
        <w:trPr>
          <w:trHeight w:val="250"/>
        </w:trPr>
        <w:tc>
          <w:tcPr>
            <w:tcW w:w="41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71,076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26,151</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16,790</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8,836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19,299</w:t>
            </w:r>
          </w:p>
        </w:tc>
      </w:tr>
    </w:tbl>
    <w:p>
      <w:pPr>
        <w:spacing w:after="0" w:line="193"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On October 14, 2016, we entered into a lease agreement (included in the table above) for our new headquarters office facility. The lease payments commenced on May 1, 2018 and the lease has a ten-year term through April 2028. The total remaining commitment of $36.4 million is payable monthly with escalating rental payments throughout the lease term. In connection with this lease, we have provided the landlord with a $1.2 million standby letter of credit to secure our obligations through the end of the lease term, which is classified as restricted cash in the accompanying consolidated balance sheets.</w:t>
      </w:r>
    </w:p>
    <w:p>
      <w:pPr>
        <w:spacing w:after="0" w:line="175"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Operating lease obligations represent our obligations to make payments under the lease agreements for our facilities, data centers, and office equipment leases. During the year ended December 31, 2018, our rent expense under operating lease obligations was $9.9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227"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27"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231F20"/>
        </w:rPr>
        <w:t>See Note 1 to the consolidated financial statements in Part II, Item 8 of this Annual Report on Form10-K for a discussion of recent accounting pronouncements.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17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believe that of our significant accounting policies, which are described in the notes to our consolidated financial statements, the following accounting policies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For further information on all of our significant accounting policies, see Note 1 - The Company and Summary of Significant Accounting Policies in the accompanying notes to the consolidated financial statements included in Part II, Item 8, "Financial Statements and Supplementary Data" of this Annual Report on Form 10-K.</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though some customers do enter into subscriptions with longer terms.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Subscriptions for unlimited scans and certain limited scan arrangements with firm expiration dates are recognized ratably over the period in which the services are performed, generally one year. We recognize revenues on a usage basis for certain other limited scan arrangements, where expiration dates can be extended. Physical equipment (scanners and private cloud platforms) are accounted for as operating leases and revenue is recognized ratably over the related subscription period due to the terms of the hardware and software subscriptions being commensurate and the customer’s access to our cloud solutions being delivered at the same time or within close proximity to the delivery of the hardware. Costs of shipping and handling charges associated with physical scanner appliances and other computer equipment are included in cost </w:t>
      </w:r>
      <w:r>
        <w:rPr>
          <w:rFonts w:ascii="Arial" w:cs="Arial" w:eastAsia="Arial" w:hAnsi="Arial"/>
          <w:sz w:val="18"/>
          <w:szCs w:val="18"/>
          <w:color w:val="231F20"/>
        </w:rPr>
        <w:t>of revenues.</w:t>
      </w:r>
    </w:p>
    <w:p>
      <w:pPr>
        <w:spacing w:after="0" w:line="69"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 xml:space="preserve">Deferred </w:t>
      </w:r>
      <w:r>
        <w:rPr>
          <w:rFonts w:ascii="Arial" w:cs="Arial" w:eastAsia="Arial" w:hAnsi="Arial"/>
          <w:sz w:val="18"/>
          <w:szCs w:val="18"/>
          <w:color w:val="231F20"/>
        </w:rPr>
        <w:t>r</w:t>
      </w:r>
      <w:r>
        <w:rPr>
          <w:rFonts w:ascii="Arial" w:cs="Arial" w:eastAsia="Arial" w:hAnsi="Arial"/>
          <w:sz w:val="18"/>
          <w:szCs w:val="18"/>
          <w:color w:val="auto"/>
        </w:rPr>
        <w:t>evenues consist of customer contracts billed or cash received that will be recognized in the future under subscriptions existing at the balance sheet date.</w:t>
      </w:r>
    </w:p>
    <w:p>
      <w:pPr>
        <w:spacing w:after="0" w:line="3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adopted ASC 606, "Revenue from Contracts with Customers" with a date of initial application of January 1, 2018. We adopted ASC 606 using the modified retrospective method and recognized the cumulative effect as an adjustment to the opening balance of equity at January 1, 2018. Therefore, the comparative information has not been adjusted and continues to be reported under ASC 605. The significant impact of adopting ASC 606 was related to the deferral of sales commission costs for new business and when customers increase their renewal orders (“upsells”). We previously expensed sales commission as incurred. Under ASC 606, sales commissions cost related to new business and upsells are recorded as an asset. We amortize the capitalized commission cost as a selling expense on a straight-line basis over a period of five years. Five years represents the estimated life of the customer relationship taking into account factors such as peer estimates of technology lives and customer lives as well as our own historical data. Applying the practical expedient in ASC 340-40-25-4, we expense commissions related to renewals with a contract term of one year or less. The current and noncurrent portions of deferred commissions are included in prepaid expenses and other current assets, and other noncurrent assets, respectively, in our consolidated balance sheets.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We are subject to income taxes in the United States as well as other tax jurisdictions in which we conduct business. Earnings from our non-U.S. activities are subject to local income tax and may also be subject to U.S. income tax.</w:t>
      </w:r>
    </w:p>
    <w:p>
      <w:pPr>
        <w:spacing w:after="0" w:line="9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We must make significant assumptions, judgments and estimates to determine our current provision for (benefit from) income taxes, our deferred tax assets and liabilities, and any valuation allowance to be recorded against our deferred tax assets. Our judgments, assumptions and estimates relating to the current provision for (benefit from) income taxes include the geographic mix and amount of income (loss), our interpretation of current tax laws, and possible outcomes of current and future audits conducted by foreign and domestic tax authorities. Our judgments also include anticipating the tax positions we will record in the financial statements before actually preparing and filing the tax returns. Our estimates and assumptions may differ from the actual results as reflected in our income tax returns and we record the required adjustments when they are identified or resolved. Changes in our business, tax laws or our interpretation of tax laws, and developments in current and future tax audits, could significantly impact the amounts provided for income taxes in our results of operations, financial position, or cash flows.</w:t>
      </w:r>
    </w:p>
    <w:p>
      <w:pPr>
        <w:spacing w:after="0" w:line="124"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tax benefit carry-forwards and to differences between the financial statement amounts of assets and liabilities and their respective tax basis. We regularly review our deferred tax assets for recoverability and establish a valuation allowance if it is more likely than not that some portion or all of the deferred tax assets will not be realized. To make this assessment, we take into account predictions of the amount and category of taxable income from available positive and negative evidence about these possible sources of taxable income. The weight given to the potential effect of negative and positive evidence is commensurate with the extent to which the strength of the evidence can be objectively verified.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Based on the analysis of positive and negative factors noted above, we do not have a valuation allowance against U.S. federal and certain state deferred tax assets. We believe it is more likely than not that our California deferred tax assets will not be realized because the income attributed to California is not expected to be sufficient to recognize these deferred tax assets. Accordingly, we continue to record a valuation allowance as of December 31, 2018 for our California deferred tax assets. If, in the future, we determine that these deferred tax assets are more likely than not to be realized, a release of all or part, of the related valuation allowance could result in an income tax benefit in the period such determination is made.</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recognize an income tax expense or benefit with respect to uncertain tax positions in our financial statements that we judge is more likely than not to be sustained solely on its technical merits in a tax audit, including resolution of any related appeals or litigation processes. To make this judgment, we must interpret complex and sometimes ambiguous tax laws, regulations and administrative practices. If an income tax position meets the more likely than not recognition threshold, then we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us to determine the probability of various possible settlement outcomes. To determine if a tax position is effectively settled after a tax examination has been completed, we must also estimate the likelihood that another taxing authority could review the respective tax position. We must also determine when it is reasonably possible that the amount of unrecognized tax benefits will significantly increase or decrease in the 12 months after each fiscal year-end. These judgments are difficult because a taxing authority may change its behavior as a result of our disclosures in our financial statements. We must reevaluate our income tax positions on a quarterly basis to consider factors such as changes in facts or circumstances, effectively settled issues under audit, the potential for interest and penalties, and new audit activity. Such a change in recognition or measurement would result in recognition of a tax benefit or an additional charge to the tax provision.</w:t>
      </w:r>
    </w:p>
    <w:p>
      <w:pPr>
        <w:spacing w:after="0" w:line="12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December 22, 2017, the Tax Cuts and Jobs Act (the “2017 Tax Act”) was enacted into law. The new legislation contains several key tax provisions that impacted the Company, including the reduction of the corporate income tax rate from 35% to 21% effective January 1, 2018. The new legislation also includes a variety of other changes, such as a one-time repatriation tax on accumulated foreign earnings (transition tax), acceleration of business asset expensing, and a reduction in the amount of executive pay that could qualify as a tax deduction, among others. The Company recognized a provisional income tax expense of $10.4 million in the fourth quarter of 2017, from the re-measurement of certain deferred tax assets and liabilities as a result of the reduction of the federal tax rate, which was included as a component of the income tax provision on our consolidated statement of income. The Company completed its analysis of the impacts of the 2017 Tax Act in the fourth quarter of 2018 with no material change to its provisional estimate.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 the fair value of our employee stock options and restricted stock units over the requisite service period for those awards ultimately expected to vest. The fair value of each option is estimated on date of grant using the Black-Scholes-Merton option pricing model and the fair value of each restricted stock unit is based on the fair value of our stock on the date of grant. Forfeitures are estimated on the date of grant and revised if actual or expected forfeiture activity differs materially from original estimates.</w:t>
      </w:r>
    </w:p>
    <w:p>
      <w:pPr>
        <w:spacing w:after="0" w:line="116"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Determining the appropriate fair value model and calculating the fair value of employee stock options requires the use of highly subjective assumptions, including the expected life of the stock option and stock price volatility. The assumptions used in calculating the fair value of employee stock options represent management’s best estimates, but the estimates involve inherent uncertainties and the application of management’s judgment. As a result, if factors change and we use different assumptions, our stock-based compensation expense could be materially different in the future.</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We also record compensation representing the fair value of stock options granted to non-employees. Stock-based non-employee compensation is recognized over the vesting periods of the options. The value of options granted to non-employees is periodically re-measured as they vest over a performance period.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our financial instruments, including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cash and certain cash equivalents, accounts receivable, accounts payable, and other current liabilities, the carrying amounts approximate their fair value due to the relatively short maturity of these balances.</w:t>
      </w:r>
    </w:p>
    <w:p>
      <w:pPr>
        <w:spacing w:after="0" w:line="14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We measure and report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63"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4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Our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 using observable</w:t>
      </w:r>
      <w:r>
        <w:rPr>
          <w:rFonts w:ascii="Arial" w:cs="Arial" w:eastAsia="Arial" w:hAnsi="Arial"/>
          <w:sz w:val="18"/>
          <w:szCs w:val="18"/>
          <w:color w:val="000000"/>
        </w:rPr>
        <w:t xml:space="preserve"> </w:t>
      </w:r>
      <w:r>
        <w:rPr>
          <w:rFonts w:ascii="Arial" w:cs="Arial" w:eastAsia="Arial" w:hAnsi="Arial"/>
          <w:sz w:val="18"/>
          <w:szCs w:val="18"/>
          <w:color w:val="231F20"/>
        </w:rPr>
        <w:t>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2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The Company uses foreign currency forward contracts to mitigate the impact of foreign currency fluctuations of certain non-U.S. dollar denominated asset positions, to date primarily cash and accounts receivable (non-designated), as well as to manage foreign currency fluctuation risk related to forecasted transactions (designated). The Company accounts for these instruments as either non-designated or cash flow hedges, respectively. Open contracts are recorded within prepaid expenses and other current assets or accrued liabilities in the consolidated balance sheets. Gains and losses resulting from currency exchange rate movements on non-designated forward contracts are recognized in other income (expense). Any gains or losses from derivatives designated as cash flow hedges are first accumulated in AOCI and then reclassified to revenue when the hedged item impacts the consolidated financial statements.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During the year ended December 31, 2018, the Company began a hedging strategy to reduce its exposure to foreign currency exchange rate fluctuations for forecasted subscription renewals and new orders in both GBP and Euro. </w:t>
      </w:r>
      <w:r>
        <w:rPr>
          <w:rFonts w:ascii="Arial" w:cs="Arial" w:eastAsia="Arial" w:hAnsi="Arial"/>
          <w:sz w:val="18"/>
          <w:szCs w:val="18"/>
          <w:color w:val="231F20"/>
        </w:rPr>
        <w:t>We use sell-forward currency contracts accounted</w:t>
      </w:r>
      <w:r>
        <w:rPr>
          <w:rFonts w:ascii="Arial" w:cs="Arial" w:eastAsia="Arial" w:hAnsi="Arial"/>
          <w:sz w:val="18"/>
          <w:szCs w:val="18"/>
          <w:color w:val="auto"/>
        </w:rPr>
        <w:t xml:space="preserve"> </w:t>
      </w:r>
      <w:r>
        <w:rPr>
          <w:rFonts w:ascii="Arial" w:cs="Arial" w:eastAsia="Arial" w:hAnsi="Arial"/>
          <w:sz w:val="18"/>
          <w:szCs w:val="18"/>
          <w:color w:val="231F20"/>
        </w:rPr>
        <w:t xml:space="preserve">for as cash flow hedges against a designated portion of forecasted </w:t>
      </w:r>
      <w:r>
        <w:rPr>
          <w:rFonts w:ascii="Arial" w:cs="Arial" w:eastAsia="Arial" w:hAnsi="Arial"/>
          <w:sz w:val="18"/>
          <w:szCs w:val="18"/>
          <w:color w:val="000000"/>
        </w:rPr>
        <w:t>subscription renewals and new orders</w:t>
      </w:r>
      <w:r>
        <w:rPr>
          <w:rFonts w:ascii="Arial" w:cs="Arial" w:eastAsia="Arial" w:hAnsi="Arial"/>
          <w:sz w:val="18"/>
          <w:szCs w:val="18"/>
          <w:color w:val="231F20"/>
        </w:rPr>
        <w:t xml:space="preserve">. </w:t>
      </w:r>
      <w:r>
        <w:rPr>
          <w:rFonts w:ascii="Arial" w:cs="Arial" w:eastAsia="Arial" w:hAnsi="Arial"/>
          <w:sz w:val="18"/>
          <w:szCs w:val="18"/>
          <w:color w:val="000000"/>
        </w:rPr>
        <w:t>Upon executing a hedging contract</w:t>
      </w:r>
      <w:r>
        <w:rPr>
          <w:rFonts w:ascii="Arial" w:cs="Arial" w:eastAsia="Arial" w:hAnsi="Arial"/>
          <w:sz w:val="18"/>
          <w:szCs w:val="18"/>
          <w:color w:val="231F20"/>
        </w:rPr>
        <w:t xml:space="preserve"> </w:t>
      </w:r>
      <w:r>
        <w:rPr>
          <w:rFonts w:ascii="Arial" w:cs="Arial" w:eastAsia="Arial" w:hAnsi="Arial"/>
          <w:sz w:val="18"/>
          <w:szCs w:val="18"/>
          <w:color w:val="000000"/>
        </w:rPr>
        <w:t>and quarterly thereafter, the Company assesses hedge effectiveness using regression analysis. The Company includes time value in its effectiveness testing and the entire change in the value of hedge contracts was recorded as unrealized gains or losses in accumulated other comprehensive income (AOCI) within stockholders’ equity on the Company's consolidated balance sheet as of December 31, 2018. The unrealized gains or losses in AOCI will be reclassified into revenue when the respective hedged transactions affect earnings. As of December 31, 2018, the amount of unrealized gains and losses related to the hedged forecasted transactions reported in AOCI that is expected to be reclassified into revenue within the next 12 months was not material.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British Pound (GBP), and Indian Rupee, the currencies of countries where we currently have our most significant international operations. A portion of our invoicing is denominated in the Euro, GBP and Japanese Yen. Our expenses in international locations are generally denominated in the currencies of the countries in which our operations are located.</w:t>
      </w:r>
    </w:p>
    <w:p>
      <w:pPr>
        <w:spacing w:after="0" w:line="17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 xml:space="preserve">The cash flow effects of the Company's derivative contracts for the year ended December 31, 2018 were included within net cash provided by operating activities on its consolidated statements of cash flows. The Company had notional amounts on foreign currency exchange contracts designated as cash flow hedges outstanding of € 12.9 million and £4.1 million as of December 31, 2018. The amount of unrealized FX losses on these contracts were recorded in AOCI and are insignificant. For further details, see </w:t>
      </w:r>
      <w:r>
        <w:rPr>
          <w:rFonts w:ascii="Arial" w:cs="Arial" w:eastAsia="Arial" w:hAnsi="Arial"/>
          <w:sz w:val="18"/>
          <w:szCs w:val="18"/>
          <w:color w:val="231F20"/>
        </w:rPr>
        <w:t>Part II, Item 8 of this Annual</w:t>
      </w:r>
      <w:r>
        <w:rPr>
          <w:rFonts w:ascii="Arial" w:cs="Arial" w:eastAsia="Arial" w:hAnsi="Arial"/>
          <w:sz w:val="18"/>
          <w:szCs w:val="18"/>
          <w:color w:val="auto"/>
        </w:rPr>
        <w:t xml:space="preserve"> </w:t>
      </w:r>
      <w:r>
        <w:rPr>
          <w:rFonts w:ascii="Arial" w:cs="Arial" w:eastAsia="Arial" w:hAnsi="Arial"/>
          <w:sz w:val="18"/>
          <w:szCs w:val="18"/>
          <w:color w:val="231F20"/>
        </w:rPr>
        <w:t xml:space="preserve">Report on Form10-K </w:t>
      </w:r>
      <w:r>
        <w:rPr>
          <w:rFonts w:ascii="Arial" w:cs="Arial" w:eastAsia="Arial" w:hAnsi="Arial"/>
          <w:sz w:val="18"/>
          <w:szCs w:val="18"/>
          <w:color w:val="000000"/>
        </w:rPr>
        <w:t>Note 1, Summary of Significant Accounting Policies.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We have $365.9 million in cash, cash equivalents and short-term and long-term investments at December 31, 2018. Cash and cash equivalents include cash held in banks, highly liquid money market funds, U.S. government agency securities, and commercial paper. Investments consist of fixed-income U.S. government agency securities, corporate bonds, asset-backed securities and commercial paper. We determine the appropriate balance sheet classification of our investments at the time of purchase and reevaluate such designation at each balance sheet date. We classify our investments as either short-term or long-term based on each instrument's underlying contractual maturity date.</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INDEX TO CONSOLIDATED FINANCIAL STATEMENTS</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6300" w:type="dxa"/>
            <w:vAlign w:val="bottom"/>
            <w:gridSpan w:val="4"/>
          </w:tcPr>
          <w:p>
            <w:pPr>
              <w:jc w:val="center"/>
              <w:ind w:right="4440"/>
              <w:spacing w:after="0"/>
              <w:rPr>
                <w:sz w:val="20"/>
                <w:szCs w:val="20"/>
                <w:color w:val="auto"/>
              </w:rPr>
            </w:pPr>
            <w:r>
              <w:rPr>
                <w:rFonts w:ascii="Arial" w:cs="Arial" w:eastAsia="Arial" w:hAnsi="Arial"/>
                <w:sz w:val="18"/>
                <w:szCs w:val="18"/>
                <w:b w:val="1"/>
                <w:bCs w:val="1"/>
                <w:color w:val="auto"/>
                <w:w w:val="98"/>
              </w:rPr>
              <w:t>Table of Contents</w:t>
            </w:r>
          </w:p>
        </w:tc>
      </w:tr>
      <w:tr>
        <w:trPr>
          <w:trHeight w:val="576"/>
        </w:trPr>
        <w:tc>
          <w:tcPr>
            <w:tcW w:w="44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Page</w:t>
            </w: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Reports of Independent Registered Public Accounting Firm</w:t>
            </w:r>
          </w:p>
        </w:tc>
        <w:tc>
          <w:tcPr>
            <w:tcW w:w="5640" w:type="dxa"/>
            <w:vAlign w:val="bottom"/>
            <w:gridSpan w:val="3"/>
          </w:tcPr>
          <w:p>
            <w:pPr>
              <w:jc w:val="center"/>
              <w:ind w:left="5377"/>
              <w:spacing w:after="0"/>
              <w:rPr>
                <w:rFonts w:ascii="Arial" w:cs="Arial" w:eastAsia="Arial" w:hAnsi="Arial"/>
                <w:sz w:val="16"/>
                <w:szCs w:val="16"/>
                <w:color w:val="0000EE"/>
              </w:rPr>
            </w:pPr>
            <w:hyperlink w:anchor="page62">
              <w:r>
                <w:rPr>
                  <w:rFonts w:ascii="Arial" w:cs="Arial" w:eastAsia="Arial" w:hAnsi="Arial"/>
                  <w:sz w:val="16"/>
                  <w:szCs w:val="16"/>
                  <w:color w:val="0000EE"/>
                </w:rPr>
                <w:t>61</w:t>
              </w:r>
            </w:hyperlink>
          </w:p>
        </w:tc>
        <w:tc>
          <w:tcPr>
            <w:tcW w:w="660" w:type="dxa"/>
            <w:vAlign w:val="bottom"/>
          </w:tcPr>
          <w:p>
            <w:pPr>
              <w:spacing w:after="0"/>
              <w:rPr>
                <w:sz w:val="16"/>
                <w:szCs w:val="16"/>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Balance Sheets</w:t>
            </w:r>
          </w:p>
        </w:tc>
        <w:tc>
          <w:tcPr>
            <w:tcW w:w="5640" w:type="dxa"/>
            <w:vAlign w:val="bottom"/>
            <w:gridSpan w:val="3"/>
          </w:tcPr>
          <w:p>
            <w:pPr>
              <w:jc w:val="center"/>
              <w:ind w:left="5377"/>
              <w:spacing w:after="0"/>
              <w:rPr>
                <w:rFonts w:ascii="Arial" w:cs="Arial" w:eastAsia="Arial" w:hAnsi="Arial"/>
                <w:sz w:val="16"/>
                <w:szCs w:val="16"/>
                <w:color w:val="0000EE"/>
              </w:rPr>
            </w:pPr>
            <w:hyperlink w:anchor="page64">
              <w:r>
                <w:rPr>
                  <w:rFonts w:ascii="Arial" w:cs="Arial" w:eastAsia="Arial" w:hAnsi="Arial"/>
                  <w:sz w:val="16"/>
                  <w:szCs w:val="16"/>
                  <w:color w:val="0000EE"/>
                </w:rPr>
                <w:t>63</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Statements of Operations</w:t>
            </w:r>
          </w:p>
        </w:tc>
        <w:tc>
          <w:tcPr>
            <w:tcW w:w="5640" w:type="dxa"/>
            <w:vAlign w:val="bottom"/>
            <w:gridSpan w:val="3"/>
          </w:tcPr>
          <w:p>
            <w:pPr>
              <w:jc w:val="center"/>
              <w:ind w:left="5377"/>
              <w:spacing w:after="0"/>
              <w:rPr>
                <w:rFonts w:ascii="Arial" w:cs="Arial" w:eastAsia="Arial" w:hAnsi="Arial"/>
                <w:sz w:val="16"/>
                <w:szCs w:val="16"/>
                <w:color w:val="0000EE"/>
              </w:rPr>
            </w:pPr>
            <w:hyperlink w:anchor="page65">
              <w:r>
                <w:rPr>
                  <w:rFonts w:ascii="Arial" w:cs="Arial" w:eastAsia="Arial" w:hAnsi="Arial"/>
                  <w:sz w:val="16"/>
                  <w:szCs w:val="16"/>
                  <w:color w:val="0000EE"/>
                </w:rPr>
                <w:t>64</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Statements of Comprehensive Income</w:t>
            </w:r>
          </w:p>
        </w:tc>
        <w:tc>
          <w:tcPr>
            <w:tcW w:w="5640" w:type="dxa"/>
            <w:vAlign w:val="bottom"/>
            <w:gridSpan w:val="3"/>
          </w:tcPr>
          <w:p>
            <w:pPr>
              <w:jc w:val="center"/>
              <w:ind w:left="5377"/>
              <w:spacing w:after="0"/>
              <w:rPr>
                <w:rFonts w:ascii="Arial" w:cs="Arial" w:eastAsia="Arial" w:hAnsi="Arial"/>
                <w:sz w:val="16"/>
                <w:szCs w:val="16"/>
                <w:color w:val="0000EE"/>
              </w:rPr>
            </w:pPr>
            <w:hyperlink w:anchor="page66">
              <w:r>
                <w:rPr>
                  <w:rFonts w:ascii="Arial" w:cs="Arial" w:eastAsia="Arial" w:hAnsi="Arial"/>
                  <w:sz w:val="16"/>
                  <w:szCs w:val="16"/>
                  <w:color w:val="0000EE"/>
                </w:rPr>
                <w:t>65</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Statements of Cash Flows</w:t>
            </w:r>
          </w:p>
        </w:tc>
        <w:tc>
          <w:tcPr>
            <w:tcW w:w="5640" w:type="dxa"/>
            <w:vAlign w:val="bottom"/>
            <w:gridSpan w:val="3"/>
          </w:tcPr>
          <w:p>
            <w:pPr>
              <w:jc w:val="center"/>
              <w:ind w:left="5377"/>
              <w:spacing w:after="0"/>
              <w:rPr>
                <w:rFonts w:ascii="Arial" w:cs="Arial" w:eastAsia="Arial" w:hAnsi="Arial"/>
                <w:sz w:val="16"/>
                <w:szCs w:val="16"/>
                <w:color w:val="0000EE"/>
              </w:rPr>
            </w:pPr>
            <w:hyperlink w:anchor="page67">
              <w:r>
                <w:rPr>
                  <w:rFonts w:ascii="Arial" w:cs="Arial" w:eastAsia="Arial" w:hAnsi="Arial"/>
                  <w:sz w:val="16"/>
                  <w:szCs w:val="16"/>
                  <w:color w:val="0000EE"/>
                </w:rPr>
                <w:t>66</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Statements of Stockholders' Equity</w:t>
            </w:r>
          </w:p>
        </w:tc>
        <w:tc>
          <w:tcPr>
            <w:tcW w:w="5640" w:type="dxa"/>
            <w:vAlign w:val="bottom"/>
            <w:gridSpan w:val="3"/>
          </w:tcPr>
          <w:p>
            <w:pPr>
              <w:jc w:val="center"/>
              <w:ind w:left="5377"/>
              <w:spacing w:after="0"/>
              <w:rPr>
                <w:rFonts w:ascii="Arial" w:cs="Arial" w:eastAsia="Arial" w:hAnsi="Arial"/>
                <w:sz w:val="16"/>
                <w:szCs w:val="16"/>
                <w:color w:val="0000EE"/>
              </w:rPr>
            </w:pPr>
            <w:hyperlink w:anchor="page68">
              <w:r>
                <w:rPr>
                  <w:rFonts w:ascii="Arial" w:cs="Arial" w:eastAsia="Arial" w:hAnsi="Arial"/>
                  <w:sz w:val="16"/>
                  <w:szCs w:val="16"/>
                  <w:color w:val="0000EE"/>
                </w:rPr>
                <w:t>67</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Notes to Consolidated Financial Statements</w:t>
            </w:r>
          </w:p>
        </w:tc>
        <w:tc>
          <w:tcPr>
            <w:tcW w:w="5640" w:type="dxa"/>
            <w:vAlign w:val="bottom"/>
            <w:gridSpan w:val="3"/>
          </w:tcPr>
          <w:p>
            <w:pPr>
              <w:jc w:val="center"/>
              <w:ind w:left="5377"/>
              <w:spacing w:after="0"/>
              <w:rPr>
                <w:rFonts w:ascii="Arial" w:cs="Arial" w:eastAsia="Arial" w:hAnsi="Arial"/>
                <w:sz w:val="16"/>
                <w:szCs w:val="16"/>
                <w:color w:val="0000EE"/>
              </w:rPr>
            </w:pPr>
            <w:hyperlink w:anchor="page69">
              <w:r>
                <w:rPr>
                  <w:rFonts w:ascii="Arial" w:cs="Arial" w:eastAsia="Arial" w:hAnsi="Arial"/>
                  <w:sz w:val="16"/>
                  <w:szCs w:val="16"/>
                  <w:color w:val="0000EE"/>
                </w:rPr>
                <w:t>68</w:t>
              </w:r>
            </w:hyperlink>
          </w:p>
        </w:tc>
        <w:tc>
          <w:tcPr>
            <w:tcW w:w="660" w:type="dxa"/>
            <w:vAlign w:val="bottom"/>
          </w:tcPr>
          <w:p>
            <w:pPr>
              <w:spacing w:after="0"/>
              <w:rPr>
                <w:sz w:val="19"/>
                <w:szCs w:val="19"/>
                <w:color w:val="auto"/>
              </w:rPr>
            </w:pPr>
          </w:p>
        </w:tc>
      </w:tr>
      <w:tr>
        <w:trPr>
          <w:trHeight w:val="929"/>
        </w:trPr>
        <w:tc>
          <w:tcPr>
            <w:tcW w:w="4400" w:type="dxa"/>
            <w:vAlign w:val="bottom"/>
          </w:tcPr>
          <w:p>
            <w:pPr>
              <w:spacing w:after="0"/>
              <w:rPr>
                <w:sz w:val="24"/>
                <w:szCs w:val="24"/>
                <w:color w:val="auto"/>
              </w:rPr>
            </w:pPr>
          </w:p>
        </w:tc>
        <w:tc>
          <w:tcPr>
            <w:tcW w:w="4800" w:type="dxa"/>
            <w:vAlign w:val="bottom"/>
          </w:tcPr>
          <w:p>
            <w:pPr>
              <w:jc w:val="right"/>
              <w:ind w:right="3677"/>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080"/>
          </w:cols>
          <w:pgMar w:left="240" w:top="121" w:right="57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Qualys, Inc. (a Delaware corporation) and subsidiaries (the “Company”) as of December 31, 2018 and 2017, the related consolidated statements of operations, comprehensive income, stockholders’ equity, and cash flows for each of the three years in the period ended December 31, 2018, and the related notes and financial statement schedule included under Item 15(a)(2)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the 2013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27, 2019 expressed an unqualified opinion.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We have audited the internal control over financial reporting of Qualys, Inc. (a Delaware corporation) and subsidiaries (the “Company”) as of December 31, 2018,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2018, and our report dated February 27, 2019 expressed an unqualified opinion on those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36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41,026</w:t>
            </w:r>
          </w:p>
        </w:tc>
        <w:tc>
          <w:tcPr>
            <w:tcW w:w="10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86,591</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marketable securities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248,140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201,823</w:t>
            </w:r>
          </w:p>
        </w:tc>
        <w:tc>
          <w:tcPr>
            <w:tcW w:w="0" w:type="dxa"/>
            <w:vAlign w:val="bottom"/>
          </w:tcPr>
          <w:p>
            <w:pPr>
              <w:spacing w:after="0"/>
              <w:rPr>
                <w:sz w:val="1"/>
                <w:szCs w:val="1"/>
                <w:color w:val="auto"/>
              </w:rPr>
            </w:pPr>
          </w:p>
        </w:tc>
      </w:tr>
      <w:tr>
        <w:trPr>
          <w:trHeight w:val="266"/>
        </w:trPr>
        <w:tc>
          <w:tcPr>
            <w:tcW w:w="8360" w:type="dxa"/>
            <w:vAlign w:val="bottom"/>
          </w:tcPr>
          <w:p>
            <w:pPr>
              <w:ind w:left="280"/>
              <w:spacing w:after="0"/>
              <w:rPr>
                <w:sz w:val="20"/>
                <w:szCs w:val="20"/>
                <w:color w:val="auto"/>
              </w:rPr>
            </w:pPr>
            <w:r>
              <w:rPr>
                <w:rFonts w:ascii="Arial" w:cs="Arial" w:eastAsia="Arial" w:hAnsi="Arial"/>
                <w:sz w:val="14"/>
                <w:szCs w:val="14"/>
                <w:color w:val="auto"/>
              </w:rPr>
              <w:t>Accounts receivable, net of allowance of $683 and $816 at December 31, 2018 and 2017, respectively</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75,825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64,412</w:t>
            </w: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13,974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16,524</w:t>
            </w:r>
          </w:p>
        </w:tc>
        <w:tc>
          <w:tcPr>
            <w:tcW w:w="0" w:type="dxa"/>
            <w:vAlign w:val="bottom"/>
          </w:tcPr>
          <w:p>
            <w:pPr>
              <w:spacing w:after="0"/>
              <w:rPr>
                <w:sz w:val="1"/>
                <w:szCs w:val="1"/>
                <w:color w:val="auto"/>
              </w:rPr>
            </w:pPr>
          </w:p>
        </w:tc>
      </w:tr>
      <w:tr>
        <w:trPr>
          <w:trHeight w:val="250"/>
        </w:trPr>
        <w:tc>
          <w:tcPr>
            <w:tcW w:w="836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378,965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369,350</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marketable securities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76,710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67,224</w:t>
            </w:r>
          </w:p>
        </w:tc>
        <w:tc>
          <w:tcPr>
            <w:tcW w:w="0" w:type="dxa"/>
            <w:vAlign w:val="bottom"/>
          </w:tcPr>
          <w:p>
            <w:pPr>
              <w:spacing w:after="0"/>
              <w:rPr>
                <w:sz w:val="1"/>
                <w:szCs w:val="1"/>
                <w:color w:val="auto"/>
              </w:rPr>
            </w:pPr>
          </w:p>
        </w:tc>
      </w:tr>
      <w:tr>
        <w:trPr>
          <w:trHeight w:val="266"/>
        </w:trPr>
        <w:tc>
          <w:tcPr>
            <w:tcW w:w="836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61,442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58,557</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26,387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25,066</w:t>
            </w:r>
          </w:p>
        </w:tc>
        <w:tc>
          <w:tcPr>
            <w:tcW w:w="0" w:type="dxa"/>
            <w:vAlign w:val="bottom"/>
          </w:tcPr>
          <w:p>
            <w:pPr>
              <w:spacing w:after="0"/>
              <w:rPr>
                <w:sz w:val="1"/>
                <w:szCs w:val="1"/>
                <w:color w:val="auto"/>
              </w:rPr>
            </w:pPr>
          </w:p>
        </w:tc>
      </w:tr>
      <w:tr>
        <w:trPr>
          <w:trHeight w:val="266"/>
        </w:trPr>
        <w:tc>
          <w:tcPr>
            <w:tcW w:w="836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21,976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12,401</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7,225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266"/>
        </w:trPr>
        <w:tc>
          <w:tcPr>
            <w:tcW w:w="8360" w:type="dxa"/>
            <w:vAlign w:val="bottom"/>
          </w:tcPr>
          <w:p>
            <w:pPr>
              <w:ind w:left="40"/>
              <w:spacing w:after="0"/>
              <w:rPr>
                <w:sz w:val="20"/>
                <w:szCs w:val="20"/>
                <w:color w:val="auto"/>
              </w:rPr>
            </w:pPr>
            <w:r>
              <w:rPr>
                <w:rFonts w:ascii="Arial" w:cs="Arial" w:eastAsia="Arial" w:hAnsi="Arial"/>
                <w:sz w:val="14"/>
                <w:szCs w:val="14"/>
                <w:color w:val="auto"/>
              </w:rPr>
              <w:t>Long-term investment</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66"/>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9,275</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241"/>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585,680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537,525</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36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5,588</w:t>
            </w:r>
          </w:p>
        </w:tc>
        <w:tc>
          <w:tcPr>
            <w:tcW w:w="10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25,130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21,444</w:t>
            </w:r>
          </w:p>
        </w:tc>
        <w:tc>
          <w:tcPr>
            <w:tcW w:w="0" w:type="dxa"/>
            <w:vAlign w:val="bottom"/>
          </w:tcPr>
          <w:p>
            <w:pPr>
              <w:spacing w:after="0"/>
              <w:rPr>
                <w:sz w:val="1"/>
                <w:szCs w:val="1"/>
                <w:color w:val="auto"/>
              </w:rPr>
            </w:pPr>
          </w:p>
        </w:tc>
      </w:tr>
      <w:tr>
        <w:trPr>
          <w:trHeight w:val="266"/>
        </w:trPr>
        <w:tc>
          <w:tcPr>
            <w:tcW w:w="8360" w:type="dxa"/>
            <w:vAlign w:val="bottom"/>
          </w:tcPr>
          <w:p>
            <w:pPr>
              <w:ind w:left="280"/>
              <w:spacing w:after="0"/>
              <w:rPr>
                <w:sz w:val="20"/>
                <w:szCs w:val="20"/>
                <w:color w:val="auto"/>
              </w:rPr>
            </w:pPr>
            <w:r>
              <w:rPr>
                <w:rFonts w:ascii="Arial" w:cs="Arial" w:eastAsia="Arial" w:hAnsi="Arial"/>
                <w:sz w:val="14"/>
                <w:szCs w:val="14"/>
                <w:color w:val="auto"/>
              </w:rPr>
              <w:t>Deferred revenues, current</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164,624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143,186</w:t>
            </w: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lease, current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36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196,907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165,774</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20,423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17,136</w:t>
            </w:r>
          </w:p>
        </w:tc>
        <w:tc>
          <w:tcPr>
            <w:tcW w:w="0" w:type="dxa"/>
            <w:vAlign w:val="bottom"/>
          </w:tcPr>
          <w:p>
            <w:pPr>
              <w:spacing w:after="0"/>
              <w:rPr>
                <w:sz w:val="1"/>
                <w:szCs w:val="1"/>
                <w:color w:val="auto"/>
              </w:rPr>
            </w:pPr>
          </w:p>
        </w:tc>
      </w:tr>
      <w:tr>
        <w:trPr>
          <w:trHeight w:val="266"/>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10,361</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11,071</w:t>
            </w:r>
          </w:p>
        </w:tc>
        <w:tc>
          <w:tcPr>
            <w:tcW w:w="0" w:type="dxa"/>
            <w:vAlign w:val="bottom"/>
          </w:tcPr>
          <w:p>
            <w:pPr>
              <w:spacing w:after="0"/>
              <w:rPr>
                <w:sz w:val="1"/>
                <w:szCs w:val="1"/>
                <w:color w:val="auto"/>
              </w:rPr>
            </w:pPr>
          </w:p>
        </w:tc>
      </w:tr>
      <w:tr>
        <w:trPr>
          <w:trHeight w:val="254"/>
        </w:trPr>
        <w:tc>
          <w:tcPr>
            <w:tcW w:w="8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227,691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193,981</w:t>
            </w:r>
          </w:p>
        </w:tc>
        <w:tc>
          <w:tcPr>
            <w:tcW w:w="0" w:type="dxa"/>
            <w:vAlign w:val="bottom"/>
          </w:tcPr>
          <w:p>
            <w:pPr>
              <w:spacing w:after="0"/>
              <w:rPr>
                <w:sz w:val="1"/>
                <w:szCs w:val="1"/>
                <w:color w:val="auto"/>
              </w:rPr>
            </w:pPr>
          </w:p>
        </w:tc>
      </w:tr>
      <w:tr>
        <w:trPr>
          <w:trHeight w:val="266"/>
        </w:trPr>
        <w:tc>
          <w:tcPr>
            <w:tcW w:w="8360" w:type="dxa"/>
            <w:vAlign w:val="bottom"/>
          </w:tcPr>
          <w:p>
            <w:pPr>
              <w:ind w:left="40"/>
              <w:spacing w:after="0"/>
              <w:rPr>
                <w:sz w:val="20"/>
                <w:szCs w:val="20"/>
                <w:color w:val="auto"/>
              </w:rPr>
            </w:pPr>
            <w:r>
              <w:rPr>
                <w:rFonts w:ascii="Arial" w:cs="Arial" w:eastAsia="Arial" w:hAnsi="Arial"/>
                <w:sz w:val="14"/>
                <w:szCs w:val="14"/>
                <w:color w:val="auto"/>
              </w:rPr>
              <w:t>Commitments and contingencies (Note 7)</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836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December 31, 2018</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360" w:type="dxa"/>
            <w:vAlign w:val="bottom"/>
          </w:tcPr>
          <w:p>
            <w:pPr>
              <w:ind w:left="520"/>
              <w:spacing w:after="0"/>
              <w:rPr>
                <w:sz w:val="20"/>
                <w:szCs w:val="20"/>
                <w:color w:val="auto"/>
              </w:rPr>
            </w:pPr>
            <w:r>
              <w:rPr>
                <w:rFonts w:ascii="Arial" w:cs="Arial" w:eastAsia="Arial" w:hAnsi="Arial"/>
                <w:sz w:val="14"/>
                <w:szCs w:val="14"/>
                <w:color w:val="auto"/>
              </w:rPr>
              <w:t>and 2017</w:t>
            </w:r>
          </w:p>
        </w:tc>
        <w:tc>
          <w:tcPr>
            <w:tcW w:w="3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39,015,034 and 38,598,117 shares issued and</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outstanding at December 31, 2018 and 2017, respectively</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6"/>
        </w:trPr>
        <w:tc>
          <w:tcPr>
            <w:tcW w:w="836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330,572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304,155</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266"/>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Retained earnings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27,964</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39,924</w:t>
            </w: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357,989</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343,544</w:t>
            </w:r>
          </w:p>
        </w:tc>
        <w:tc>
          <w:tcPr>
            <w:tcW w:w="0" w:type="dxa"/>
            <w:vAlign w:val="bottom"/>
          </w:tcPr>
          <w:p>
            <w:pPr>
              <w:spacing w:after="0"/>
              <w:rPr>
                <w:sz w:val="1"/>
                <w:szCs w:val="1"/>
                <w:color w:val="auto"/>
              </w:rPr>
            </w:pPr>
          </w:p>
        </w:tc>
      </w:tr>
      <w:tr>
        <w:trPr>
          <w:trHeight w:val="241"/>
        </w:trPr>
        <w:tc>
          <w:tcPr>
            <w:tcW w:w="836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585,680</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537,525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278,889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230,828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197,925</w:t>
            </w:r>
          </w:p>
        </w:tc>
        <w:tc>
          <w:tcPr>
            <w:tcW w:w="0" w:type="dxa"/>
            <w:vAlign w:val="bottom"/>
          </w:tcPr>
          <w:p>
            <w:pPr>
              <w:spacing w:after="0"/>
              <w:rPr>
                <w:sz w:val="1"/>
                <w:szCs w:val="1"/>
                <w:color w:val="auto"/>
              </w:rPr>
            </w:pPr>
          </w:p>
        </w:tc>
      </w:tr>
      <w:tr>
        <w:trPr>
          <w:trHeight w:val="26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28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66,185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51,580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43,128</w:t>
            </w:r>
          </w:p>
        </w:tc>
        <w:tc>
          <w:tcPr>
            <w:tcW w:w="0" w:type="dxa"/>
            <w:vAlign w:val="bottom"/>
          </w:tcPr>
          <w:p>
            <w:pPr>
              <w:spacing w:after="0"/>
              <w:rPr>
                <w:sz w:val="1"/>
                <w:szCs w:val="1"/>
                <w:color w:val="auto"/>
              </w:rPr>
            </w:pPr>
          </w:p>
        </w:tc>
      </w:tr>
      <w:tr>
        <w:trPr>
          <w:trHeight w:val="254"/>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212,704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179,248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154,797</w:t>
            </w:r>
          </w:p>
        </w:tc>
        <w:tc>
          <w:tcPr>
            <w:tcW w:w="0" w:type="dxa"/>
            <w:vAlign w:val="bottom"/>
          </w:tcPr>
          <w:p>
            <w:pPr>
              <w:spacing w:after="0"/>
              <w:rPr>
                <w:sz w:val="1"/>
                <w:szCs w:val="1"/>
                <w:color w:val="auto"/>
              </w:rPr>
            </w:pPr>
          </w:p>
        </w:tc>
      </w:tr>
      <w:tr>
        <w:trPr>
          <w:trHeight w:val="266"/>
        </w:trPr>
        <w:tc>
          <w:tcPr>
            <w:tcW w:w="74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53,255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42,816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36,591</w:t>
            </w:r>
          </w:p>
        </w:tc>
        <w:tc>
          <w:tcPr>
            <w:tcW w:w="0" w:type="dxa"/>
            <w:vAlign w:val="bottom"/>
          </w:tcPr>
          <w:p>
            <w:pPr>
              <w:spacing w:after="0"/>
              <w:rPr>
                <w:sz w:val="1"/>
                <w:szCs w:val="1"/>
                <w:color w:val="auto"/>
              </w:rPr>
            </w:pPr>
          </w:p>
        </w:tc>
      </w:tr>
      <w:tr>
        <w:trPr>
          <w:trHeight w:val="266"/>
        </w:trPr>
        <w:tc>
          <w:tcPr>
            <w:tcW w:w="744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70,039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63,855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58,985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231F20"/>
            </w:tcBorders>
            <w:shd w:val="clear" w:color="auto" w:fill="CCEEFF"/>
          </w:tcPr>
          <w:p>
            <w:pPr>
              <w:spacing w:after="0"/>
              <w:rPr>
                <w:sz w:val="23"/>
                <w:szCs w:val="23"/>
                <w:color w:val="auto"/>
              </w:rPr>
            </w:pPr>
          </w:p>
        </w:tc>
        <w:tc>
          <w:tcPr>
            <w:tcW w:w="98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39,049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35,334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29,114</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162,343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142,005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124,690</w:t>
            </w:r>
          </w:p>
        </w:tc>
        <w:tc>
          <w:tcPr>
            <w:tcW w:w="0" w:type="dxa"/>
            <w:vAlign w:val="bottom"/>
          </w:tcPr>
          <w:p>
            <w:pPr>
              <w:spacing w:after="0"/>
              <w:rPr>
                <w:sz w:val="1"/>
                <w:szCs w:val="1"/>
                <w:color w:val="auto"/>
              </w:rPr>
            </w:pPr>
          </w:p>
        </w:tc>
      </w:tr>
      <w:tr>
        <w:trPr>
          <w:trHeight w:val="25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50,361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37,243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30,107</w:t>
            </w:r>
          </w:p>
        </w:tc>
        <w:tc>
          <w:tcPr>
            <w:tcW w:w="0" w:type="dxa"/>
            <w:vAlign w:val="bottom"/>
          </w:tcPr>
          <w:p>
            <w:pPr>
              <w:spacing w:after="0"/>
              <w:rPr>
                <w:sz w:val="1"/>
                <w:szCs w:val="1"/>
                <w:color w:val="auto"/>
              </w:rPr>
            </w:pPr>
          </w:p>
        </w:tc>
      </w:tr>
      <w:tr>
        <w:trPr>
          <w:trHeight w:val="266"/>
        </w:trPr>
        <w:tc>
          <w:tcPr>
            <w:tcW w:w="7440" w:type="dxa"/>
            <w:vAlign w:val="bottom"/>
          </w:tcPr>
          <w:p>
            <w:pPr>
              <w:ind w:left="40"/>
              <w:spacing w:after="0"/>
              <w:rPr>
                <w:sz w:val="20"/>
                <w:szCs w:val="20"/>
                <w:color w:val="auto"/>
              </w:rPr>
            </w:pPr>
            <w:r>
              <w:rPr>
                <w:rFonts w:ascii="Arial" w:cs="Arial" w:eastAsia="Arial" w:hAnsi="Arial"/>
                <w:sz w:val="14"/>
                <w:szCs w:val="14"/>
                <w:color w:val="auto"/>
              </w:rPr>
              <w:t>Other income, net:</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6"/>
        </w:trPr>
        <w:tc>
          <w:tcPr>
            <w:tcW w:w="744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6,080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280" w:type="dxa"/>
            <w:vAlign w:val="bottom"/>
            <w:tcBorders>
              <w:bottom w:val="single" w:sz="8" w:color="231F20"/>
            </w:tcBorders>
            <w:shd w:val="clear" w:color="auto" w:fill="CCEEFF"/>
          </w:tcPr>
          <w:p>
            <w:pPr>
              <w:spacing w:after="0"/>
              <w:rPr>
                <w:sz w:val="23"/>
                <w:szCs w:val="23"/>
                <w:color w:val="auto"/>
              </w:rPr>
            </w:pPr>
          </w:p>
        </w:tc>
        <w:tc>
          <w:tcPr>
            <w:tcW w:w="9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net</w:t>
            </w:r>
          </w:p>
        </w:tc>
        <w:tc>
          <w:tcPr>
            <w:tcW w:w="2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5,107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2,135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5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39,378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30,429</w:t>
            </w:r>
          </w:p>
        </w:tc>
        <w:tc>
          <w:tcPr>
            <w:tcW w:w="0" w:type="dxa"/>
            <w:vAlign w:val="bottom"/>
          </w:tcPr>
          <w:p>
            <w:pPr>
              <w:spacing w:after="0"/>
              <w:rPr>
                <w:sz w:val="1"/>
                <w:szCs w:val="1"/>
                <w:color w:val="auto"/>
              </w:rPr>
            </w:pPr>
          </w:p>
        </w:tc>
      </w:tr>
      <w:tr>
        <w:trPr>
          <w:trHeight w:val="26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(1,836)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(1,062)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11,205</w:t>
            </w: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57,304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19,224</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38,876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37,443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35,247</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41,897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40,071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38,369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1" w:right="2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57,304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40,440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19,224</w:t>
            </w:r>
          </w:p>
        </w:tc>
      </w:tr>
      <w:tr>
        <w:trPr>
          <w:trHeight w:val="266"/>
        </w:trPr>
        <w:tc>
          <w:tcPr>
            <w:tcW w:w="7440" w:type="dxa"/>
            <w:vAlign w:val="bottom"/>
          </w:tcPr>
          <w:p>
            <w:pPr>
              <w:ind w:left="280"/>
              <w:spacing w:after="0"/>
              <w:rPr>
                <w:sz w:val="20"/>
                <w:szCs w:val="20"/>
                <w:color w:val="auto"/>
              </w:rPr>
            </w:pPr>
            <w:r>
              <w:rPr>
                <w:rFonts w:ascii="Arial" w:cs="Arial" w:eastAsia="Arial" w:hAnsi="Arial"/>
                <w:sz w:val="14"/>
                <w:szCs w:val="14"/>
                <w:color w:val="auto"/>
              </w:rPr>
              <w:t>Other comprehensive income (loss):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4"/>
        </w:trPr>
        <w:tc>
          <w:tcPr>
            <w:tcW w:w="7440" w:type="dxa"/>
            <w:vAlign w:val="bottom"/>
            <w:shd w:val="clear" w:color="auto" w:fill="CCEEFF"/>
          </w:tcPr>
          <w:p>
            <w:pPr>
              <w:ind w:left="360"/>
              <w:spacing w:after="0"/>
              <w:rPr>
                <w:sz w:val="20"/>
                <w:szCs w:val="20"/>
                <w:color w:val="auto"/>
              </w:rPr>
            </w:pPr>
            <w:r>
              <w:rPr>
                <w:rFonts w:ascii="Arial" w:cs="Arial" w:eastAsia="Arial" w:hAnsi="Arial"/>
                <w:sz w:val="14"/>
                <w:szCs w:val="14"/>
                <w:color w:val="231F20"/>
              </w:rPr>
              <w:t>Available-for-sale marketable securities: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6"/>
        </w:trPr>
        <w:tc>
          <w:tcPr>
            <w:tcW w:w="7440" w:type="dxa"/>
            <w:vAlign w:val="bottom"/>
          </w:tcPr>
          <w:p>
            <w:pPr>
              <w:ind w:left="460"/>
              <w:spacing w:after="0"/>
              <w:rPr>
                <w:sz w:val="20"/>
                <w:szCs w:val="20"/>
                <w:color w:val="auto"/>
              </w:rPr>
            </w:pPr>
            <w:r>
              <w:rPr>
                <w:rFonts w:ascii="Arial" w:cs="Arial" w:eastAsia="Arial" w:hAnsi="Arial"/>
                <w:sz w:val="14"/>
                <w:szCs w:val="14"/>
                <w:color w:val="231F20"/>
              </w:rPr>
              <w:t>Change in net unrealized loss, net of tax</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70"/>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231F20"/>
              </w:rPr>
              <w:t>Reclassification adjustment for net change realized and included in net income, net of tax</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50"/>
        </w:trPr>
        <w:tc>
          <w:tcPr>
            <w:tcW w:w="7440" w:type="dxa"/>
            <w:vAlign w:val="bottom"/>
          </w:tcPr>
          <w:p>
            <w:pPr>
              <w:ind w:left="500"/>
              <w:spacing w:after="0"/>
              <w:rPr>
                <w:sz w:val="20"/>
                <w:szCs w:val="20"/>
                <w:color w:val="auto"/>
              </w:rPr>
            </w:pPr>
            <w:r>
              <w:rPr>
                <w:rFonts w:ascii="Arial" w:cs="Arial" w:eastAsia="Arial" w:hAnsi="Arial"/>
                <w:sz w:val="14"/>
                <w:szCs w:val="14"/>
                <w:color w:val="auto"/>
              </w:rPr>
              <w:t>Total change in unrealized gain (loss) on marketable securities, net of tax</w:t>
            </w:r>
          </w:p>
        </w:tc>
        <w:tc>
          <w:tcPr>
            <w:tcW w:w="2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55</w:t>
            </w:r>
          </w:p>
        </w:tc>
      </w:tr>
      <w:tr>
        <w:trPr>
          <w:trHeight w:val="274"/>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flow hedges: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6"/>
        </w:trPr>
        <w:tc>
          <w:tcPr>
            <w:tcW w:w="7440" w:type="dxa"/>
            <w:vAlign w:val="bottom"/>
          </w:tcPr>
          <w:p>
            <w:pPr>
              <w:ind w:left="500"/>
              <w:spacing w:after="0"/>
              <w:rPr>
                <w:sz w:val="20"/>
                <w:szCs w:val="20"/>
                <w:color w:val="auto"/>
              </w:rPr>
            </w:pPr>
            <w:r>
              <w:rPr>
                <w:rFonts w:ascii="Arial" w:cs="Arial" w:eastAsia="Arial" w:hAnsi="Arial"/>
                <w:sz w:val="14"/>
                <w:szCs w:val="14"/>
                <w:color w:val="auto"/>
              </w:rPr>
              <w:t>Change in net unrealized loss, net of tax</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net of tax</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41"/>
        </w:trPr>
        <w:tc>
          <w:tcPr>
            <w:tcW w:w="74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57,292</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40,022</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19,279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63"/>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r>
      <w:tr>
        <w:trPr>
          <w:trHeight w:val="262"/>
        </w:trPr>
        <w:tc>
          <w:tcPr>
            <w:tcW w:w="778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4"/>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40,440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19,224</w:t>
            </w:r>
          </w:p>
        </w:tc>
      </w:tr>
      <w:tr>
        <w:trPr>
          <w:trHeight w:val="266"/>
        </w:trPr>
        <w:tc>
          <w:tcPr>
            <w:tcW w:w="778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4"/>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20,636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16,994</w:t>
            </w:r>
          </w:p>
        </w:tc>
      </w:tr>
      <w:tr>
        <w:trPr>
          <w:trHeight w:val="266"/>
        </w:trPr>
        <w:tc>
          <w:tcPr>
            <w:tcW w:w="778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199</w:t>
            </w:r>
          </w:p>
        </w:tc>
      </w:tr>
      <w:tr>
        <w:trPr>
          <w:trHeight w:val="274"/>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66"/>
        </w:trPr>
        <w:tc>
          <w:tcPr>
            <w:tcW w:w="778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30,090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26,961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20,149</w:t>
            </w:r>
          </w:p>
        </w:tc>
      </w:tr>
      <w:tr>
        <w:trPr>
          <w:trHeight w:val="274"/>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r>
      <w:tr>
        <w:trPr>
          <w:trHeight w:val="266"/>
        </w:trPr>
        <w:tc>
          <w:tcPr>
            <w:tcW w:w="7780" w:type="dxa"/>
            <w:vAlign w:val="bottom"/>
          </w:tcPr>
          <w:p>
            <w:pPr>
              <w:ind w:left="500"/>
              <w:spacing w:after="0"/>
              <w:rPr>
                <w:sz w:val="20"/>
                <w:szCs w:val="20"/>
                <w:color w:val="auto"/>
              </w:rPr>
            </w:pPr>
            <w:r>
              <w:rPr>
                <w:rFonts w:ascii="Arial" w:cs="Arial" w:eastAsia="Arial" w:hAnsi="Arial"/>
                <w:sz w:val="14"/>
                <w:szCs w:val="14"/>
                <w:color w:val="auto"/>
              </w:rPr>
              <w:t>Excess tax benefits from stock-based compensation</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(8,700)</w:t>
            </w:r>
          </w:p>
        </w:tc>
      </w:tr>
      <w:tr>
        <w:trPr>
          <w:trHeight w:val="274"/>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r>
      <w:tr>
        <w:trPr>
          <w:trHeight w:val="266"/>
        </w:trPr>
        <w:tc>
          <w:tcPr>
            <w:tcW w:w="778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4"/>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(11,467)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(4,898)</w:t>
            </w:r>
          </w:p>
        </w:tc>
      </w:tr>
      <w:tr>
        <w:trPr>
          <w:trHeight w:val="266"/>
        </w:trPr>
        <w:tc>
          <w:tcPr>
            <w:tcW w:w="778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(2,107)</w:t>
            </w:r>
          </w:p>
        </w:tc>
      </w:tr>
      <w:tr>
        <w:trPr>
          <w:trHeight w:val="274"/>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r>
      <w:tr>
        <w:trPr>
          <w:trHeight w:val="266"/>
        </w:trPr>
        <w:tc>
          <w:tcPr>
            <w:tcW w:w="7780" w:type="dxa"/>
            <w:vAlign w:val="bottom"/>
          </w:tcPr>
          <w:p>
            <w:pPr>
              <w:ind w:left="720"/>
              <w:spacing w:after="0"/>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9,696</w:t>
            </w:r>
          </w:p>
        </w:tc>
      </w:tr>
      <w:tr>
        <w:trPr>
          <w:trHeight w:val="274"/>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24,725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29,830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17,903</w:t>
            </w:r>
          </w:p>
        </w:tc>
      </w:tr>
      <w:tr>
        <w:trPr>
          <w:trHeight w:val="266"/>
        </w:trPr>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noncurrent liabilities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7,343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1,455</w:t>
            </w:r>
          </w:p>
        </w:tc>
      </w:tr>
      <w:tr>
        <w:trPr>
          <w:trHeight w:val="254"/>
        </w:trPr>
        <w:tc>
          <w:tcPr>
            <w:tcW w:w="77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125,464</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107,646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69,310</w:t>
            </w:r>
          </w:p>
        </w:tc>
      </w:tr>
      <w:tr>
        <w:trPr>
          <w:trHeight w:val="260"/>
        </w:trPr>
        <w:tc>
          <w:tcPr>
            <w:tcW w:w="778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4"/>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investments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(339,862)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(299,891)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(222,953)</w:t>
            </w:r>
          </w:p>
        </w:tc>
      </w:tr>
      <w:tr>
        <w:trPr>
          <w:trHeight w:val="266"/>
        </w:trPr>
        <w:tc>
          <w:tcPr>
            <w:tcW w:w="7780" w:type="dxa"/>
            <w:vAlign w:val="bottom"/>
          </w:tcPr>
          <w:p>
            <w:pPr>
              <w:ind w:left="280"/>
              <w:spacing w:after="0"/>
              <w:rPr>
                <w:sz w:val="20"/>
                <w:szCs w:val="20"/>
                <w:color w:val="auto"/>
              </w:rPr>
            </w:pPr>
            <w:r>
              <w:rPr>
                <w:rFonts w:ascii="Arial" w:cs="Arial" w:eastAsia="Arial" w:hAnsi="Arial"/>
                <w:sz w:val="14"/>
                <w:szCs w:val="14"/>
                <w:color w:val="auto"/>
              </w:rPr>
              <w:t>Sales and maturities of investments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285,224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231,996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149,708</w:t>
            </w:r>
          </w:p>
        </w:tc>
      </w:tr>
      <w:tr>
        <w:trPr>
          <w:trHeight w:val="274"/>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(23,245)</w:t>
            </w:r>
          </w:p>
        </w:tc>
      </w:tr>
      <w:tr>
        <w:trPr>
          <w:trHeight w:val="266"/>
        </w:trPr>
        <w:tc>
          <w:tcPr>
            <w:tcW w:w="7780" w:type="dxa"/>
            <w:vAlign w:val="bottom"/>
          </w:tcPr>
          <w:p>
            <w:pPr>
              <w:ind w:left="280"/>
              <w:spacing w:after="0"/>
              <w:rPr>
                <w:sz w:val="20"/>
                <w:szCs w:val="20"/>
                <w:color w:val="auto"/>
              </w:rPr>
            </w:pPr>
            <w:r>
              <w:rPr>
                <w:rFonts w:ascii="Arial" w:cs="Arial" w:eastAsia="Arial" w:hAnsi="Arial"/>
                <w:sz w:val="14"/>
                <w:szCs w:val="14"/>
                <w:color w:val="auto"/>
              </w:rPr>
              <w:t>Business combinations, net of cash acquired</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(13,633)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privately-held investment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(93,546)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(118,195)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(96,490)</w:t>
            </w:r>
          </w:p>
        </w:tc>
      </w:tr>
      <w:tr>
        <w:trPr>
          <w:trHeight w:val="268"/>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6"/>
        </w:trPr>
        <w:tc>
          <w:tcPr>
            <w:tcW w:w="778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(85,040)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24,053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15,157</w:t>
            </w:r>
          </w:p>
        </w:tc>
      </w:tr>
      <w:tr>
        <w:trPr>
          <w:trHeight w:val="266"/>
        </w:trPr>
        <w:tc>
          <w:tcPr>
            <w:tcW w:w="7780" w:type="dxa"/>
            <w:vAlign w:val="bottom"/>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(14,879)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(20,924)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(438)</w:t>
            </w:r>
          </w:p>
        </w:tc>
      </w:tr>
      <w:tr>
        <w:trPr>
          <w:trHeight w:val="274"/>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8,700</w:t>
            </w:r>
          </w:p>
        </w:tc>
      </w:tr>
      <w:tr>
        <w:trPr>
          <w:trHeight w:val="266"/>
        </w:trPr>
        <w:tc>
          <w:tcPr>
            <w:tcW w:w="7780" w:type="dxa"/>
            <w:vAlign w:val="bottom"/>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78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(77,483)</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10,403</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23,419</w:t>
            </w:r>
          </w:p>
        </w:tc>
      </w:tr>
      <w:tr>
        <w:trPr>
          <w:trHeight w:val="250"/>
        </w:trPr>
        <w:tc>
          <w:tcPr>
            <w:tcW w:w="778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(45,565)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(3,761)</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87,791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87,937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91,698</w:t>
            </w:r>
          </w:p>
        </w:tc>
      </w:tr>
      <w:tr>
        <w:trPr>
          <w:trHeight w:val="281"/>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and restricted cash at 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42,226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87,791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87,937</w:t>
            </w:r>
          </w:p>
        </w:tc>
      </w:tr>
      <w:tr>
        <w:trPr>
          <w:trHeight w:val="251"/>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66"/>
        </w:trPr>
        <w:tc>
          <w:tcPr>
            <w:tcW w:w="7780" w:type="dxa"/>
            <w:vAlign w:val="bottom"/>
          </w:tcPr>
          <w:p>
            <w:pPr>
              <w:ind w:left="280"/>
              <w:spacing w:after="0"/>
              <w:rPr>
                <w:sz w:val="20"/>
                <w:szCs w:val="20"/>
                <w:color w:val="auto"/>
              </w:rPr>
            </w:pPr>
            <w:r>
              <w:rPr>
                <w:rFonts w:ascii="Arial" w:cs="Arial" w:eastAsia="Arial" w:hAnsi="Arial"/>
                <w:sz w:val="14"/>
                <w:szCs w:val="14"/>
                <w:color w:val="auto"/>
              </w:rPr>
              <w:t>Cash paid for interest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w:t>
            </w:r>
          </w:p>
        </w:tc>
      </w:tr>
      <w:tr>
        <w:trPr>
          <w:trHeight w:val="274"/>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856</w:t>
            </w:r>
          </w:p>
        </w:tc>
      </w:tr>
      <w:tr>
        <w:trPr>
          <w:trHeight w:val="266"/>
        </w:trPr>
        <w:tc>
          <w:tcPr>
            <w:tcW w:w="778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4"/>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Business acquisitions recorded in Intangible Assets and Accrued liabilities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2"/>
        </w:trPr>
        <w:tc>
          <w:tcPr>
            <w:tcW w:w="7780" w:type="dxa"/>
            <w:vAlign w:val="bottom"/>
          </w:tcPr>
          <w:p>
            <w:pPr>
              <w:ind w:left="280"/>
              <w:spacing w:after="0"/>
              <w:rPr>
                <w:sz w:val="20"/>
                <w:szCs w:val="20"/>
                <w:color w:val="auto"/>
              </w:rPr>
            </w:pPr>
            <w:r>
              <w:rPr>
                <w:rFonts w:ascii="Arial" w:cs="Arial" w:eastAsia="Arial" w:hAnsi="Arial"/>
                <w:sz w:val="14"/>
                <w:szCs w:val="14"/>
                <w:color w:val="auto"/>
              </w:rPr>
              <w:t>Purchases of property and equipment recorded in accounts payable and accrued liabilities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1,438</w:t>
            </w: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400"/>
          </w:cols>
          <w:pgMar w:left="240" w:top="121" w:right="25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00"/>
          </w:cols>
          <w:pgMar w:left="240" w:top="121" w:right="25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Qualys,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126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w w:val="96"/>
              </w:rPr>
              <w:t>Common Stock</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Retained</w:t>
            </w:r>
          </w:p>
        </w:tc>
        <w:tc>
          <w:tcPr>
            <w:tcW w:w="200" w:type="dxa"/>
            <w:vAlign w:val="bottom"/>
          </w:tcPr>
          <w:p>
            <w:pPr>
              <w:spacing w:after="0"/>
              <w:rPr>
                <w:sz w:val="13"/>
                <w:szCs w:val="13"/>
                <w:color w:val="auto"/>
              </w:rPr>
            </w:pPr>
          </w:p>
        </w:tc>
        <w:tc>
          <w:tcPr>
            <w:tcW w:w="800" w:type="dxa"/>
            <w:vAlign w:val="bottom"/>
            <w:vMerge w:val="restart"/>
          </w:tcPr>
          <w:p>
            <w:pPr>
              <w:jc w:val="center"/>
              <w:ind w:right="12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6"/>
        </w:trPr>
        <w:tc>
          <w:tcPr>
            <w:tcW w:w="5380" w:type="dxa"/>
            <w:vAlign w:val="bottom"/>
          </w:tcPr>
          <w:p>
            <w:pPr>
              <w:spacing w:after="0"/>
              <w:rPr>
                <w:sz w:val="12"/>
                <w:szCs w:val="12"/>
                <w:color w:val="auto"/>
              </w:rPr>
            </w:pPr>
          </w:p>
        </w:tc>
        <w:tc>
          <w:tcPr>
            <w:tcW w:w="126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380" w:type="dxa"/>
            <w:vAlign w:val="bottom"/>
          </w:tcPr>
          <w:p>
            <w:pPr>
              <w:spacing w:after="0"/>
              <w:rPr>
                <w:sz w:val="9"/>
                <w:szCs w:val="9"/>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9"/>
                <w:szCs w:val="9"/>
                <w:color w:val="auto"/>
              </w:rPr>
            </w:pPr>
          </w:p>
        </w:tc>
        <w:tc>
          <w:tcPr>
            <w:tcW w:w="980" w:type="dxa"/>
            <w:vAlign w:val="bottom"/>
            <w:gridSpan w:val="2"/>
          </w:tcPr>
          <w:p>
            <w:pPr>
              <w:jc w:val="center"/>
              <w:ind w:right="280"/>
              <w:spacing w:after="0" w:line="105"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120"/>
              <w:spacing w:after="0" w:line="105" w:lineRule="exact"/>
              <w:rPr>
                <w:sz w:val="20"/>
                <w:szCs w:val="20"/>
                <w:color w:val="auto"/>
              </w:rPr>
            </w:pPr>
            <w:r>
              <w:rPr>
                <w:rFonts w:ascii="Arial" w:cs="Arial" w:eastAsia="Arial" w:hAnsi="Arial"/>
                <w:sz w:val="12"/>
                <w:szCs w:val="12"/>
                <w:b w:val="1"/>
                <w:bCs w:val="1"/>
                <w:color w:val="auto"/>
              </w:rPr>
              <w:t>Comprehensive</w:t>
            </w:r>
          </w:p>
        </w:tc>
        <w:tc>
          <w:tcPr>
            <w:tcW w:w="160" w:type="dxa"/>
            <w:vAlign w:val="bottom"/>
          </w:tcPr>
          <w:p>
            <w:pPr>
              <w:spacing w:after="0"/>
              <w:rPr>
                <w:sz w:val="9"/>
                <w:szCs w:val="9"/>
                <w:color w:val="auto"/>
              </w:rPr>
            </w:pPr>
          </w:p>
        </w:tc>
        <w:tc>
          <w:tcPr>
            <w:tcW w:w="960" w:type="dxa"/>
            <w:vAlign w:val="bottom"/>
            <w:gridSpan w:val="2"/>
          </w:tcPr>
          <w:p>
            <w:pPr>
              <w:jc w:val="center"/>
              <w:ind w:right="300"/>
              <w:spacing w:after="0" w:line="105" w:lineRule="exact"/>
              <w:rPr>
                <w:sz w:val="20"/>
                <w:szCs w:val="20"/>
                <w:color w:val="auto"/>
              </w:rPr>
            </w:pPr>
            <w:r>
              <w:rPr>
                <w:rFonts w:ascii="Arial" w:cs="Arial" w:eastAsia="Arial" w:hAnsi="Arial"/>
                <w:sz w:val="12"/>
                <w:szCs w:val="12"/>
                <w:b w:val="1"/>
                <w:bCs w:val="1"/>
                <w:color w:val="auto"/>
              </w:rPr>
              <w:t>Earnings</w:t>
            </w:r>
          </w:p>
        </w:tc>
        <w:tc>
          <w:tcPr>
            <w:tcW w:w="1000" w:type="dxa"/>
            <w:vAlign w:val="bottom"/>
            <w:gridSpan w:val="2"/>
          </w:tcPr>
          <w:p>
            <w:pPr>
              <w:jc w:val="center"/>
              <w:spacing w:after="0" w:line="10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2"/>
        </w:trPr>
        <w:tc>
          <w:tcPr>
            <w:tcW w:w="53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Capital</w:t>
            </w: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Income (Loss)</w:t>
            </w: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(deficit)</w:t>
            </w:r>
          </w:p>
        </w:tc>
        <w:tc>
          <w:tcPr>
            <w:tcW w:w="200" w:type="dxa"/>
            <w:vAlign w:val="bottom"/>
          </w:tcPr>
          <w:p>
            <w:pPr>
              <w:spacing w:after="0"/>
              <w:rPr>
                <w:sz w:val="15"/>
                <w:szCs w:val="15"/>
                <w:color w:val="auto"/>
              </w:rPr>
            </w:pPr>
          </w:p>
        </w:tc>
        <w:tc>
          <w:tcPr>
            <w:tcW w:w="800" w:type="dxa"/>
            <w:vAlign w:val="bottom"/>
          </w:tcPr>
          <w:p>
            <w:pPr>
              <w:jc w:val="center"/>
              <w:ind w:right="12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54"/>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2015</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34,414,631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223,228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(27,485)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195,566</w:t>
            </w:r>
          </w:p>
        </w:tc>
        <w:tc>
          <w:tcPr>
            <w:tcW w:w="0" w:type="dxa"/>
            <w:vAlign w:val="bottom"/>
          </w:tcPr>
          <w:p>
            <w:pPr>
              <w:spacing w:after="0"/>
              <w:rPr>
                <w:sz w:val="1"/>
                <w:szCs w:val="1"/>
                <w:color w:val="auto"/>
              </w:rPr>
            </w:pPr>
          </w:p>
        </w:tc>
      </w:tr>
      <w:tr>
        <w:trPr>
          <w:trHeight w:val="188"/>
        </w:trPr>
        <w:tc>
          <w:tcPr>
            <w:tcW w:w="53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19,224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19,224</w:t>
            </w: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62"/>
        </w:trPr>
        <w:tc>
          <w:tcPr>
            <w:tcW w:w="53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38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1,399,157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15,155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15,157</w:t>
            </w: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25,213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538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380" w:type="dxa"/>
            <w:vAlign w:val="bottom"/>
          </w:tcPr>
          <w:p>
            <w:pPr>
              <w:ind w:left="280"/>
              <w:spacing w:after="0"/>
              <w:rPr>
                <w:sz w:val="20"/>
                <w:szCs w:val="20"/>
                <w:color w:val="auto"/>
              </w:rPr>
            </w:pPr>
            <w:r>
              <w:rPr>
                <w:rFonts w:ascii="Arial" w:cs="Arial" w:eastAsia="Arial" w:hAnsi="Arial"/>
                <w:sz w:val="14"/>
                <w:szCs w:val="14"/>
                <w:color w:val="auto"/>
              </w:rPr>
              <w:t>Issuance of common stock in exchange for services</w:t>
            </w: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8,700</w:t>
            </w:r>
          </w:p>
        </w:tc>
        <w:tc>
          <w:tcPr>
            <w:tcW w:w="0" w:type="dxa"/>
            <w:vAlign w:val="bottom"/>
          </w:tcPr>
          <w:p>
            <w:pPr>
              <w:spacing w:after="0"/>
              <w:rPr>
                <w:sz w:val="1"/>
                <w:szCs w:val="1"/>
                <w:color w:val="auto"/>
              </w:rPr>
            </w:pPr>
          </w:p>
        </w:tc>
      </w:tr>
      <w:tr>
        <w:trPr>
          <w:trHeight w:val="62"/>
        </w:trPr>
        <w:tc>
          <w:tcPr>
            <w:tcW w:w="53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380" w:type="dxa"/>
            <w:vAlign w:val="bottom"/>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20,123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20,123</w:t>
            </w:r>
          </w:p>
        </w:tc>
        <w:tc>
          <w:tcPr>
            <w:tcW w:w="0" w:type="dxa"/>
            <w:vAlign w:val="bottom"/>
          </w:tcPr>
          <w:p>
            <w:pPr>
              <w:spacing w:after="0"/>
              <w:rPr>
                <w:sz w:val="1"/>
                <w:szCs w:val="1"/>
                <w:color w:val="auto"/>
              </w:rPr>
            </w:pPr>
          </w:p>
        </w:tc>
      </w:tr>
      <w:tr>
        <w:trPr>
          <w:trHeight w:val="62"/>
        </w:trPr>
        <w:tc>
          <w:tcPr>
            <w:tcW w:w="53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Balances at December 31, 2016</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35,841,001</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266,794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(8,261)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258,413</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Cumulative effect of a change in accounting principle related to stock-based</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compensation</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7,745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7,745</w:t>
            </w:r>
          </w:p>
        </w:tc>
        <w:tc>
          <w:tcPr>
            <w:tcW w:w="0" w:type="dxa"/>
            <w:vAlign w:val="bottom"/>
          </w:tcPr>
          <w:p>
            <w:pPr>
              <w:spacing w:after="0"/>
              <w:rPr>
                <w:sz w:val="1"/>
                <w:szCs w:val="1"/>
                <w:color w:val="auto"/>
              </w:rPr>
            </w:pPr>
          </w:p>
        </w:tc>
      </w:tr>
      <w:tr>
        <w:trPr>
          <w:trHeight w:val="208"/>
        </w:trPr>
        <w:tc>
          <w:tcPr>
            <w:tcW w:w="538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40,440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40,440</w:t>
            </w: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62"/>
        </w:trPr>
        <w:tc>
          <w:tcPr>
            <w:tcW w:w="53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38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2,997,095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31,324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31,327</w:t>
            </w: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217,111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538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380" w:type="dxa"/>
            <w:vAlign w:val="bottom"/>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(457,090)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(20,924)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(20,924)</w:t>
            </w: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26,961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26,961</w:t>
            </w:r>
          </w:p>
        </w:tc>
        <w:tc>
          <w:tcPr>
            <w:tcW w:w="0" w:type="dxa"/>
            <w:vAlign w:val="bottom"/>
          </w:tcPr>
          <w:p>
            <w:pPr>
              <w:spacing w:after="0"/>
              <w:rPr>
                <w:sz w:val="1"/>
                <w:szCs w:val="1"/>
                <w:color w:val="auto"/>
              </w:rPr>
            </w:pPr>
          </w:p>
        </w:tc>
      </w:tr>
      <w:tr>
        <w:trPr>
          <w:trHeight w:val="62"/>
        </w:trPr>
        <w:tc>
          <w:tcPr>
            <w:tcW w:w="53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Balances at December 31, 2017</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38,598,117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304,155</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39,924</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343,544</w:t>
            </w:r>
          </w:p>
        </w:tc>
        <w:tc>
          <w:tcPr>
            <w:tcW w:w="0" w:type="dxa"/>
            <w:vAlign w:val="bottom"/>
          </w:tcPr>
          <w:p>
            <w:pPr>
              <w:spacing w:after="0"/>
              <w:rPr>
                <w:sz w:val="1"/>
                <w:szCs w:val="1"/>
                <w:color w:val="auto"/>
              </w:rPr>
            </w:pPr>
          </w:p>
        </w:tc>
      </w:tr>
      <w:tr>
        <w:trPr>
          <w:trHeight w:val="19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Adoption of revenue recognition standard</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2,711</w:t>
            </w:r>
          </w:p>
        </w:tc>
        <w:tc>
          <w:tcPr>
            <w:tcW w:w="0" w:type="dxa"/>
            <w:vAlign w:val="bottom"/>
          </w:tcPr>
          <w:p>
            <w:pPr>
              <w:spacing w:after="0"/>
              <w:rPr>
                <w:sz w:val="1"/>
                <w:szCs w:val="1"/>
                <w:color w:val="auto"/>
              </w:rPr>
            </w:pPr>
          </w:p>
        </w:tc>
      </w:tr>
      <w:tr>
        <w:trPr>
          <w:trHeight w:val="62"/>
        </w:trPr>
        <w:tc>
          <w:tcPr>
            <w:tcW w:w="53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38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57,304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57,304</w:t>
            </w: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62"/>
        </w:trPr>
        <w:tc>
          <w:tcPr>
            <w:tcW w:w="53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38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1,183,235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24,052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24,053</w:t>
            </w: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(1,088,899)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(71,975)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(85,040)</w:t>
            </w:r>
          </w:p>
        </w:tc>
        <w:tc>
          <w:tcPr>
            <w:tcW w:w="0" w:type="dxa"/>
            <w:vAlign w:val="bottom"/>
          </w:tcPr>
          <w:p>
            <w:pPr>
              <w:spacing w:after="0"/>
              <w:rPr>
                <w:sz w:val="1"/>
                <w:szCs w:val="1"/>
                <w:color w:val="auto"/>
              </w:rPr>
            </w:pPr>
          </w:p>
        </w:tc>
      </w:tr>
      <w:tr>
        <w:trPr>
          <w:trHeight w:val="62"/>
        </w:trPr>
        <w:tc>
          <w:tcPr>
            <w:tcW w:w="538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380" w:type="dxa"/>
            <w:vAlign w:val="bottom"/>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524,903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(202,322)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(14,879)</w:t>
            </w:r>
          </w:p>
        </w:tc>
        <w:tc>
          <w:tcPr>
            <w:tcW w:w="0" w:type="dxa"/>
            <w:vAlign w:val="bottom"/>
          </w:tcPr>
          <w:p>
            <w:pPr>
              <w:spacing w:after="0"/>
              <w:rPr>
                <w:sz w:val="1"/>
                <w:szCs w:val="1"/>
                <w:color w:val="auto"/>
              </w:rPr>
            </w:pPr>
          </w:p>
        </w:tc>
      </w:tr>
      <w:tr>
        <w:trPr>
          <w:trHeight w:val="62"/>
        </w:trPr>
        <w:tc>
          <w:tcPr>
            <w:tcW w:w="538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38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30,308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30,308</w:t>
            </w: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2018</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39,015,034</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330,572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27,964</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357,989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1"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Company and Summary of Significant Accounting Policies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Qualys, Inc. (the “Company”, "we", "us", "our") was incorporated in the state of Delaware on December 30, 1999. The Company is headquartered in Foster City, California and has wholly-owned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accompanying consolidated financial statements and footnotes have been prepared by the Company in accordance with accounting principles generally accepted in the United States (“U.S. GAAP”) as well as the instructions to Form 10-K and the rules and regulations of the U.S. Securities and Exchange Commission ("SEC"). In the opinion of management, the accompanying consolidated financial statements reflect all adjustments, which include only normal recurring adjustments, necessary for the fair presentation of the Company’s consolidated financial position, results of operations and cash flows for the periods presented. The accompanying consolidated financial statements include the accounts of the Company and its wholly-owned subsidiaries. All significant intercompany transactions and balances have been eliminated upon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1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certain estimates and assumptions that affect the reported amounts of assets and liabilities and disclosure of assets and liabilities at the date of the consolidated financial statements and the reported results of operations during the reporting period. The Company’s management regularly assesses these estimates, which primarily affect revenue recognition, the valuation of accounts receivable, goodwill and intangible assets, capitalization of internally developed software, stock-based compensation and the provision for income taxes. Actual results could differ from those estimates and such differences may be material to the accompanying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5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Collateral is not required for accounts receivable. As of December 31, 2018 and 2017,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w:t>
      </w:r>
      <w:r>
        <w:rPr>
          <w:rFonts w:ascii="Arial" w:cs="Arial" w:eastAsia="Arial" w:hAnsi="Arial"/>
          <w:sz w:val="18"/>
          <w:szCs w:val="18"/>
          <w:color w:val="000000"/>
        </w:rPr>
        <w:t>10%</w:t>
      </w:r>
      <w:r>
        <w:rPr>
          <w:rFonts w:ascii="Arial" w:cs="Arial" w:eastAsia="Arial" w:hAnsi="Arial"/>
          <w:sz w:val="18"/>
          <w:szCs w:val="18"/>
          <w:color w:val="231F20"/>
        </w:rPr>
        <w:t xml:space="preserve"> of the Company's revenues and accounts receivable balance.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Cash and cash equivalents include cash held in banks, highly liquid money market funds, commercial paper, and fixed-income U.S. government agency securities,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asset-backed securities and commercial paper. Management determines the appropriate classification of the Company's investments at the time of purchase and reevaluates such designation at each balance sheet date.</w:t>
      </w:r>
    </w:p>
    <w:p>
      <w:pPr>
        <w:spacing w:after="0" w:line="27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231F20"/>
        </w:rPr>
        <w:t>The Company classifies its investments as either short-term or long-term based on each instrument's underlying contractual maturity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Accounts receivable are recorded at the invoiced amount and do not bear interest. The allowance for doubtful accounts represents the Company’s best estimate of the amount of probable credit losses and is determined based on a review of existing accounts receivable by aging category to identify significant customers or invoices with collectability issues. For those invoices not specifically reviewed, the reserve is calculated based on the age of the receivable and historical write-offs.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Any change in the assumptions used in analyzing a specific account receivable may result in an additional provision for doubtful accounts being recognized in the period in which the change occurs. When the Company ultimately concludes that a receivable is uncollectible, the balance is written off against the allowance for doubtful accounts. Payments subsequently received on such receivables are credited back to the allowance for doubtful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Method Investments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In the second quarter of fiscal 2018, the Company invested $2.5 million in a privately-held company. The Company used the cost method of accounting to account for the investment because it does not hold a controlling interest in this entity and the Company does not have the ability to exercise significant influence over the entity's operating and financial policies. The investment is included in long term assets on the accompanying consolidated balance sheets. The Company's cost method investment is assessed for impairment when events or changes in circumstances indicate that the carrying amount may not be recoverable. The Company has not recorded any dividends or other-than-temporary impairment charges related to its cost method investment. The fair value of the investment is not readily available, and there are no quoted market prices for the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 xml:space="preserve">Property and equipment are stated at cost less accumulated depreciation and amortization. Depreciation is computed using the straight-line method over the estimated useful lives of the assets, which range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five</w:t>
      </w:r>
      <w:r>
        <w:rPr>
          <w:rFonts w:ascii="Arial" w:cs="Arial" w:eastAsia="Arial" w:hAnsi="Arial"/>
          <w:sz w:val="18"/>
          <w:szCs w:val="18"/>
          <w:color w:val="231F20"/>
        </w:rPr>
        <w:t xml:space="preserve"> years. Leasehold improvements are amortized on a straight-line basis over the lesser of the estimated useful life of the asset or the lease term.</w:t>
      </w:r>
    </w:p>
    <w:p>
      <w:pPr>
        <w:spacing w:after="0" w:line="5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 xml:space="preserve">The Company purchases physical scanner appliances and other computer equipment that are provided to customers on a subscription basis. This equipment is recorded within property and equipment on the accompanying consolidated balance sheet, and the depreciation is recorded to cost of revenues over an estimated useful life of </w:t>
      </w:r>
      <w:r>
        <w:rPr>
          <w:rFonts w:ascii="Arial" w:cs="Arial" w:eastAsia="Arial" w:hAnsi="Arial"/>
          <w:sz w:val="18"/>
          <w:szCs w:val="18"/>
          <w:color w:val="000000"/>
        </w:rPr>
        <w:t>three</w:t>
      </w:r>
      <w:r>
        <w:rPr>
          <w:rFonts w:ascii="Arial" w:cs="Arial" w:eastAsia="Arial" w:hAnsi="Arial"/>
          <w:sz w:val="18"/>
          <w:szCs w:val="18"/>
          <w:color w:val="231F20"/>
        </w:rPr>
        <w:t xml:space="preserve"> years.</w:t>
      </w:r>
    </w:p>
    <w:p>
      <w:pPr>
        <w:spacing w:after="0" w:line="16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3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Leases</w:t>
      </w:r>
    </w:p>
    <w:p>
      <w:pPr>
        <w:spacing w:after="0" w:line="11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On certain of our operating lease agreements, the Company may receive rent free periods or escalating rent payments over the terms of the leases. The Company recognizes rent expense under these agreements on a straight-line basis over the term of the lease, starting when the Company takes possession of the property from the landlord. The Company records the difference between the recognized rent expense and the amounts payable under the lease as a short-term or long-term deferred rent liability. When the Company receives tenant allowances upon entering into certain leases, the Company records the allowances as an offset to short-term or long-term deferred rent liability and amortizes them using the straight-line method as a reduction to rent expense over the term of the lease.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Impairment of Long-Lived Assets</w:t>
      </w:r>
    </w:p>
    <w:p>
      <w:pPr>
        <w:spacing w:after="0" w:line="225" w:lineRule="exact"/>
        <w:rPr>
          <w:sz w:val="20"/>
          <w:szCs w:val="20"/>
          <w:color w:val="auto"/>
        </w:rPr>
      </w:pPr>
    </w:p>
    <w:p>
      <w:pPr>
        <w:jc w:val="both"/>
        <w:ind w:firstLine="162"/>
        <w:spacing w:after="0" w:line="260" w:lineRule="auto"/>
        <w:rPr>
          <w:sz w:val="20"/>
          <w:szCs w:val="20"/>
          <w:color w:val="auto"/>
        </w:rPr>
      </w:pPr>
      <w:r>
        <w:rPr>
          <w:rFonts w:ascii="Arial" w:cs="Arial" w:eastAsia="Arial" w:hAnsi="Arial"/>
          <w:sz w:val="18"/>
          <w:szCs w:val="18"/>
          <w:color w:val="231F20"/>
        </w:rPr>
        <w:t>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In each of 2018, 2017 and 2016, the Company had no impairment of long-lived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Goodwill and Intangible Assets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Goodwill represents the excess of the purchase price over the fair value of the net tangible and identifiable intangible assets acquired in a business combination and is not subject to amortization. Goodwill and other intangible assets with indefinite lives are not amortized, but tested for impairment annually or if certain circumstances indicate a possible impairment may exist. These tests are performed at the reporting unit level. The Company’s operations are organized as one reporting unit.</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In testing for a potential impairment of goodwill, the Company first performs a qualitative assessment of its reporting unit to determine if it is more likely than not (a more than 50% likelihood) that the fair value of the reporting unit is less than its carrying amount. If the fair value is not considered to be less than the carrying amount, no further evaluation is necessary. The Company performed the annual qualitative assessment for the year ended </w:t>
      </w:r>
      <w:r>
        <w:rPr>
          <w:rFonts w:ascii="Arial" w:cs="Arial" w:eastAsia="Arial" w:hAnsi="Arial"/>
          <w:sz w:val="18"/>
          <w:szCs w:val="18"/>
          <w:color w:val="000000"/>
        </w:rPr>
        <w:t>December 31, 2018</w:t>
      </w:r>
      <w:r>
        <w:rPr>
          <w:rFonts w:ascii="Arial" w:cs="Arial" w:eastAsia="Arial" w:hAnsi="Arial"/>
          <w:sz w:val="18"/>
          <w:szCs w:val="18"/>
          <w:color w:val="231F20"/>
        </w:rPr>
        <w:t xml:space="preserve"> and concluded there was no potential impairment of goodwill.</w:t>
      </w:r>
    </w:p>
    <w:p>
      <w:pPr>
        <w:spacing w:after="0" w:line="170"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In testing for a potential impairment of intangible assets with indefinite lives that are not subject to amortization, the Company first performs a qualitative assessment to determine if it is more likely than not (a more than 50% likelihood) that the fair value of the indefinite-lived intangible assets is less than the carrying amount. If the fair value is not considered to be less than the carrying amount, no further evaluation is necessary. The Company performs the annual qualitative assessment in the fourth quarter each fiscal year. There were no such impairment losses during 2018, 2017 or 2016.</w:t>
      </w:r>
    </w:p>
    <w:p>
      <w:pPr>
        <w:spacing w:after="0" w:line="17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If the qualitative assessment indicates there is more than a 50% likelihood that the fair value is less than the carrying amount of the reporting unit or the intangible asset, the Company would perform a two-step test. In the first step, the carrying value of the reporting unit or intangible asset is compared to its estimated fair value. If the estimated fair value is less than the carrying value, then potential impairment exists. In the second step, for goodwill, the Company calculates the amount of any impairment by determining the implied fair value of goodwill using a hypothetical purchase price allocation, similar to that which would be applied if it were an acquisition and the purchase price was equivalent to fair value as calculated in the first step. Impairment is equivalent to any excess of goodwill carrying value over its implied fair value. For indefinite-lived intangible assets, the Company performs the currently prescribed quantitative impairment test by comparing the fair value of the indefinite-lived intangible asset with its carrying value.</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Certain other intangible assets acquired are amortized over their estimated useful lives and tested for impairment if certain circumstances indicate an impairment may exist. The Company’s intangible assets are comprised primarily of existing technology, patent license, and non-competition agreements and are amortized over periods ranging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fourteen</w:t>
      </w:r>
      <w:r>
        <w:rPr>
          <w:rFonts w:ascii="Arial" w:cs="Arial" w:eastAsia="Arial" w:hAnsi="Arial"/>
          <w:sz w:val="18"/>
          <w:szCs w:val="18"/>
          <w:color w:val="231F20"/>
        </w:rPr>
        <w:t xml:space="preserve"> years on a straight-line basis. As of December 31, 2018, the Company has not written down any of these intangible assets as a result of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Internally Developed Software</w:t>
      </w:r>
    </w:p>
    <w:p>
      <w:pPr>
        <w:spacing w:after="0" w:line="225" w:lineRule="exact"/>
        <w:rPr>
          <w:sz w:val="20"/>
          <w:szCs w:val="20"/>
          <w:color w:val="auto"/>
        </w:rPr>
      </w:pPr>
    </w:p>
    <w:p>
      <w:pPr>
        <w:ind w:right="480" w:firstLine="405"/>
        <w:spacing w:after="0" w:line="292" w:lineRule="auto"/>
        <w:rPr>
          <w:sz w:val="20"/>
          <w:szCs w:val="20"/>
          <w:color w:val="auto"/>
        </w:rPr>
      </w:pPr>
      <w:r>
        <w:rPr>
          <w:rFonts w:ascii="Arial" w:cs="Arial" w:eastAsia="Arial" w:hAnsi="Arial"/>
          <w:sz w:val="18"/>
          <w:szCs w:val="18"/>
          <w:color w:val="231F20"/>
        </w:rPr>
        <w:t xml:space="preserve">Costs incurred in the development phase are capitalized and amortized over the product’s estimated useful life, which is three years. </w:t>
      </w:r>
      <w:r>
        <w:rPr>
          <w:rFonts w:ascii="Arial" w:cs="Arial" w:eastAsia="Arial" w:hAnsi="Arial"/>
          <w:sz w:val="18"/>
          <w:szCs w:val="18"/>
          <w:color w:val="000000"/>
        </w:rPr>
        <w:t>Capitalized costs include salaries, benefits, and stock-based compensation charges for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employees that are directly involved in developing its cloud security platform during the post </w:t>
      </w:r>
      <w:r>
        <w:rPr>
          <w:rFonts w:ascii="Arial" w:cs="Arial" w:eastAsia="Arial" w:hAnsi="Arial"/>
          <w:sz w:val="18"/>
          <w:szCs w:val="18"/>
          <w:color w:val="231F20"/>
        </w:rPr>
        <w:t>planning and implementation phases. Capitalized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231F20"/>
        </w:rPr>
        <w:t>costs related to internally developed software under development are treated as construction in progress until the program, feature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functionality is ready for its intended use, at which time amortization commences. </w:t>
      </w:r>
      <w:r>
        <w:rPr>
          <w:rFonts w:ascii="Arial" w:cs="Arial" w:eastAsia="Arial" w:hAnsi="Arial"/>
          <w:sz w:val="18"/>
          <w:szCs w:val="18"/>
          <w:color w:val="000000"/>
        </w:rPr>
        <w:t>These capitalized costs are included in other noncurrent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assets on the accompanying consolidated balance sheets. </w:t>
      </w:r>
      <w:r>
        <w:rPr>
          <w:rFonts w:ascii="Arial" w:cs="Arial" w:eastAsia="Arial" w:hAnsi="Arial"/>
          <w:sz w:val="18"/>
          <w:szCs w:val="18"/>
          <w:color w:val="231F20"/>
        </w:rPr>
        <w:t>For 2018, 2017 and 2016, the Company capitalized $1.3 million (of which $0.2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million was stock-based compensation), $0.4 million, and zero of costs related to internally developed software, respectively.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December 31, 2018 and 2017, unamortized internally developed software costs totaled $1.2 million and $0.3 million, respectively.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of internally developed software is reflected in cost of revenues. Costs associated with minor enhancements and maintenance are expensed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incurred. </w:t>
      </w:r>
      <w:r>
        <w:rPr>
          <w:rFonts w:ascii="Arial" w:cs="Arial" w:eastAsia="Arial" w:hAnsi="Arial"/>
          <w:sz w:val="18"/>
          <w:szCs w:val="18"/>
          <w:color w:val="000000"/>
        </w:rPr>
        <w:t>Management evaluates the useful lives of these assets on an annual basis and tests for impairment whenever events or changes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circumstances occur that could impact the recoverability of these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 Combinations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We apply the provisions of ASC 805, Business Combinations, in accounting for our acquisitions. It requires us to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we use our best estimates and assumptions to accurately value assets acquired and liabilities assumed at the acquisition date as well as any contingent consideration, where applicable,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2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The Company uses foreign currency forward contracts to mitigate the impact of foreign currency fluctuations of certain non-U.S. dollar denominated asset positions, to date primarily cash and accounts receivable (non-designated), as well as to manage foreign currency fluctuation risk related to forecasted transactions (designated). The Company accounts for these instruments as either non-designated or cash flow hedges, respectively. Open contracts are recorded within prepaid expenses and other current assets or accrued liabilities in the consolidated balance sheets. Gains and losses resulting from currency exchange rate movements on non-designated forward contracts are recognized in other income (expense). Any gains or losses from derivatives designated as cash flow hedges are first accumulated in other comprehensive income (AOCI) and then reclassified to revenue when the hedged item impacts the consolidated financial statements.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During the year ended December 31, 2018, the Company began a hedging strategy to reduce its exposure to foreign currency exchange rate fluctuations for forecasted subscription renewals and new orders in both GBP and Euro. </w:t>
      </w:r>
      <w:r>
        <w:rPr>
          <w:rFonts w:ascii="Arial" w:cs="Arial" w:eastAsia="Arial" w:hAnsi="Arial"/>
          <w:sz w:val="18"/>
          <w:szCs w:val="18"/>
          <w:color w:val="231F20"/>
        </w:rPr>
        <w:t>We use sell-forward currency contracts accounted</w:t>
      </w:r>
      <w:r>
        <w:rPr>
          <w:rFonts w:ascii="Arial" w:cs="Arial" w:eastAsia="Arial" w:hAnsi="Arial"/>
          <w:sz w:val="18"/>
          <w:szCs w:val="18"/>
          <w:color w:val="auto"/>
        </w:rPr>
        <w:t xml:space="preserve"> </w:t>
      </w:r>
      <w:r>
        <w:rPr>
          <w:rFonts w:ascii="Arial" w:cs="Arial" w:eastAsia="Arial" w:hAnsi="Arial"/>
          <w:sz w:val="18"/>
          <w:szCs w:val="18"/>
          <w:color w:val="231F20"/>
        </w:rPr>
        <w:t xml:space="preserve">for as cash flow hedges against a designated portion of forecasted </w:t>
      </w:r>
      <w:r>
        <w:rPr>
          <w:rFonts w:ascii="Arial" w:cs="Arial" w:eastAsia="Arial" w:hAnsi="Arial"/>
          <w:sz w:val="18"/>
          <w:szCs w:val="18"/>
          <w:color w:val="000000"/>
        </w:rPr>
        <w:t>subscription renewals and new orders</w:t>
      </w:r>
      <w:r>
        <w:rPr>
          <w:rFonts w:ascii="Arial" w:cs="Arial" w:eastAsia="Arial" w:hAnsi="Arial"/>
          <w:sz w:val="18"/>
          <w:szCs w:val="18"/>
          <w:color w:val="231F20"/>
        </w:rPr>
        <w:t xml:space="preserve">. </w:t>
      </w:r>
      <w:r>
        <w:rPr>
          <w:rFonts w:ascii="Arial" w:cs="Arial" w:eastAsia="Arial" w:hAnsi="Arial"/>
          <w:sz w:val="18"/>
          <w:szCs w:val="18"/>
          <w:color w:val="000000"/>
        </w:rPr>
        <w:t>Upon executing a hedging contract</w:t>
      </w:r>
      <w:r>
        <w:rPr>
          <w:rFonts w:ascii="Arial" w:cs="Arial" w:eastAsia="Arial" w:hAnsi="Arial"/>
          <w:sz w:val="18"/>
          <w:szCs w:val="18"/>
          <w:color w:val="231F20"/>
        </w:rPr>
        <w:t xml:space="preserve"> </w:t>
      </w:r>
      <w:r>
        <w:rPr>
          <w:rFonts w:ascii="Arial" w:cs="Arial" w:eastAsia="Arial" w:hAnsi="Arial"/>
          <w:sz w:val="18"/>
          <w:szCs w:val="18"/>
          <w:color w:val="000000"/>
        </w:rPr>
        <w:t>and quarterly thereafter, the Company assesses hedge effectiveness using regression analysis. The Company includes time value in its effectiveness testing and the entire change in the value of hedge contracts was recorded as unrealized gains or losses in accumulated other comprehensive income (AOCI) within stockholders’ equity on the Company's consolidated balance sheet as of December 31, 2018. The unrealized gains or losses in AOCI will be reclassified into revenue when the respective hedged transactions affect earnings. As of December 31, 2018, the amount of unrealized gains and losses related to the hedged forecasted transactions reported in AOCI that is expected to be reclassified into revenue within the next 12 months was not material.</w:t>
      </w:r>
    </w:p>
    <w:p>
      <w:pPr>
        <w:spacing w:after="0" w:line="18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cash flow effects of the Company's derivative contracts for the year ended December 31, 2018 were included within net cash provided by operating activities on its consolidated statements of cash flows. The Company had notional amounts on foreign currency exchange contracts designated as cash flow hedges outstanding of €12.9 million and £4.1 million as of December 31, 2018. The unrealized FX losses on these contracts were recorded in AOCI and are insignificant.</w:t>
      </w:r>
    </w:p>
    <w:p>
      <w:pPr>
        <w:spacing w:after="0" w:line="1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2018</w:t>
      </w:r>
      <w:r>
        <w:rPr>
          <w:rFonts w:ascii="Arial" w:cs="Arial" w:eastAsia="Arial" w:hAnsi="Arial"/>
          <w:sz w:val="18"/>
          <w:szCs w:val="18"/>
          <w:color w:val="231F20"/>
        </w:rPr>
        <w:t>, the Company had two outstanding non-designated forward contracts with notional amounts of € 16.0 million and £6.3 million, respectively, both with the expiry date of January 31, 2019</w:t>
      </w:r>
      <w:r>
        <w:rPr>
          <w:rFonts w:ascii="Arial" w:cs="Arial" w:eastAsia="Arial" w:hAnsi="Arial"/>
          <w:sz w:val="18"/>
          <w:szCs w:val="18"/>
          <w:color w:val="000000"/>
        </w:rPr>
        <w:t>.</w:t>
      </w:r>
      <w:r>
        <w:rPr>
          <w:rFonts w:ascii="Arial" w:cs="Arial" w:eastAsia="Arial" w:hAnsi="Arial"/>
          <w:sz w:val="18"/>
          <w:szCs w:val="18"/>
          <w:color w:val="231F20"/>
        </w:rPr>
        <w:t xml:space="preserve"> At </w:t>
      </w:r>
      <w:r>
        <w:rPr>
          <w:rFonts w:ascii="Arial" w:cs="Arial" w:eastAsia="Arial" w:hAnsi="Arial"/>
          <w:sz w:val="18"/>
          <w:szCs w:val="18"/>
          <w:color w:val="000000"/>
        </w:rPr>
        <w:t>December 31, 2017</w:t>
      </w:r>
      <w:r>
        <w:rPr>
          <w:rFonts w:ascii="Arial" w:cs="Arial" w:eastAsia="Arial" w:hAnsi="Arial"/>
          <w:sz w:val="18"/>
          <w:szCs w:val="18"/>
          <w:color w:val="231F20"/>
        </w:rPr>
        <w:t xml:space="preserve">, the Company had </w:t>
      </w:r>
      <w:r>
        <w:rPr>
          <w:rFonts w:ascii="Arial" w:cs="Arial" w:eastAsia="Arial" w:hAnsi="Arial"/>
          <w:sz w:val="18"/>
          <w:szCs w:val="18"/>
          <w:color w:val="000000"/>
        </w:rPr>
        <w:t>two non-designated</w:t>
      </w:r>
      <w:r>
        <w:rPr>
          <w:rFonts w:ascii="Arial" w:cs="Arial" w:eastAsia="Arial" w:hAnsi="Arial"/>
          <w:sz w:val="18"/>
          <w:szCs w:val="18"/>
          <w:color w:val="231F20"/>
        </w:rPr>
        <w:t xml:space="preserve"> outstanding forward contracts with notional amounts of €7.0 million and £4.8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million, which expired on January 31, 2018</w:t>
      </w:r>
      <w:r>
        <w:rPr>
          <w:rFonts w:ascii="Arial" w:cs="Arial" w:eastAsia="Arial" w:hAnsi="Arial"/>
          <w:sz w:val="18"/>
          <w:szCs w:val="18"/>
          <w:color w:val="000000"/>
        </w:rPr>
        <w:t>.</w:t>
      </w:r>
      <w:r>
        <w:rPr>
          <w:rFonts w:ascii="Arial" w:cs="Arial" w:eastAsia="Arial" w:hAnsi="Arial"/>
          <w:sz w:val="18"/>
          <w:szCs w:val="18"/>
          <w:color w:val="231F20"/>
        </w:rPr>
        <w:t xml:space="preserve"> These forward contracts had insignificant fair value at both December 31, 2018 and 2017. These derivatives were not designated as hedges. These instruments were valued using Level 2 inputs.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gains (losses) recognized from non-designated forward contracts and other foreign currency transactions: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r>
      <w:tr>
        <w:trPr>
          <w:trHeight w:val="264"/>
        </w:trPr>
        <w:tc>
          <w:tcPr>
            <w:tcW w:w="66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38"/>
        </w:trPr>
        <w:tc>
          <w:tcPr>
            <w:tcW w:w="6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gains (losses) from forward contracts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w:t>
            </w:r>
          </w:p>
        </w:tc>
      </w:tr>
      <w:tr>
        <w:trPr>
          <w:trHeight w:val="266"/>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foreign currency transaction (losses) gains</w:t>
            </w:r>
          </w:p>
        </w:tc>
        <w:tc>
          <w:tcPr>
            <w:tcW w:w="9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w:t>
            </w:r>
          </w:p>
        </w:tc>
      </w:tr>
      <w:tr>
        <w:trPr>
          <w:trHeight w:val="241"/>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foreign exchange loss, net</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recognizes the fair value of its employee stock options and restricted stock units (RSUs) over the requisite service period for those awards ultimately expected to vest. The fair value of each option is estimated on date of grant using the Black-Scholes-Merton option pricing model and the fair value of each restricted stock unit is based on the fair value of the Company's stock on the date of grant. Forfeitures are estimated on the date of grant and revised if actual or expected forfeiture activity differs materially from original estimates.</w:t>
      </w:r>
    </w:p>
    <w:p>
      <w:pPr>
        <w:spacing w:after="0" w:line="1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Option grants to non-employees are accounted for at the fair value of the equity instrument issued, as calculated using the Black-Scholes-Merton option-pricing model and the expense is recognized over the vesting periods of the options. The value of options granted to non-employees is re-measured as they vest over a performance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11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The Company derives revenues from subscriptions that require customers to pay a fee in order to access the Company’s cloud solutions. Customers generally enter into one year renewable subscriptions though some customers do enter into subscriptions with longer terms. The subscription fee entitles the customer to an unlimited number of scans for a specified number of networked devices or web applications and, if requested by a customer as part of their subscription, a specified number of physical or virtual scanner appliances. Revenue is recognized when control of these subscription services is transferred to our customers, in an amount that reflects the consideration we expect to be entitled to in exchange for those services.</w:t>
      </w:r>
    </w:p>
    <w:p>
      <w:pPr>
        <w:spacing w:after="0" w:line="6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 xml:space="preserve">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w:t>
      </w:r>
      <w:r>
        <w:rPr>
          <w:rFonts w:ascii="Arial" w:cs="Arial" w:eastAsia="Arial" w:hAnsi="Arial"/>
          <w:sz w:val="18"/>
          <w:szCs w:val="18"/>
          <w:color w:val="000000"/>
        </w:rPr>
        <w:t xml:space="preserve">In some limited cases, the Company also provides certain computer equipment used to extend its Qualys Cloud Platform into its customers’ private cloud environment. </w:t>
      </w:r>
      <w:r>
        <w:rPr>
          <w:rFonts w:ascii="Arial" w:cs="Arial" w:eastAsia="Arial" w:hAnsi="Arial"/>
          <w:sz w:val="18"/>
          <w:szCs w:val="18"/>
          <w:color w:val="231F20"/>
        </w:rPr>
        <w:t>Customers are required to return physical scanner appliances and computer equipment if they do not renew their</w:t>
      </w:r>
      <w:r>
        <w:rPr>
          <w:rFonts w:ascii="Arial" w:cs="Arial" w:eastAsia="Arial" w:hAnsi="Arial"/>
          <w:sz w:val="18"/>
          <w:szCs w:val="18"/>
          <w:color w:val="000000"/>
        </w:rPr>
        <w:t xml:space="preserve"> </w:t>
      </w:r>
      <w:r>
        <w:rPr>
          <w:rFonts w:ascii="Arial" w:cs="Arial" w:eastAsia="Arial" w:hAnsi="Arial"/>
          <w:sz w:val="18"/>
          <w:szCs w:val="18"/>
          <w:color w:val="231F20"/>
        </w:rPr>
        <w:t>subscriptions.Physical equipment (scanners and private cloud platforms) are accounted for as operating leases and revenue is recognized over the subscription term.</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We determine revenue recognition through the following steps:</w:t>
      </w:r>
    </w:p>
    <w:p>
      <w:pPr>
        <w:spacing w:after="0" w:line="104" w:lineRule="exact"/>
        <w:rPr>
          <w:sz w:val="20"/>
          <w:szCs w:val="20"/>
          <w:color w:val="auto"/>
        </w:rPr>
      </w:pPr>
    </w:p>
    <w:p>
      <w:pPr>
        <w:ind w:left="1040" w:hanging="316"/>
        <w:spacing w:after="0"/>
        <w:tabs>
          <w:tab w:leader="none" w:pos="10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Identification of the contract, or contracts, with a customer;</w:t>
      </w:r>
    </w:p>
    <w:p>
      <w:pPr>
        <w:spacing w:after="0" w:line="102"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Identification of the performance obligations in the contract;</w:t>
      </w:r>
    </w:p>
    <w:p>
      <w:pPr>
        <w:spacing w:after="0" w:line="102"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Determination of the transaction price;</w:t>
      </w:r>
    </w:p>
    <w:p>
      <w:pPr>
        <w:spacing w:after="0" w:line="102"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Allocation of the transaction price to the performance obligations in the contract; and</w:t>
      </w:r>
    </w:p>
    <w:p>
      <w:pPr>
        <w:spacing w:after="0" w:line="102"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Recognition of revenue when, or as, we satisfy a performance obligation.</w:t>
      </w:r>
    </w:p>
    <w:p>
      <w:pPr>
        <w:spacing w:after="0" w:line="35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At the inception of a customer contract, we make an assessment as to that customer's ability to pay for the services provided. We assess collectability based on a number of factors, including credit worthiness of the customer along with past transaction history. In addition, we perform periodic evaluations of our customers’ financial condition.</w:t>
      </w:r>
    </w:p>
    <w:p>
      <w:pPr>
        <w:spacing w:after="0" w:line="163"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auto"/>
        </w:rPr>
        <w:t>The Company recognizes revenues for certain limited scan arrangements, for which expiration dates can be extended, on an as-used basis.</w:t>
      </w:r>
    </w:p>
    <w:p>
      <w:pPr>
        <w:sectPr>
          <w:pgSz w:w="11900" w:h="16838" w:orient="portrait"/>
          <w:cols w:equalWidth="0" w:num="1">
            <w:col w:w="11420"/>
          </w:cols>
          <w:pgMar w:left="240" w:top="331" w:right="2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331"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Deferred revenues consist of customer contracts billed or cash received that will be recognized in the future under subscriptions existing at the balance sheet date. The current portion of deferred revenues represents amounts that are expected to be recognized within one year of the balance sheet date.</w:t>
      </w:r>
    </w:p>
    <w:p>
      <w:pPr>
        <w:spacing w:after="0" w:line="163"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Costs of shipping and handling charges incurred by the Company associated with physical scanner appliances and other computer equipment are included in cost of revenues.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Sales taxes and other taxes collected from customers to be remitted to government authorities are excluded from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Advertising Expenses</w:t>
      </w:r>
    </w:p>
    <w:p>
      <w:pPr>
        <w:spacing w:after="0" w:line="117"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 xml:space="preserve">Advertising costs are expensed as incurred and include costs of advertising and </w:t>
      </w:r>
      <w:r>
        <w:rPr>
          <w:rFonts w:ascii="Arial" w:cs="Arial" w:eastAsia="Arial" w:hAnsi="Arial"/>
          <w:sz w:val="18"/>
          <w:szCs w:val="18"/>
          <w:color w:val="000000"/>
        </w:rPr>
        <w:t>promotional</w:t>
      </w:r>
      <w:r>
        <w:rPr>
          <w:rFonts w:ascii="Arial" w:cs="Arial" w:eastAsia="Arial" w:hAnsi="Arial"/>
          <w:sz w:val="18"/>
          <w:szCs w:val="18"/>
          <w:color w:val="231F20"/>
        </w:rPr>
        <w:t xml:space="preserve"> materials. The Company incurred advertising costs of </w:t>
      </w:r>
      <w:r>
        <w:rPr>
          <w:rFonts w:ascii="Arial" w:cs="Arial" w:eastAsia="Arial" w:hAnsi="Arial"/>
          <w:sz w:val="18"/>
          <w:szCs w:val="18"/>
          <w:color w:val="000000"/>
        </w:rPr>
        <w:t>$87 thousand, $482 thousand and $124 thousand</w:t>
      </w:r>
      <w:r>
        <w:rPr>
          <w:rFonts w:ascii="Arial" w:cs="Arial" w:eastAsia="Arial" w:hAnsi="Arial"/>
          <w:sz w:val="18"/>
          <w:szCs w:val="18"/>
          <w:color w:val="231F20"/>
        </w:rPr>
        <w:t xml:space="preserve"> for </w:t>
      </w:r>
      <w:r>
        <w:rPr>
          <w:rFonts w:ascii="Arial" w:cs="Arial" w:eastAsia="Arial" w:hAnsi="Arial"/>
          <w:sz w:val="18"/>
          <w:szCs w:val="18"/>
          <w:color w:val="000000"/>
        </w:rPr>
        <w:t>2018, 2017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Income Taxes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The Company provides for the effect of income taxes in its consolidated financial statements using the asset and liability method which requires the recognition of deferred tax assets and liabilities for the expected future tax consequences of events that have been included in the consolidated financial statements. Under this method, deferred tax assets and liabilities are recognized for the future tax consequences attributable to differences between the financial statement carrying amounts of existing assets and liabilities and their respective tax bases, net operating loss carryovers,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w:t>
      </w:r>
    </w:p>
    <w:p>
      <w:pPr>
        <w:spacing w:after="0" w:line="17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Income tax expense or benefit is recognized for the amount of taxes payable or refundable for the current liabilities for the tax consequences of events that have been recognized in an entity’s financial statements or significant assumptions, judgments and estimates to determine its current provision (benefit) for income taxes, its deferred tax assets and liabilities, and any valuation allowance to be recorded against its deferred tax assets. The Company's judgments, assumptions and estimates relating to the current provision (benefit) for income taxes include the geographic mix and amount of income (loss), its possible outcomes of current and future audits conducted by foreign and domestic tax authorities. The anticipating the tax positions the Company will record in the consolidated financial statements before actually preparing and filing the tax returns. The Company's estimates and assumptions may differ from the actual results as reflected in its income tax required adjustments when they are identified or resolved. Changes in the Company's business, tax laws or laws, and developments in current and future tax audits, could significantly impact the amounts provided for income taxes in the Company's results of operations, financial position, or cash flows.</w:t>
      </w:r>
    </w:p>
    <w:p>
      <w:pPr>
        <w:spacing w:after="0" w:line="17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Deferred tax assets and liabilities are recognized for the estimated future tax consequences attributable to tax benefit carry-forwards and to differences between the financial statement amounts of assets and liabilities and their respective tax basis. The Company regularly reviews its deferred tax assets for recoverability and establishes a valuation allowance if it is more likely than not that assets will not be realized. To make this assessment, the Company takes into account predictions of the amount and category of taxable income from various sources and all available positive and negative evidence about these possible sources of taxable potential effect of negative and positive evidence is commensurate with the extent to which the strength of the evidence can be objectively verified.</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The Company applies a two-step approach to determining the financial statement recognition and measurement of uncertain tax positions. The Company only recognizes an income tax expense or benefit with respect to uncertain tax positions in its financial statements that the Company judges is more likely than not to be sustained solely on its technical merits in a tax audit, including resolution of any related appeals or litigation processes. To make this judgment, the Company must interpret complex and sometimes ambiguous tax laws, regulations and administrative practices. If an income tax position meets the more likely than not recognition threshold, then the Company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the Company to determine the probability of various possible settlement outcomes. To determine if a tax position is effectively settled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after a tax examination has been completed, the Company must also estimate the likelihood that another taxing authority could review the respective tax position. The Company must also determine when it is reasonably possible that the amount of unrecognized tax benefits will significantly increase or decrease in the 12 months after each fiscal year-end. These judgments are difficult because a taxing authority may change its behavior as a result of the Company's disclosures in its financial statements. The Company must reevaluate its income tax positions on a quarterly basis to consider factors such as changes in facts or circumstances, changes in tax law, effectively settled issues under audit, and new audit activity. Such a change in recognition or measurement would result in recognition of a tax benefit or an additional charge to the tax provision. The Company's policy is to recognize interest and penalties related to unrecognized tax benefits as a component of the provision for 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Comprehensive Income (Loss)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Other comprehensive income (loss) consists of unrealized gains (losses) on available-for-sale investments, net of tax, and derivative financial instruments including our hedging instruments designated as cash flow hedges which are not included in the Company’s net income. Total comprehensive income includes net income and other comprehensive income (loss) and is included in the consolidated statements of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Transactions</w:t>
      </w:r>
    </w:p>
    <w:p>
      <w:pPr>
        <w:spacing w:after="0" w:line="11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 xml:space="preserve">The Company’s operations are conducted in various countries around the world and the financial statements of its foreign subsidiaries are reported in the U.S. dollar as their respective functional currency. Monetary assets and liabilities denominated in foreign currencies have been re-measured into U.S. dollars using the exchange rates in effect at the balance sheet date, and income and expenses are re-measured at average exchange rates during the period. Foreign currency re-measurement gains and losses and foreign currency transaction gains and losses are recognized in other income (expense), net. The Company recorded total foreign currency transaction losses of </w:t>
      </w:r>
      <w:r>
        <w:rPr>
          <w:rFonts w:ascii="Arial" w:cs="Arial" w:eastAsia="Arial" w:hAnsi="Arial"/>
          <w:sz w:val="18"/>
          <w:szCs w:val="18"/>
          <w:color w:val="000000"/>
        </w:rPr>
        <w:t>$0.6 million</w:t>
      </w:r>
      <w:r>
        <w:rPr>
          <w:rFonts w:ascii="Arial" w:cs="Arial" w:eastAsia="Arial" w:hAnsi="Arial"/>
          <w:sz w:val="18"/>
          <w:szCs w:val="18"/>
          <w:color w:val="231F20"/>
        </w:rPr>
        <w:t xml:space="preserve">, $0.4 million and $0.8 million during </w:t>
      </w:r>
      <w:r>
        <w:rPr>
          <w:rFonts w:ascii="Arial" w:cs="Arial" w:eastAsia="Arial" w:hAnsi="Arial"/>
          <w:sz w:val="18"/>
          <w:szCs w:val="18"/>
          <w:color w:val="000000"/>
        </w:rPr>
        <w:t>2018</w:t>
      </w:r>
      <w:r>
        <w:rPr>
          <w:rFonts w:ascii="Times New Roman" w:cs="Times New Roman" w:eastAsia="Times New Roman" w:hAnsi="Times New Roman"/>
          <w:sz w:val="18"/>
          <w:szCs w:val="18"/>
          <w:color w:val="000000"/>
        </w:rPr>
        <w:t>,</w:t>
      </w:r>
      <w:r>
        <w:rPr>
          <w:rFonts w:ascii="Arial" w:cs="Arial" w:eastAsia="Arial" w:hAnsi="Arial"/>
          <w:sz w:val="18"/>
          <w:szCs w:val="18"/>
          <w:color w:val="231F20"/>
        </w:rPr>
        <w:t xml:space="preserve"> </w:t>
      </w:r>
      <w:r>
        <w:rPr>
          <w:rFonts w:ascii="Arial" w:cs="Arial" w:eastAsia="Arial" w:hAnsi="Arial"/>
          <w:sz w:val="18"/>
          <w:szCs w:val="18"/>
          <w:color w:val="000000"/>
        </w:rPr>
        <w:t>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Fair Value Measurements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 due to the relatively short maturity of these balances.</w:t>
      </w:r>
    </w:p>
    <w:p>
      <w:pPr>
        <w:spacing w:after="0" w:line="170"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63"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4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The Company's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w:t>
      </w:r>
      <w:r>
        <w:rPr>
          <w:rFonts w:ascii="Arial" w:cs="Arial" w:eastAsia="Arial" w:hAnsi="Arial"/>
          <w:sz w:val="18"/>
          <w:szCs w:val="18"/>
          <w:color w:val="000000"/>
        </w:rPr>
        <w:t xml:space="preserve"> </w:t>
      </w:r>
      <w:r>
        <w:rPr>
          <w:rFonts w:ascii="Arial" w:cs="Arial" w:eastAsia="Arial" w:hAnsi="Arial"/>
          <w:sz w:val="18"/>
          <w:szCs w:val="18"/>
          <w:color w:val="231F20"/>
        </w:rPr>
        <w:t>using observable inputs</w:t>
      </w:r>
      <w:r>
        <w:rPr>
          <w:rFonts w:ascii="Arial" w:cs="Arial" w:eastAsia="Arial" w:hAnsi="Arial"/>
          <w:sz w:val="18"/>
          <w:szCs w:val="18"/>
          <w:color w:val="000000"/>
        </w:rPr>
        <w:t>, including currency spot rates, forward points as well as interest rates and credit rates for discounting</w:t>
      </w:r>
      <w:r>
        <w:rPr>
          <w:rFonts w:ascii="Arial" w:cs="Arial" w:eastAsia="Arial" w:hAnsi="Arial"/>
          <w:sz w:val="18"/>
          <w:szCs w:val="18"/>
          <w:color w:val="231F20"/>
        </w:rPr>
        <w:t>. See Note 2 for more information regarding the fair value measurement of the Company's financial instruments.</w:t>
      </w:r>
    </w:p>
    <w:p>
      <w:pPr>
        <w:sectPr>
          <w:pgSz w:w="11900" w:h="16838" w:orient="portrait"/>
          <w:cols w:equalWidth="0" w:num="1">
            <w:col w:w="11420"/>
          </w:cols>
          <w:pgMar w:left="240" w:top="331"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331"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For the Company's capital leases, its fair value measurement is based on borrowing rates available to the Company for loans with similar terms and maturities, and in consideration of the Company’s credit risk profile, the carrying value of outstanding capital lease obligations (Note 7) approximates fair value (level 2 within the fair value hierarchy).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Income Per Share</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Basic net income per share is computed by dividing net income by the weighted-average number of common shares outstanding during the period. All participating securities are excluded from basic weighted average common shares outstanding. In computing diluted net income per share, undistributed earnings are reallocated to reflect the potential impact of dilutive securities. Diluted net income per share is computed by dividing net income by the weighted-average number of shares of common stock outstanding during the period, adjusted for the effects of potentially dilutive common shares, which are comprised of outstanding stock options</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The dilutive potential common shares are computed using the treasury stock method or the as-if converted method, as applicable. The effects of outstanding stock options are excluded from the computation of diluted net income per common share in periods in which the effect would be anti-dilutive.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The Company adopted Accounting Standards Codification ("ASC") 606 Revenue from Contracts with Customers with a date of initial application of January 1, 2018. The Company adopted ASC 606 using the modified retrospective method and recognized the cumulative effect of adoption as an adjustment to the opening balance of equity at January 1, 2018. Therefore, the comparative information from the prior period has not been adjusted and continues to be reported under ASC 605. The impact of adopting ASC 606 was related to the deferral of sales commission costs for new business and when customers increase their renewal orders (“upsells”). The Company previously expensed sales commissions as incurred. Under ASC 606, sales commissions cost related to new business and upsells are recorded as an asset. The Company amortizes the capitalized commission cost as a selling expense on a straight-line basis over a period of five years. Five years represents the estimated life of the customer relationship taking into account factors such as peer estimates of technology lives and customer lives as well as the Company's own historical data. Applying the practical expedient in ASC 340-40-25-4, the Company expenses commissions related to its contract renewals. The current and noncurrent portions of deferred commissions are included in prepaid expenses and other current assets, and other noncurrent assets, respectively, in its consolidated balance sheets.</w:t>
      </w:r>
    </w:p>
    <w:p>
      <w:pPr>
        <w:spacing w:after="0" w:line="1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On January 1, 2018, the Company recorded an increase to retained earnings of $2.7 million, which was the net cumulative impact associated with the capitalization of sales commissions. Additionally, the Company recorded a corresponding commission asset balance of $3.5 million and a related deferred tax liability of $0.8 million. There was no impact to the Company's revenues as a result of adopting ASC</w:t>
      </w:r>
    </w:p>
    <w:p>
      <w:pPr>
        <w:ind w:firstLine="8"/>
        <w:spacing w:after="0" w:line="266" w:lineRule="auto"/>
        <w:tabs>
          <w:tab w:leader="none" w:pos="418"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See Note 4, “Revenue from Contracts with Customers”, for additional information regarding the impact on the Company's consolidated financial statements.</w:t>
      </w:r>
    </w:p>
    <w:p>
      <w:pPr>
        <w:spacing w:after="0" w:line="16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In January 2016, the Financial Accounting Standards Board ("FASB") issued Accounting Standards Update ("ASU") 2016-01, Financial Instruments - Overall (Subtopic 825-10): Recognition and Measurement of Financial Assets and Financial Liabilities, which impacts certain aspects of recognition, measurement, presentation and disclosure of financial instruments. The ASU impacts the accounting for equity investments, financial liabilities under the fair value option, and the presentation and disclosure requirements for financial instruments. The Company adopted this ASU in its first quarter of 2018. The adoption of this ASU did not have a material impact on the Company's consolidated financial statements.</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In August 2016, the FASB issued ASU 2016-15, Classification of Certain Cash Receipts and Cash Payments (a consensus of the Emerging Issues Task Force), to provide guidance on the presentation of certain cash receipts and cash payments in the statement of cash flows in order to reduce diversity in existing practice. The Company adopted this ASU in its first quarter of 2018. The adoption of this ASU did not have a material impact on the Company's consolidated financial statements. In November 2016, the FASB issued ASU 2016-18, Statement of Cash Flows (Topic 230): Restricted Cash. The update provides guidance on the presentation of restricted cash or restricted cash equivalents in the statement of cash flows. The Company adopted this ASU retrospectively in its first quarter of 2018. The Company reclassified restricted cash of $1.2 million for each of the three years ended December 31, 2018, 2017 and 2016, in the consolidated statements of cash flows.</w:t>
      </w:r>
    </w:p>
    <w:p>
      <w:pPr>
        <w:spacing w:after="0" w:line="177"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231F20"/>
        </w:rPr>
        <w:t>In January 2017, the FASB issued ASU 2017-01, Business Combinations (Topic 805): Clarifying the Definition of a Business, which revises the definition of a business and provides new guidance in evaluating when a set of transferred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assets and activities is a business. The Company adopted this ASU prospectively in its first quarter of 2018. The adoption of this ASU did not have a material impact on the Company's consolidated financial statements.</w:t>
      </w:r>
    </w:p>
    <w:p>
      <w:pPr>
        <w:spacing w:after="0" w:line="14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In August 2017, the FASB issued ASU 2017-12, Derivatives and Hedging (Topic 815): Targeted Improvements to Accounting for Hedging Activities (Topic 815). This standard expands component and fair value hedging, specifies the presentation of the effects of hedging instruments, and eliminates the separate measurement and presentation of hedge ineffectiveness. The Company adopted ASU 2017-12 in the fourth quarter of 2018 and has concluded that the adoption had no impact on its consolidated financial statements.</w:t>
      </w:r>
    </w:p>
    <w:p>
      <w:pPr>
        <w:spacing w:after="0" w:line="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In February 2018, the FASB issued ASU 2018-02, Income Statement—Reporting Comprehensive Income (Topic 220): Reclassification of Certain Tax Effects from Accumulated Other Comprehensive Income (AOCI). This ASU eliminates the stranded tax effects in other comprehensive income resulting from the Tax Cuts and Jobs Act (the "2017 Tax Act”). Because the amendments only relate to the reclassification of the income tax effects of the 2017 Tax Act, the underlying guidance that requires that the effect of a change in tax laws or rates be included in income from continuing operations is not affected. ASU 2018-02 is effective for the Company beginning in the first quarter of fiscal 2019 and early adoption is permitted. The Company adopted ASU 2018-02 in the fourth quarter of 2018 and has concluded that the adoption had no impact on its consolidated financial statements.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Issued Accounting Pronouncements Not Yet Adopted</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February 2016, the FASB issued ASU 2016-02, Leases (Topic 842), which requires lessees to recognize all leases, including operating leases, on the balance sheet as a lease asset and lease liability, unless the lease is a short-term lease. ASU 2016-02 also requires additional disclosures regarding leasing arrangements. ASU 2016-02 is effective for the Company beginning in the first quarter of fiscal 2019 and early adoption is permitted. In July 2018, the FASB issued ASU 2018-11, Targeted Improvements - Leases (Topic 842). This update provides an optional transition method that allows entities to elect to apply the standard prospectively at its effective date, versus recasting the prior periods presented. In December 2018, the FASB issued ASU 2018-20, Narrow-Scope Improvements for Lessors - Leases (Topic 842). This update permits lessors, as an accounting policy election, to not evaluate whether certain sales taxes and other similar taxes are lessor costs or lessee costs. Instead, those lessors will account for those costs as if they are lessee costs. Pursuant to the leasing criteria, most of the Company's leased space and equipment leases will be required to be accounted for as right-of-use assets on the balance sheet with offsetting financing obligations. In the statement of operations, what was formerly rent expense for operating leases will be lease expense; and finance leases will be bifurcated into amortization of right-of-use assets and interest on lease liabilities. The Company plans to adopt the ASU utilizing the current period adjustment method on January 1, 2019 and to record approximately $37.6 million right-of-use assets and a $41.6 million lease liability on its consolidated balance sheet. The amount of the Company's deferred rent as of December 31, 2018 of $4.0 million will be removed upon adoption.</w:t>
      </w:r>
    </w:p>
    <w:p>
      <w:pPr>
        <w:spacing w:after="0" w:line="10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In January 2017, the FASB issued ASU 2017-04, Simplifying the Test for Goodwill Impairment (Topic 350). This standard eliminates Step 2 from the goodwill impairment test, instead requiring an entity to recognize a goodwill impairment charge for the amount by which the goodwill carrying amount exceeds the reporting unit’s fair value. This ASU is effective for interim and annual goodwill impairment tests in fiscal years beginning after December 15, 2019 with early adoption permitted. This ASU must be applied on a prospective basis. The adoption of this ASU is not expected to have a material impact on the Company's consolidated financial statements.</w:t>
      </w:r>
    </w:p>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In June 2018, the FASB issued ASU 2018-07, Compensation - Stock Compensation (Topic 718): Improvements to Nonemployee Share-Based Payment Accounting. This ASU expands the scope of Topic 718 to include share -based payment transactions for acquiring goods and services from nonemployees. ASU 2018-07 is effective for the Company beginning in the first quarter of fiscal 2019 and early adoption is permitted. The Company is currently evaluating the impact of this ASU on its consolidated financial statements.</w:t>
      </w:r>
    </w:p>
    <w:p>
      <w:pPr>
        <w:spacing w:after="0" w:line="8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In August 2018, the FASB issued ASU 2018-15, Intangibles - Goodwill and Other - Internal-Use Software (Subtopic 350-40): Customer's Accounting for Implementation Costs Incurred in a Cloud Computing Arrangement That Is a Service Contract. This ASU aligns the requirements for capitalizing implementation costs incurred in a hosting arrangement that is a service contract with the requirements for capitalizing implementation costs related to internal -use software. ASU 2018-15 is effective for the Company beginning in the first quarter of fiscal 2020 and early adoption is permitted. The Company is currently evaluating the impact of this ASU on its consolidated financial statements.</w:t>
      </w:r>
    </w:p>
    <w:p>
      <w:pPr>
        <w:spacing w:after="0" w:line="25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Fair Value of Financial Instruments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93"/>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40,913</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40,913</w:t>
            </w:r>
          </w:p>
        </w:tc>
      </w:tr>
      <w:tr>
        <w:trPr>
          <w:trHeight w:val="271"/>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41,026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41,026</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3,237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3,237</w:t>
            </w: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30,906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30,822</w:t>
            </w: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10,447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10,432</w:t>
            </w:r>
          </w:p>
        </w:tc>
      </w:tr>
      <w:tr>
        <w:trPr>
          <w:trHeight w:val="271"/>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203,734</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203,649</w:t>
            </w:r>
          </w:p>
        </w:tc>
      </w:tr>
      <w:tr>
        <w:trPr>
          <w:trHeight w:val="250"/>
        </w:trPr>
        <w:tc>
          <w:tcPr>
            <w:tcW w:w="51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248,324</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248,140</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22,945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22,927</w:t>
            </w: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18,804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18,751</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35,322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35,032</w:t>
            </w:r>
          </w:p>
        </w:tc>
      </w:tr>
      <w:tr>
        <w:trPr>
          <w:trHeight w:val="250"/>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77,071</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76,710</w:t>
            </w:r>
          </w:p>
        </w:tc>
      </w:tr>
      <w:tr>
        <w:trPr>
          <w:trHeight w:val="242"/>
        </w:trPr>
        <w:tc>
          <w:tcPr>
            <w:tcW w:w="5160" w:type="dxa"/>
            <w:vAlign w:val="bottom"/>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366,421</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365,876</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99"/>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3"/>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86,500</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86,500</w:t>
            </w:r>
          </w:p>
        </w:tc>
      </w:tr>
      <w:tr>
        <w:trPr>
          <w:trHeight w:val="271"/>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86,591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86,591</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12,623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12,620</w:t>
            </w: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38,425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38,362</w:t>
            </w:r>
          </w:p>
        </w:tc>
      </w:tr>
      <w:tr>
        <w:trPr>
          <w:trHeight w:val="264"/>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151,058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150,841</w:t>
            </w:r>
          </w:p>
        </w:tc>
      </w:tr>
      <w:tr>
        <w:trPr>
          <w:trHeight w:val="257"/>
        </w:trPr>
        <w:tc>
          <w:tcPr>
            <w:tcW w:w="51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202,106</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201,823</w:t>
            </w:r>
          </w:p>
        </w:tc>
      </w:tr>
      <w:tr>
        <w:trPr>
          <w:trHeight w:val="256"/>
        </w:trPr>
        <w:tc>
          <w:tcPr>
            <w:tcW w:w="51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4,986</w:t>
            </w: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24,269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24,215</w:t>
            </w:r>
          </w:p>
        </w:tc>
      </w:tr>
      <w:tr>
        <w:trPr>
          <w:trHeight w:val="271"/>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38,198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38,023</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67,465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67,224</w:t>
            </w:r>
          </w:p>
        </w:tc>
      </w:tr>
      <w:tr>
        <w:trPr>
          <w:trHeight w:val="242"/>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356,162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355,638</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60" w:firstLine="405"/>
        <w:spacing w:after="0" w:line="29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ectPr>
          <w:pgSz w:w="11900" w:h="16838" w:orient="portrait"/>
          <w:cols w:equalWidth="0" w:num="1">
            <w:col w:w="11420"/>
          </w:cols>
          <w:pgMar w:left="240" w:top="331" w:right="239" w:bottom="1440"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331"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2018</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222,400</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222,400</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65,854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65,854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33,359</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33,359</w:t>
            </w:r>
          </w:p>
        </w:tc>
      </w:tr>
      <w:tr>
        <w:trPr>
          <w:trHeight w:val="24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324,850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324,850</w:t>
            </w:r>
          </w:p>
        </w:tc>
      </w:tr>
      <w:tr>
        <w:trPr>
          <w:trHeight w:val="20"/>
        </w:trPr>
        <w:tc>
          <w:tcPr>
            <w:tcW w:w="5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99"/>
        </w:trPr>
        <w:tc>
          <w:tcPr>
            <w:tcW w:w="51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2017</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12,620</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12,620</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175,056</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175,056</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76,385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76,385</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4,986</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4,986</w:t>
            </w:r>
          </w:p>
        </w:tc>
      </w:tr>
      <w:tr>
        <w:trPr>
          <w:trHeight w:val="242"/>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269,047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269,047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93"/>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After One Year</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Mature within One</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through Two</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5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97"/>
              </w:rPr>
              <w:t>Year</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Years</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Over Two Years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203,649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18,751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222,400</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65,854</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29,026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4,333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33,359</w:t>
            </w:r>
          </w:p>
        </w:tc>
      </w:tr>
      <w:tr>
        <w:trPr>
          <w:trHeight w:val="242"/>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266,734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324,850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3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NOTE 3.</w:t>
            </w:r>
          </w:p>
        </w:tc>
        <w:tc>
          <w:tcPr>
            <w:tcW w:w="7340" w:type="dxa"/>
            <w:vAlign w:val="bottom"/>
          </w:tcPr>
          <w:p>
            <w:pPr>
              <w:ind w:left="280"/>
              <w:spacing w:after="0"/>
              <w:rPr>
                <w:sz w:val="20"/>
                <w:szCs w:val="20"/>
                <w:color w:val="auto"/>
              </w:rPr>
            </w:pPr>
            <w:r>
              <w:rPr>
                <w:rFonts w:ascii="Arial" w:cs="Arial" w:eastAsia="Arial" w:hAnsi="Arial"/>
                <w:sz w:val="18"/>
                <w:szCs w:val="18"/>
                <w:b w:val="1"/>
                <w:bCs w:val="1"/>
                <w:color w:val="auto"/>
              </w:rPr>
              <w:t>Property and Equipment, Net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38"/>
        </w:trPr>
        <w:tc>
          <w:tcPr>
            <w:tcW w:w="8360" w:type="dxa"/>
            <w:vAlign w:val="bottom"/>
            <w:gridSpan w:val="2"/>
          </w:tcPr>
          <w:p>
            <w:pPr>
              <w:ind w:left="420"/>
              <w:spacing w:after="0"/>
              <w:rPr>
                <w:sz w:val="20"/>
                <w:szCs w:val="20"/>
                <w:color w:val="auto"/>
              </w:rPr>
            </w:pPr>
            <w:r>
              <w:rPr>
                <w:rFonts w:ascii="Arial" w:cs="Arial" w:eastAsia="Arial" w:hAnsi="Arial"/>
                <w:sz w:val="18"/>
                <w:szCs w:val="18"/>
                <w:color w:val="231F20"/>
              </w:rPr>
              <w:t>Property and equipment consist of the following:</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7"/>
        </w:trPr>
        <w:tc>
          <w:tcPr>
            <w:tcW w:w="10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0"/>
        </w:trPr>
        <w:tc>
          <w:tcPr>
            <w:tcW w:w="10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74"/>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93,530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77,883</w:t>
            </w:r>
          </w:p>
        </w:tc>
      </w:tr>
      <w:tr>
        <w:trPr>
          <w:trHeight w:val="262"/>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Computer software</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26,030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20,447</w:t>
            </w:r>
          </w:p>
        </w:tc>
      </w:tr>
      <w:tr>
        <w:trPr>
          <w:trHeight w:val="278"/>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Scanner appliances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15,356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14,325</w:t>
            </w:r>
          </w:p>
        </w:tc>
      </w:tr>
      <w:tr>
        <w:trPr>
          <w:trHeight w:val="262"/>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Furniture, fixtures and equipment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5,814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5,075</w:t>
            </w:r>
          </w:p>
        </w:tc>
      </w:tr>
      <w:tr>
        <w:trPr>
          <w:trHeight w:val="278"/>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Equipment under capital lease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Leasehold improvements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16,439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16,067</w:t>
            </w:r>
          </w:p>
        </w:tc>
      </w:tr>
      <w:tr>
        <w:trPr>
          <w:trHeight w:val="257"/>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property and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160,672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133,797</w:t>
            </w:r>
          </w:p>
        </w:tc>
      </w:tr>
      <w:tr>
        <w:trPr>
          <w:trHeight w:val="26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(99,230)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(75,240)</w:t>
            </w:r>
          </w:p>
        </w:tc>
      </w:tr>
      <w:tr>
        <w:trPr>
          <w:trHeight w:val="242"/>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58,557</w:t>
            </w:r>
          </w:p>
        </w:tc>
      </w:tr>
      <w:tr>
        <w:trPr>
          <w:trHeight w:val="20"/>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auto"/>
        </w:rPr>
        <w:t>Physical scanner appliances and other computer equipment that are or will be subject to leases by customers have a net carrying value of $7.9 million and $6.8 million at December 31, 2018 and 2017, respectively, including assets that have not been placed in service of $1.8 million and $0.9 million, respectively. Other fixed assets not placed in service at December 31, 2018 and 2017 were $3.7 million and $9.6 million, respectively. Depreciation and amortization expense relating to property and equipment was $25.1 million, $19.9 million and 16.6 million for 2018, 2017 and 2016, respectively.</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November 20, 2017, the Company moved its headquarters office from Redwood City, California to Foster City, California. Due to the move, the Company incurred a loss of disposal of $0.2 million from abandoning the Redwood City office facilities. The gross amount of abandoned costs was $2.4 million with accumulated depreciation of $2.2 million and a net book value of $0.2 million. The loss was recognized in operating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Revenue from Contracts with Customers</w:t>
      </w:r>
    </w:p>
    <w:p>
      <w:pPr>
        <w:spacing w:after="0" w:line="22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On January 1, 2018, the Company adopted ASC 606 using the modified retrospective method applied to those contracts which were not completed as of that date. Results for reporting periods beginning after January 1, 2018 are presented under ASC 606, while prior period amounts are not adjusted and continue to be reported under the accounting standards in effect for the prior period. The Company implemented internal controls to enable the preparation of financial information on adoption. The impact of the standard on the Company's financial statements relates to the Company's accounting for sales commissions. The Company previously expensed sales commissions as incurred. Under ASC 606, the Company is required to capitalize certain contract acquisition costs consisting primarily of commissions paid related to new business and upsells. Applying the practical expedient in ASC 340-40-25-4, the Company expenses commissions related to its contract renewals.</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As a result of the adoption, the Company recorded an increase to retained earnings of </w:t>
      </w:r>
      <w:r>
        <w:rPr>
          <w:rFonts w:ascii="Arial" w:cs="Arial" w:eastAsia="Arial" w:hAnsi="Arial"/>
          <w:sz w:val="18"/>
          <w:szCs w:val="18"/>
          <w:color w:val="231F20"/>
        </w:rPr>
        <w:t>$2.7 million</w:t>
      </w:r>
      <w:r>
        <w:rPr>
          <w:rFonts w:ascii="Arial" w:cs="Arial" w:eastAsia="Arial" w:hAnsi="Arial"/>
          <w:sz w:val="18"/>
          <w:szCs w:val="18"/>
          <w:color w:val="auto"/>
        </w:rPr>
        <w:t xml:space="preserve"> as of January 1, 2018, which was the net cumulative impact associated with the capitalization of sales commissions. Additionally, the Company recorded a corresponding commission asset balance of </w:t>
      </w:r>
      <w:r>
        <w:rPr>
          <w:rFonts w:ascii="Arial" w:cs="Arial" w:eastAsia="Arial" w:hAnsi="Arial"/>
          <w:sz w:val="18"/>
          <w:szCs w:val="18"/>
          <w:color w:val="231F20"/>
        </w:rPr>
        <w:t>$3.5 million</w:t>
      </w:r>
      <w:r>
        <w:rPr>
          <w:rFonts w:ascii="Arial" w:cs="Arial" w:eastAsia="Arial" w:hAnsi="Arial"/>
          <w:sz w:val="18"/>
          <w:szCs w:val="18"/>
          <w:color w:val="auto"/>
        </w:rPr>
        <w:t xml:space="preserve"> and a related deferred tax liability of </w:t>
      </w:r>
      <w:r>
        <w:rPr>
          <w:rFonts w:ascii="Arial" w:cs="Arial" w:eastAsia="Arial" w:hAnsi="Arial"/>
          <w:sz w:val="18"/>
          <w:szCs w:val="18"/>
          <w:color w:val="231F20"/>
        </w:rPr>
        <w:t>$0.8 million</w:t>
      </w:r>
      <w:r>
        <w:rPr>
          <w:rFonts w:ascii="Arial" w:cs="Arial" w:eastAsia="Arial" w:hAnsi="Arial"/>
          <w:sz w:val="18"/>
          <w:szCs w:val="18"/>
          <w:color w:val="auto"/>
        </w:rPr>
        <w:t xml:space="preserve"> as of January 1, 2018. There was no impact to the Company's revenues as a result of adopting ASC 606.</w:t>
      </w:r>
    </w:p>
    <w:p>
      <w:pPr>
        <w:spacing w:after="0" w:line="170"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noncurrent assets, respectively, in its consolidated balance sheets. Applying the practical expedient in ASC 340-40-25-4, the Company expenses commissions related to its contract renewals that have a contract term of one year or less.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Capitalized costs to obtain contracts, current and noncurrent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Pr>
          <w:p>
            <w:pPr>
              <w:spacing w:after="0"/>
              <w:rPr>
                <w:sz w:val="20"/>
                <w:szCs w:val="20"/>
                <w:color w:val="auto"/>
              </w:rPr>
            </w:pPr>
          </w:p>
        </w:tc>
        <w:tc>
          <w:tcPr>
            <w:tcW w:w="170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1, 2018</w:t>
            </w:r>
          </w:p>
        </w:tc>
      </w:tr>
      <w:tr>
        <w:trPr>
          <w:trHeight w:val="254"/>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Commission asset, current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704</w:t>
            </w:r>
          </w:p>
        </w:tc>
      </w:tr>
      <w:tr>
        <w:trPr>
          <w:trHeight w:val="255"/>
        </w:trPr>
        <w:tc>
          <w:tcPr>
            <w:tcW w:w="7440" w:type="dxa"/>
            <w:vAlign w:val="bottom"/>
          </w:tcPr>
          <w:p>
            <w:pPr>
              <w:ind w:left="40"/>
              <w:spacing w:after="0"/>
              <w:rPr>
                <w:sz w:val="20"/>
                <w:szCs w:val="20"/>
                <w:color w:val="auto"/>
              </w:rPr>
            </w:pPr>
            <w:r>
              <w:rPr>
                <w:rFonts w:ascii="Arial" w:cs="Arial" w:eastAsia="Arial" w:hAnsi="Arial"/>
                <w:sz w:val="16"/>
                <w:szCs w:val="16"/>
                <w:color w:val="auto"/>
              </w:rPr>
              <w:t>Commission asset, noncurrent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4,692</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2,819</w:t>
            </w:r>
          </w:p>
        </w:tc>
      </w:tr>
    </w:tbl>
    <w:p>
      <w:pPr>
        <w:spacing w:after="0" w:line="209"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color w:val="auto"/>
        </w:rPr>
        <w:t>For the year ended December 31, 2018, the Company recognized $1.2 million of commission expense from amortization of its commission assets. During the same period, there was no impairment loss related to the capitalized costs.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liabilities (deferred revenue) balances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December 31, 2018</w:t>
            </w: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264"/>
        </w:trPr>
        <w:tc>
          <w:tcPr>
            <w:tcW w:w="47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ASC 606</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Operating Leases</w:t>
            </w:r>
          </w:p>
        </w:tc>
        <w:tc>
          <w:tcPr>
            <w:tcW w:w="500" w:type="dxa"/>
            <w:vAlign w:val="bottom"/>
          </w:tcPr>
          <w:p>
            <w:pPr>
              <w:spacing w:after="0"/>
              <w:rPr>
                <w:sz w:val="22"/>
                <w:szCs w:val="22"/>
                <w:color w:val="auto"/>
              </w:rPr>
            </w:pPr>
          </w:p>
        </w:tc>
        <w:tc>
          <w:tcPr>
            <w:tcW w:w="1660" w:type="dxa"/>
            <w:vAlign w:val="bottom"/>
          </w:tcPr>
          <w:p>
            <w:pPr>
              <w:jc w:val="right"/>
              <w:ind w:right="819"/>
              <w:spacing w:after="0"/>
              <w:rPr>
                <w:sz w:val="20"/>
                <w:szCs w:val="20"/>
                <w:color w:val="auto"/>
              </w:rPr>
            </w:pPr>
            <w:r>
              <w:rPr>
                <w:rFonts w:ascii="Arial" w:cs="Arial" w:eastAsia="Arial" w:hAnsi="Arial"/>
                <w:sz w:val="16"/>
                <w:szCs w:val="16"/>
                <w:b w:val="1"/>
                <w:bCs w:val="1"/>
                <w:color w:val="auto"/>
              </w:rPr>
              <w:t>Total</w:t>
            </w:r>
          </w:p>
        </w:tc>
      </w:tr>
      <w:tr>
        <w:trPr>
          <w:trHeight w:val="254"/>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w:t>
            </w:r>
          </w:p>
        </w:tc>
        <w:tc>
          <w:tcPr>
            <w:tcW w:w="1460" w:type="dxa"/>
            <w:vAlign w:val="bottom"/>
            <w:tcBorders>
              <w:top w:val="single" w:sz="8" w:color="auto"/>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152,204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12,420</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164,624</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revenue, noncurrent</w:t>
            </w:r>
          </w:p>
        </w:tc>
        <w:tc>
          <w:tcPr>
            <w:tcW w:w="14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18,286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20,423</w:t>
            </w:r>
          </w:p>
        </w:tc>
      </w:tr>
      <w:tr>
        <w:trPr>
          <w:trHeight w:val="242"/>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170,490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14,557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185,047</w:t>
            </w:r>
          </w:p>
        </w:tc>
      </w:tr>
      <w:tr>
        <w:trPr>
          <w:trHeight w:val="20"/>
        </w:trPr>
        <w:tc>
          <w:tcPr>
            <w:tcW w:w="47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January 1, 2018</w:t>
            </w: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264"/>
        </w:trPr>
        <w:tc>
          <w:tcPr>
            <w:tcW w:w="47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ASC 606</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Operating Leases</w:t>
            </w:r>
          </w:p>
        </w:tc>
        <w:tc>
          <w:tcPr>
            <w:tcW w:w="500" w:type="dxa"/>
            <w:vAlign w:val="bottom"/>
          </w:tcPr>
          <w:p>
            <w:pPr>
              <w:spacing w:after="0"/>
              <w:rPr>
                <w:sz w:val="22"/>
                <w:szCs w:val="22"/>
                <w:color w:val="auto"/>
              </w:rPr>
            </w:pPr>
          </w:p>
        </w:tc>
        <w:tc>
          <w:tcPr>
            <w:tcW w:w="1660" w:type="dxa"/>
            <w:vAlign w:val="bottom"/>
          </w:tcPr>
          <w:p>
            <w:pPr>
              <w:jc w:val="right"/>
              <w:ind w:right="819"/>
              <w:spacing w:after="0"/>
              <w:rPr>
                <w:sz w:val="20"/>
                <w:szCs w:val="20"/>
                <w:color w:val="auto"/>
              </w:rPr>
            </w:pPr>
            <w:r>
              <w:rPr>
                <w:rFonts w:ascii="Arial" w:cs="Arial" w:eastAsia="Arial" w:hAnsi="Arial"/>
                <w:sz w:val="16"/>
                <w:szCs w:val="16"/>
                <w:b w:val="1"/>
                <w:bCs w:val="1"/>
                <w:color w:val="auto"/>
              </w:rPr>
              <w:t>Total</w:t>
            </w:r>
          </w:p>
        </w:tc>
      </w:tr>
      <w:tr>
        <w:trPr>
          <w:trHeight w:val="254"/>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w:t>
            </w:r>
          </w:p>
        </w:tc>
        <w:tc>
          <w:tcPr>
            <w:tcW w:w="1460" w:type="dxa"/>
            <w:vAlign w:val="bottom"/>
            <w:tcBorders>
              <w:top w:val="single" w:sz="8" w:color="auto"/>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130,579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12,607</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143,186</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revenue, noncurrent</w:t>
            </w:r>
          </w:p>
        </w:tc>
        <w:tc>
          <w:tcPr>
            <w:tcW w:w="14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17,136</w:t>
            </w:r>
          </w:p>
        </w:tc>
      </w:tr>
      <w:tr>
        <w:trPr>
          <w:trHeight w:val="242"/>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145,998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160,322</w:t>
            </w:r>
          </w:p>
        </w:tc>
      </w:tr>
      <w:tr>
        <w:trPr>
          <w:trHeight w:val="20"/>
        </w:trPr>
        <w:tc>
          <w:tcPr>
            <w:tcW w:w="47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The increase in the Company's deferred revenue balances is primarily driven by cash payments received or due in advance of satisfying the Company's performance obligations, offset by revenue recognized in the period. The Company recognized $141.3 million and $112.7 million of subscription revenue during the year ended December 31, 2018 and December 31, 2017, respectively, for amount that were included in the deferred revenue balance as of December 31, 2017 and December 31, 2016, respectively.</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performance obligation is typically satisfied ratably over the subscription term as its cloud-based offerings are delivered to customers electronically and over time. In addition, the Company recognizes revenues for certain limited scan arrangements on an as-used basis. The Company recognizes revenue related to the professional services based on time and materials or completion of milestones stated in the contracts.</w:t>
      </w:r>
    </w:p>
    <w:p>
      <w:pPr>
        <w:spacing w:after="0" w:line="18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the vast majority of the company’s offerings are subscription based, the company rarely needs to allocate the transaction price to all separate performance obligations. For contracts that include scanners and PCPs, the company recognizes revenue in proportion to the standalone selling prices ("SSP") of the underlying services at contract inception. If a SSP is not directly observable, the Company determines the SSP using information that may include market conditions and other observable inputs. The Company typically has more than one SSP for individual products and services due to the stratification of those products and services by customers and circumstances. In these instances, the Company may use information such as the size of the customer and volume purchased in determining the SSP. The Company's transaction prices typically do not include variable consideration and are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fixed amount for a specific period of time, and the majority of contracts are twelve months with certain customers signing longer term deals. In general, the Company does not offer rights of return, performance bonuses, customer loyalty programs, payments via non-cash methods, refunds, volume rebates, incentive payments, penalties, price concessions or payments or discounts contingent on future events. Consideration is fixed at the time of the contract, and governed by the price list to which that particular customer is subject. The Company’s customer and partner-specific pricing is negotiated and agreed upon via individual customer contracts. In some of its contracts, the Company incorporates tiered pricing based on the number of IP addresses the customer can scan. As customers are required to purchase larger quantities to qualify for the lower-priced tiers, the Company does not grant its customers any material rights. When customers increase their purchased quantities, the Company accounts for the additional purchased quantities and related price change prospectively as the pricing does not impact subscription services</w:t>
      </w:r>
    </w:p>
    <w:p>
      <w:pPr>
        <w:sectPr>
          <w:pgSz w:w="11900" w:h="16838" w:orient="portrait"/>
          <w:cols w:equalWidth="0" w:num="1">
            <w:col w:w="11420"/>
          </w:cols>
          <w:pgMar w:left="240" w:top="331" w:right="2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331"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previously provided. Physical equipment (scanners and private cloud platforms) are accounted for as operating leases and revenue is recognized over the subscription term.</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20"/>
                <w:szCs w:val="20"/>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1, 2018</w:t>
            </w:r>
          </w:p>
        </w:tc>
      </w:tr>
      <w:tr>
        <w:trPr>
          <w:trHeight w:val="254"/>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ASC 606 receivables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71,387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60,984</w:t>
            </w:r>
          </w:p>
        </w:tc>
      </w:tr>
      <w:tr>
        <w:trPr>
          <w:trHeight w:val="262"/>
        </w:trPr>
        <w:tc>
          <w:tcPr>
            <w:tcW w:w="7420" w:type="dxa"/>
            <w:vAlign w:val="bottom"/>
          </w:tcPr>
          <w:p>
            <w:pPr>
              <w:ind w:left="20"/>
              <w:spacing w:after="0"/>
              <w:rPr>
                <w:sz w:val="20"/>
                <w:szCs w:val="20"/>
                <w:color w:val="auto"/>
              </w:rPr>
            </w:pPr>
            <w:r>
              <w:rPr>
                <w:rFonts w:ascii="Arial" w:cs="Arial" w:eastAsia="Arial" w:hAnsi="Arial"/>
                <w:sz w:val="16"/>
                <w:szCs w:val="16"/>
                <w:color w:val="auto"/>
              </w:rPr>
              <w:t>Operating lease receivables</w:t>
            </w:r>
          </w:p>
        </w:tc>
        <w:tc>
          <w:tcPr>
            <w:tcW w:w="20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5,121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4,244</w:t>
            </w:r>
          </w:p>
        </w:tc>
      </w:tr>
      <w:tr>
        <w:trPr>
          <w:trHeight w:val="271"/>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allowance for doubtful accounts</w:t>
            </w:r>
          </w:p>
        </w:tc>
        <w:tc>
          <w:tcPr>
            <w:tcW w:w="20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r>
      <w:tr>
        <w:trPr>
          <w:trHeight w:val="242"/>
        </w:trPr>
        <w:tc>
          <w:tcPr>
            <w:tcW w:w="7420" w:type="dxa"/>
            <w:vAlign w:val="bottom"/>
          </w:tcPr>
          <w:p>
            <w:pPr>
              <w:ind w:left="20"/>
              <w:spacing w:after="0"/>
              <w:rPr>
                <w:sz w:val="20"/>
                <w:szCs w:val="20"/>
                <w:color w:val="auto"/>
              </w:rPr>
            </w:pPr>
            <w:r>
              <w:rPr>
                <w:rFonts w:ascii="Arial" w:cs="Arial" w:eastAsia="Arial" w:hAnsi="Arial"/>
                <w:sz w:val="16"/>
                <w:szCs w:val="16"/>
                <w:color w:val="auto"/>
              </w:rPr>
              <w:t>Total accounts receivable,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75,825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64,412</w:t>
            </w: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The term between invoicing and when payment is due is not significant. For certain products or services and customer types, the Company requires payment before the products or services are delivered to the customer.</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expected revenue from all remaining performance obligations as of December 31, 2018 (in thousands):</w:t>
      </w:r>
    </w:p>
    <w:p>
      <w:pPr>
        <w:spacing w:after="0" w:line="390"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Operating Lease Expected</w:t>
            </w:r>
          </w:p>
        </w:tc>
        <w:tc>
          <w:tcPr>
            <w:tcW w:w="26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32"/>
        </w:trPr>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2"/>
          </w:tcPr>
          <w:p>
            <w:pPr>
              <w:ind w:left="80"/>
              <w:spacing w:after="0"/>
              <w:rPr>
                <w:sz w:val="20"/>
                <w:szCs w:val="20"/>
                <w:color w:val="auto"/>
              </w:rPr>
            </w:pPr>
            <w:r>
              <w:rPr>
                <w:rFonts w:ascii="Arial" w:cs="Arial" w:eastAsia="Arial" w:hAnsi="Arial"/>
                <w:sz w:val="16"/>
                <w:szCs w:val="16"/>
                <w:b w:val="1"/>
                <w:bCs w:val="1"/>
                <w:color w:val="auto"/>
              </w:rPr>
              <w:t>ASC 606 Expected Revenue</w:t>
            </w:r>
          </w:p>
        </w:tc>
        <w:tc>
          <w:tcPr>
            <w:tcW w:w="220" w:type="dxa"/>
            <w:vAlign w:val="bottom"/>
          </w:tcPr>
          <w:p>
            <w:pPr>
              <w:spacing w:after="0"/>
              <w:rPr>
                <w:sz w:val="20"/>
                <w:szCs w:val="20"/>
                <w:color w:val="auto"/>
              </w:rPr>
            </w:pPr>
          </w:p>
        </w:tc>
        <w:tc>
          <w:tcPr>
            <w:tcW w:w="2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0"/>
                <w:szCs w:val="20"/>
                <w:color w:val="auto"/>
              </w:rPr>
            </w:pPr>
          </w:p>
        </w:tc>
        <w:tc>
          <w:tcPr>
            <w:tcW w:w="242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 Expected Revenue</w:t>
            </w:r>
          </w:p>
        </w:tc>
      </w:tr>
      <w:tr>
        <w:trPr>
          <w:trHeight w:val="254"/>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46,682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5,067</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51,749</w:t>
            </w:r>
          </w:p>
        </w:tc>
      </w:tr>
      <w:tr>
        <w:trPr>
          <w:trHeight w:val="262"/>
        </w:trPr>
        <w:tc>
          <w:tcPr>
            <w:tcW w:w="2940" w:type="dxa"/>
            <w:vAlign w:val="bottom"/>
          </w:tcPr>
          <w:p>
            <w:pPr>
              <w:ind w:left="20"/>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22"/>
                <w:szCs w:val="22"/>
                <w:color w:val="auto"/>
              </w:rPr>
            </w:pPr>
          </w:p>
        </w:tc>
        <w:tc>
          <w:tcPr>
            <w:tcW w:w="2500" w:type="dxa"/>
            <w:vAlign w:val="bottom"/>
          </w:tcPr>
          <w:p>
            <w:pPr>
              <w:jc w:val="right"/>
              <w:ind w:right="39"/>
              <w:spacing w:after="0"/>
              <w:rPr>
                <w:sz w:val="20"/>
                <w:szCs w:val="20"/>
                <w:color w:val="auto"/>
              </w:rPr>
            </w:pPr>
            <w:r>
              <w:rPr>
                <w:rFonts w:ascii="Arial" w:cs="Arial" w:eastAsia="Arial" w:hAnsi="Arial"/>
                <w:sz w:val="16"/>
                <w:szCs w:val="16"/>
                <w:color w:val="auto"/>
              </w:rPr>
              <w:t>24,608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60" w:type="dxa"/>
            <w:vAlign w:val="bottom"/>
          </w:tcPr>
          <w:p>
            <w:pPr>
              <w:jc w:val="right"/>
              <w:ind w:right="19"/>
              <w:spacing w:after="0"/>
              <w:rPr>
                <w:sz w:val="20"/>
                <w:szCs w:val="20"/>
                <w:color w:val="auto"/>
              </w:rPr>
            </w:pPr>
            <w:r>
              <w:rPr>
                <w:rFonts w:ascii="Arial" w:cs="Arial" w:eastAsia="Arial" w:hAnsi="Arial"/>
                <w:sz w:val="16"/>
                <w:szCs w:val="16"/>
                <w:color w:val="auto"/>
              </w:rPr>
              <w:t>2,194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20" w:type="dxa"/>
            <w:vAlign w:val="bottom"/>
          </w:tcPr>
          <w:p>
            <w:pPr>
              <w:jc w:val="right"/>
              <w:ind w:right="19"/>
              <w:spacing w:after="0"/>
              <w:rPr>
                <w:sz w:val="20"/>
                <w:szCs w:val="20"/>
                <w:color w:val="auto"/>
              </w:rPr>
            </w:pPr>
            <w:r>
              <w:rPr>
                <w:rFonts w:ascii="Arial" w:cs="Arial" w:eastAsia="Arial" w:hAnsi="Arial"/>
                <w:sz w:val="16"/>
                <w:szCs w:val="16"/>
                <w:color w:val="auto"/>
              </w:rPr>
              <w:t>26,802</w:t>
            </w:r>
          </w:p>
        </w:tc>
      </w:tr>
      <w:tr>
        <w:trPr>
          <w:trHeight w:val="27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spacing w:after="0"/>
              <w:rPr>
                <w:sz w:val="24"/>
                <w:szCs w:val="24"/>
                <w:color w:val="auto"/>
              </w:rPr>
            </w:pPr>
          </w:p>
        </w:tc>
        <w:tc>
          <w:tcPr>
            <w:tcW w:w="2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11,801</w:t>
            </w:r>
          </w:p>
        </w:tc>
      </w:tr>
      <w:tr>
        <w:trPr>
          <w:trHeight w:val="262"/>
        </w:trPr>
        <w:tc>
          <w:tcPr>
            <w:tcW w:w="294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22"/>
                <w:szCs w:val="22"/>
                <w:color w:val="auto"/>
              </w:rPr>
            </w:pPr>
          </w:p>
        </w:tc>
        <w:tc>
          <w:tcPr>
            <w:tcW w:w="2500" w:type="dxa"/>
            <w:vAlign w:val="bottom"/>
          </w:tcPr>
          <w:p>
            <w:pPr>
              <w:jc w:val="right"/>
              <w:ind w:right="39"/>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6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20" w:type="dxa"/>
            <w:vAlign w:val="bottom"/>
          </w:tcPr>
          <w:p>
            <w:pPr>
              <w:jc w:val="right"/>
              <w:ind w:right="19"/>
              <w:spacing w:after="0"/>
              <w:rPr>
                <w:sz w:val="20"/>
                <w:szCs w:val="20"/>
                <w:color w:val="auto"/>
              </w:rPr>
            </w:pPr>
            <w:r>
              <w:rPr>
                <w:rFonts w:ascii="Arial" w:cs="Arial" w:eastAsia="Arial" w:hAnsi="Arial"/>
                <w:sz w:val="16"/>
                <w:szCs w:val="16"/>
                <w:color w:val="auto"/>
              </w:rPr>
              <w:t>1,150</w:t>
            </w:r>
          </w:p>
        </w:tc>
      </w:tr>
      <w:tr>
        <w:trPr>
          <w:trHeight w:val="27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24"/>
                <w:szCs w:val="24"/>
                <w:color w:val="auto"/>
              </w:rPr>
            </w:pPr>
          </w:p>
        </w:tc>
        <w:tc>
          <w:tcPr>
            <w:tcW w:w="2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r>
      <w:tr>
        <w:trPr>
          <w:trHeight w:val="264"/>
        </w:trPr>
        <w:tc>
          <w:tcPr>
            <w:tcW w:w="2940" w:type="dxa"/>
            <w:vAlign w:val="bottom"/>
          </w:tcPr>
          <w:p>
            <w:pPr>
              <w:ind w:left="20"/>
              <w:spacing w:after="0"/>
              <w:rPr>
                <w:sz w:val="20"/>
                <w:szCs w:val="20"/>
                <w:color w:val="auto"/>
              </w:rPr>
            </w:pPr>
            <w:r>
              <w:rPr>
                <w:rFonts w:ascii="Arial" w:cs="Arial" w:eastAsia="Arial" w:hAnsi="Arial"/>
                <w:sz w:val="16"/>
                <w:szCs w:val="16"/>
                <w:color w:val="auto"/>
              </w:rPr>
              <w:t>2024 and thereafter</w:t>
            </w:r>
          </w:p>
        </w:tc>
        <w:tc>
          <w:tcPr>
            <w:tcW w:w="200" w:type="dxa"/>
            <w:vAlign w:val="bottom"/>
          </w:tcPr>
          <w:p>
            <w:pPr>
              <w:spacing w:after="0"/>
              <w:rPr>
                <w:sz w:val="22"/>
                <w:szCs w:val="22"/>
                <w:color w:val="auto"/>
              </w:rPr>
            </w:pPr>
          </w:p>
        </w:tc>
        <w:tc>
          <w:tcPr>
            <w:tcW w:w="25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242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42"/>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91,879</w:t>
            </w:r>
          </w:p>
        </w:tc>
      </w:tr>
      <w:tr>
        <w:trPr>
          <w:trHeight w:val="20"/>
        </w:trPr>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auto"/>
        </w:rPr>
        <w:t>Revenues allocated to remaining performance obligations represents contracted revenues that have not yet been recognized, which include deferred revenue from open contracts and the amounts that will be invoiced and recognized as revenues in future periods. Remaining performance obligations represent the transaction price of firm orders for which service has not been performed and excludes unexercised renewals. The Company applied the short-term contract exemption to exclude the remaining performance obligations that are part of a contract that has an original expected duration of one year or less.</w:t>
      </w:r>
    </w:p>
    <w:p>
      <w:pPr>
        <w:spacing w:after="0" w:line="175" w:lineRule="exact"/>
        <w:rPr>
          <w:sz w:val="20"/>
          <w:szCs w:val="20"/>
          <w:color w:val="auto"/>
        </w:rPr>
      </w:pPr>
    </w:p>
    <w:p>
      <w:pPr>
        <w:jc w:val="both"/>
        <w:ind w:right="20" w:firstLine="486"/>
        <w:spacing w:after="0" w:line="271"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concluded our contracts did not contain a financing component.</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sales channel are as follows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Year Ended December 31, 2018</w:t>
            </w:r>
          </w:p>
        </w:tc>
        <w:tc>
          <w:tcPr>
            <w:tcW w:w="4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r>
      <w:tr>
        <w:trPr>
          <w:trHeight w:val="264"/>
        </w:trPr>
        <w:tc>
          <w:tcPr>
            <w:tcW w:w="3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80" w:type="dxa"/>
            <w:vAlign w:val="bottom"/>
            <w:gridSpan w:val="2"/>
          </w:tcPr>
          <w:p>
            <w:pPr>
              <w:ind w:left="260"/>
              <w:spacing w:after="0"/>
              <w:rPr>
                <w:sz w:val="20"/>
                <w:szCs w:val="20"/>
                <w:color w:val="auto"/>
              </w:rPr>
            </w:pPr>
            <w:r>
              <w:rPr>
                <w:rFonts w:ascii="Arial" w:cs="Arial" w:eastAsia="Arial" w:hAnsi="Arial"/>
                <w:sz w:val="16"/>
                <w:szCs w:val="16"/>
                <w:b w:val="1"/>
                <w:bCs w:val="1"/>
                <w:color w:val="auto"/>
              </w:rPr>
              <w:t>ASC 606 Revenue</w:t>
            </w:r>
          </w:p>
        </w:tc>
        <w:tc>
          <w:tcPr>
            <w:tcW w:w="120" w:type="dxa"/>
            <w:vAlign w:val="bottom"/>
          </w:tcPr>
          <w:p>
            <w:pPr>
              <w:spacing w:after="0"/>
              <w:rPr>
                <w:sz w:val="22"/>
                <w:szCs w:val="22"/>
                <w:color w:val="auto"/>
              </w:rPr>
            </w:pPr>
          </w:p>
        </w:tc>
        <w:tc>
          <w:tcPr>
            <w:tcW w:w="2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Operating Lease Revenue</w:t>
            </w:r>
          </w:p>
        </w:tc>
        <w:tc>
          <w:tcPr>
            <w:tcW w:w="440" w:type="dxa"/>
            <w:vAlign w:val="bottom"/>
          </w:tcPr>
          <w:p>
            <w:pPr>
              <w:spacing w:after="0"/>
              <w:rPr>
                <w:sz w:val="22"/>
                <w:szCs w:val="22"/>
                <w:color w:val="auto"/>
              </w:rPr>
            </w:pPr>
          </w:p>
        </w:tc>
        <w:tc>
          <w:tcPr>
            <w:tcW w:w="2180" w:type="dxa"/>
            <w:vAlign w:val="bottom"/>
          </w:tcPr>
          <w:p>
            <w:pPr>
              <w:jc w:val="right"/>
              <w:ind w:right="679"/>
              <w:spacing w:after="0"/>
              <w:rPr>
                <w:sz w:val="20"/>
                <w:szCs w:val="20"/>
                <w:color w:val="auto"/>
              </w:rPr>
            </w:pPr>
            <w:r>
              <w:rPr>
                <w:rFonts w:ascii="Arial" w:cs="Arial" w:eastAsia="Arial" w:hAnsi="Arial"/>
                <w:sz w:val="16"/>
                <w:szCs w:val="16"/>
                <w:b w:val="1"/>
                <w:bCs w:val="1"/>
                <w:color w:val="auto"/>
              </w:rPr>
              <w:t>Total Revenue</w:t>
            </w:r>
          </w:p>
        </w:tc>
      </w:tr>
      <w:tr>
        <w:trPr>
          <w:trHeight w:val="254"/>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2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148,310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15,774</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164,084</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Partner</w:t>
            </w:r>
          </w:p>
        </w:tc>
        <w:tc>
          <w:tcPr>
            <w:tcW w:w="3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106,816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7,989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114,805</w:t>
            </w:r>
          </w:p>
        </w:tc>
      </w:tr>
      <w:tr>
        <w:trPr>
          <w:trHeight w:val="26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2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255,126</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23,763</w:t>
            </w:r>
          </w:p>
        </w:tc>
        <w:tc>
          <w:tcPr>
            <w:tcW w:w="1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278,889</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Prior periods have not been adjusted under the modified retrospective method.</w:t>
      </w:r>
    </w:p>
    <w:p>
      <w:pPr>
        <w:sectPr>
          <w:pgSz w:w="11900" w:h="16838" w:orient="portrait"/>
          <w:cols w:equalWidth="0" w:num="1">
            <w:col w:w="11420"/>
          </w:cols>
          <w:pgMar w:left="240" w:top="331"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331"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40" w:type="dxa"/>
        <w:tblCellMar>
          <w:top w:w="0" w:type="dxa"/>
          <w:left w:w="0" w:type="dxa"/>
          <w:bottom w:w="0" w:type="dxa"/>
          <w:right w:w="0" w:type="dxa"/>
        </w:tblCellMar>
      </w:tblPr>
      <w:tr>
        <w:trPr>
          <w:trHeight w:val="232"/>
        </w:trPr>
        <w:tc>
          <w:tcPr>
            <w:tcW w:w="3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Year Ended December 31, 2017</w:t>
            </w:r>
          </w:p>
        </w:tc>
        <w:tc>
          <w:tcPr>
            <w:tcW w:w="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r>
      <w:tr>
        <w:trPr>
          <w:trHeight w:val="264"/>
        </w:trPr>
        <w:tc>
          <w:tcPr>
            <w:tcW w:w="3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20" w:type="dxa"/>
            <w:vAlign w:val="bottom"/>
            <w:gridSpan w:val="2"/>
          </w:tcPr>
          <w:p>
            <w:pPr>
              <w:ind w:left="240"/>
              <w:spacing w:after="0"/>
              <w:rPr>
                <w:sz w:val="20"/>
                <w:szCs w:val="20"/>
                <w:color w:val="auto"/>
              </w:rPr>
            </w:pPr>
            <w:r>
              <w:rPr>
                <w:rFonts w:ascii="Arial" w:cs="Arial" w:eastAsia="Arial" w:hAnsi="Arial"/>
                <w:sz w:val="16"/>
                <w:szCs w:val="16"/>
                <w:b w:val="1"/>
                <w:bCs w:val="1"/>
                <w:color w:val="auto"/>
              </w:rPr>
              <w:t>ASC 605 Revenue</w:t>
            </w:r>
          </w:p>
        </w:tc>
        <w:tc>
          <w:tcPr>
            <w:tcW w:w="200" w:type="dxa"/>
            <w:vAlign w:val="bottom"/>
          </w:tcPr>
          <w:p>
            <w:pPr>
              <w:spacing w:after="0"/>
              <w:rPr>
                <w:sz w:val="22"/>
                <w:szCs w:val="22"/>
                <w:color w:val="auto"/>
              </w:rPr>
            </w:pPr>
          </w:p>
        </w:tc>
        <w:tc>
          <w:tcPr>
            <w:tcW w:w="2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Operating Lease Revenue</w:t>
            </w:r>
          </w:p>
        </w:tc>
        <w:tc>
          <w:tcPr>
            <w:tcW w:w="420" w:type="dxa"/>
            <w:vAlign w:val="bottom"/>
          </w:tcPr>
          <w:p>
            <w:pPr>
              <w:spacing w:after="0"/>
              <w:rPr>
                <w:sz w:val="22"/>
                <w:szCs w:val="22"/>
                <w:color w:val="auto"/>
              </w:rPr>
            </w:pPr>
          </w:p>
        </w:tc>
        <w:tc>
          <w:tcPr>
            <w:tcW w:w="2140" w:type="dxa"/>
            <w:vAlign w:val="bottom"/>
          </w:tcPr>
          <w:p>
            <w:pPr>
              <w:jc w:val="right"/>
              <w:ind w:right="659"/>
              <w:spacing w:after="0"/>
              <w:rPr>
                <w:sz w:val="20"/>
                <w:szCs w:val="20"/>
                <w:color w:val="auto"/>
              </w:rPr>
            </w:pPr>
            <w:r>
              <w:rPr>
                <w:rFonts w:ascii="Arial" w:cs="Arial" w:eastAsia="Arial" w:hAnsi="Arial"/>
                <w:sz w:val="16"/>
                <w:szCs w:val="16"/>
                <w:b w:val="1"/>
                <w:bCs w:val="1"/>
                <w:color w:val="auto"/>
              </w:rPr>
              <w:t>Total Revenue</w:t>
            </w:r>
          </w:p>
        </w:tc>
      </w:tr>
      <w:tr>
        <w:trPr>
          <w:trHeight w:val="254"/>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124,355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3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15,484</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2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139,839</w:t>
            </w:r>
          </w:p>
        </w:tc>
      </w:tr>
      <w:tr>
        <w:trPr>
          <w:trHeight w:val="264"/>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Partner</w:t>
            </w:r>
          </w:p>
        </w:tc>
        <w:tc>
          <w:tcPr>
            <w:tcW w:w="3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84,370</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90,989</w:t>
            </w:r>
          </w:p>
        </w:tc>
      </w:tr>
      <w:tr>
        <w:trPr>
          <w:trHeight w:val="264"/>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208,725</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22,103</w:t>
            </w:r>
          </w:p>
        </w:tc>
        <w:tc>
          <w:tcPr>
            <w:tcW w:w="1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230,828</w:t>
            </w:r>
          </w:p>
        </w:tc>
      </w:tr>
    </w:tbl>
    <w:p>
      <w:pPr>
        <w:spacing w:after="0" w:line="200" w:lineRule="exact"/>
        <w:rPr>
          <w:sz w:val="20"/>
          <w:szCs w:val="20"/>
          <w:color w:val="auto"/>
        </w:rPr>
      </w:pPr>
    </w:p>
    <w:p>
      <w:pPr>
        <w:spacing w:after="0" w:line="29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11, "Segment Information and Information about Geographic Area" for disaggregation of revenue by geographic area.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Business Combinations</w:t>
      </w:r>
    </w:p>
    <w:p>
      <w:pPr>
        <w:spacing w:after="0" w:line="22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October 16, 2018, the Company completed the acquisition of Layered Insight ("Layered Insight"), a pioneer and global leader in container native application protection, providing accurate insight into container images, adaptive analysis of running containers, and automated enforcement of the container environment. Total consideration related to the acquisition was $13.4 million, of which $1.6 million is payable in the future subject to terms and conditions of the purchase agreement. All consideration is payable in cash. The Company also agreed to pay up to an additional $4.0 million if the acquired business achieves certain revenue milestones for the annual period ending December 31, 2019. The estimated fair value of these milestone payments was determined based on management’s estimate of fair value using a Monte Carlo simulation model, which uses Level 3 inputs for fair value measurements. This contingent consideration was included in the component of the purchase price and has been recorded as accrued liabilities in the accompanying consolidated balance sheet as of December 31, 2018 for $1.5 million. In addition to the prior milestone, shareholders of Layered Insight will receive $4.0 million in future payments if certain key employees continue their employment with the Company through December 31, 2019. The second milestone is being accounted for as post combinations services and is being expensed into our consolidated statement of income. The Company accounted for this acquisition as a business combination and allocated $9.6 million of the purchase price to technology-based intangible assets and $5.4 million to goodwill. The acquired intangible asset relating to Layered Insight's developed technology is being amortized over the estimated useful life of approximately four years. Goodwill arising from the Layered Insight acquisition is not deductible for tax purposes.</w:t>
      </w:r>
    </w:p>
    <w:p>
      <w:pPr>
        <w:spacing w:after="0" w:line="18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On April 1, 2018, the Company acquired the assets of 1Mobility Private Limited ("1Mobility"), a Singapore-based company. The acquisition allows the Company to provide enterprises of all sizes with the ability to create and continuously update an inventory of mobile devices on all versions of Android, iOS and Windows Mobile in their environment; and to continuously assess their security and compliance posture, while quarantining devices that are compromised or out-of-compliance. Total purchase consideration was $4.0 million, of which $0.6 million is payable in the future subject to terms and conditions of the purchase agreement. The Company accounted for this transaction as a business combination and allocated $ 3.7 million of the purchase price to technology-based intangible assets and $0.3 million to goodwill. The acquired intangible assets relating to 1Mobility's developed technology are being amortized over the estimated useful lives of approximately four years. Goodwill arising from the 1Mobility acquisition is deductible for tax purposes over 15 years.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allocation of the consideration for business combinations completed in 2018 is summarized as follows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3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Net Tangible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Assets Acquired/</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6"/>
                <w:szCs w:val="16"/>
                <w:b w:val="1"/>
                <w:bCs w:val="1"/>
                <w:color w:val="auto"/>
              </w:rPr>
              <w:t>Purchase</w:t>
            </w: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Purchased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17"/>
              <w:spacing w:after="0"/>
              <w:rPr>
                <w:sz w:val="20"/>
                <w:szCs w:val="20"/>
                <w:color w:val="auto"/>
              </w:rPr>
            </w:pPr>
            <w:r>
              <w:rPr>
                <w:rFonts w:ascii="Arial" w:cs="Arial" w:eastAsia="Arial" w:hAnsi="Arial"/>
                <w:sz w:val="16"/>
                <w:szCs w:val="16"/>
                <w:b w:val="1"/>
                <w:bCs w:val="1"/>
                <w:color w:val="auto"/>
              </w:rPr>
              <w:t>Deferred Tax</w:t>
            </w:r>
          </w:p>
        </w:tc>
      </w:tr>
      <w:tr>
        <w:trPr>
          <w:trHeight w:val="23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Acquiree</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Consideration</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assumed)</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Intangible Assets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Goodwill</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Liability</w:t>
            </w:r>
          </w:p>
        </w:tc>
      </w:tr>
      <w:tr>
        <w:trPr>
          <w:trHeight w:val="254"/>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1Mobility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w:t>
            </w:r>
          </w:p>
        </w:tc>
      </w:tr>
      <w:tr>
        <w:trPr>
          <w:trHeight w:val="255"/>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Layered Insight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13,434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9,600</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5,376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r>
    </w:tbl>
    <w:p>
      <w:pPr>
        <w:spacing w:after="0" w:line="20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2017, the Company purchased certain assets of Nevis Networks (India) Private Limited (“Nevis”) and Defensative, LLC (NetWatcher). The Nevis acquisition accelerates the Company's development of network security solutions for detection and awareness of external intrusions to computer networks. The NetWatcher acquisition expands the Company's threat protection and management capabilities and adds new offerings to managed security service providers. Total purchase consideration related to the Company’s business combinations was $5.8 million in cash for Nevis, and $7.7 million for NetWatcher of which $1.0 million is payable in the future subject to terms and conditions of the purchase agreement. Total cash paid in the business combinations completed during 2017 was $12.5 million. Pro forma financial information for these acquisitions have not been presented because they are not material to our consolidated financial statements, either individually or in aggregate.</w:t>
      </w:r>
    </w:p>
    <w:p>
      <w:pPr>
        <w:spacing w:after="0" w:line="16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In connection with the NetWatcher acquisition, certain founders of NetWatcher will receive future payments with continued employment at their one year and two-year anniversaries with the Company. These future payments are being recorded as employee compensation expense ratably over the two-year period.</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accounted for the acquisition of certain assets of Nevis and Netwatcher as business combinations.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allocation of the consideration for business combinations completed in the year of 2017 is summarized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Net Tangible</w:t>
            </w: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Assets Acquired/</w:t>
            </w: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Purchased Intangible</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Acquiree</w:t>
            </w:r>
          </w:p>
        </w:tc>
        <w:tc>
          <w:tcPr>
            <w:tcW w:w="12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Purchase Consideration</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(liabilities assumed)</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Goodwill</w:t>
            </w:r>
          </w:p>
        </w:tc>
      </w:tr>
      <w:tr>
        <w:trPr>
          <w:trHeight w:val="254"/>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Nevis</w:t>
            </w: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5,156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r>
      <w:tr>
        <w:trPr>
          <w:trHeight w:val="264"/>
        </w:trPr>
        <w:tc>
          <w:tcPr>
            <w:tcW w:w="3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NetWatcher</w:t>
            </w:r>
          </w:p>
        </w:tc>
        <w:tc>
          <w:tcPr>
            <w:tcW w:w="7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649</w:t>
            </w:r>
          </w:p>
        </w:tc>
      </w:tr>
      <w:tr>
        <w:trPr>
          <w:trHeight w:val="242"/>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1,232</w:t>
            </w: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color w:val="auto"/>
        </w:rPr>
        <w:t>Purchased intangible assets represent the estimated fair value of purchased technology from our acquisitions of Nevis and NetWatcher. The excess of purchase consideration over the fair value of net tangible and identifiable intangible assets acquired was recorded as goodwill. Goodwill generated from these acquisitions was primarily related to the acquired workforce, expected improvements in technology performance and additional product functionality. The fair values assigned to tangible assets acquired and identifiable intangible assets are based on management's estimates and assumptions. The intangible assets have an estimated useful life of 5 years. Goodwill is deductible for tax purposes over 15 years.</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January 10, 2019, the Company acquired certain assets of Adya, Inc. ("Adya"), a Delaware corporation. Adya’s technology expands the Company's solutions to help customers administer their critical SaaS applications from one console, save costs on SaaS licenses, set and enforce security policies in one place, and report and audit on all activity with a single tool. The purchase consideration related to the acquisition was $1 million in cash, in addition to $0.2 million and $0.6 million that is payable in the future subject to terms and conditions of the purchase agreement. The acquisition will be accounted for as an asset purchase.</w:t>
      </w:r>
    </w:p>
    <w:p>
      <w:pPr>
        <w:spacing w:after="0" w:line="33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Goodwill and Intangible Assets, Net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firstLine="405"/>
        <w:spacing w:after="0" w:line="292" w:lineRule="auto"/>
        <w:rPr>
          <w:sz w:val="20"/>
          <w:szCs w:val="20"/>
          <w:color w:val="auto"/>
        </w:rPr>
      </w:pPr>
      <w:r>
        <w:rPr>
          <w:rFonts w:ascii="Arial" w:cs="Arial" w:eastAsia="Arial" w:hAnsi="Arial"/>
          <w:sz w:val="18"/>
          <w:szCs w:val="18"/>
          <w:color w:val="231F20"/>
        </w:rPr>
        <w:t>Intangible assets consist primarily of developed technology and patent licenses in business combinations. Acquired intangibles are amortized on a straight-line basis over the respective estimated useful lives of the assets.</w:t>
      </w:r>
    </w:p>
    <w:p>
      <w:pPr>
        <w:spacing w:after="0" w:line="145" w:lineRule="exact"/>
        <w:rPr>
          <w:sz w:val="20"/>
          <w:szCs w:val="20"/>
          <w:color w:val="auto"/>
        </w:rPr>
      </w:pPr>
    </w:p>
    <w:p>
      <w:pPr>
        <w:ind w:firstLine="405"/>
        <w:spacing w:after="0" w:line="292" w:lineRule="auto"/>
        <w:rPr>
          <w:sz w:val="20"/>
          <w:szCs w:val="20"/>
          <w:color w:val="auto"/>
        </w:rPr>
      </w:pPr>
      <w:r>
        <w:rPr>
          <w:rFonts w:ascii="Arial" w:cs="Arial" w:eastAsia="Arial" w:hAnsi="Arial"/>
          <w:sz w:val="18"/>
          <w:szCs w:val="18"/>
          <w:color w:val="231F20"/>
        </w:rPr>
        <w:t>During the year ended December 31, 2018, the Company acquired 1Mobility and Layered Insight. These acquisitions resulted in an increase of developed technology intangible assets of $3.7 million and $9.6 million, respectively.</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carrying values of intangible assets as of December 31, 2018 are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5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20" w:lineRule="exact"/>
              <w:rPr>
                <w:sz w:val="20"/>
                <w:szCs w:val="20"/>
                <w:color w:val="auto"/>
              </w:rPr>
            </w:pPr>
            <w:r>
              <w:rPr>
                <w:rFonts w:ascii="Arial" w:cs="Arial" w:eastAsia="Arial" w:hAnsi="Arial"/>
                <w:sz w:val="13"/>
                <w:szCs w:val="13"/>
                <w:b w:val="1"/>
                <w:bCs w:val="1"/>
                <w:color w:val="auto"/>
                <w:w w:val="95"/>
              </w:rPr>
              <w:t>Weighted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Accumulated</w:t>
            </w: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Remaining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243"/>
              <w:spacing w:after="0"/>
              <w:rPr>
                <w:sz w:val="20"/>
                <w:szCs w:val="20"/>
                <w:color w:val="auto"/>
              </w:rPr>
            </w:pPr>
            <w:r>
              <w:rPr>
                <w:rFonts w:ascii="Arial" w:cs="Arial" w:eastAsia="Arial" w:hAnsi="Arial"/>
                <w:sz w:val="13"/>
                <w:szCs w:val="13"/>
                <w:b w:val="1"/>
                <w:bCs w:val="1"/>
                <w:color w:val="auto"/>
              </w:rPr>
              <w:t>Cost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20" w:type="dxa"/>
            <w:vAlign w:val="bottom"/>
            <w:gridSpan w:val="2"/>
            <w:vMerge w:val="restart"/>
          </w:tcPr>
          <w:p>
            <w:pPr>
              <w:jc w:val="right"/>
              <w:ind w:right="19"/>
              <w:spacing w:after="0"/>
              <w:rPr>
                <w:sz w:val="20"/>
                <w:szCs w:val="20"/>
                <w:color w:val="auto"/>
              </w:rPr>
            </w:pPr>
            <w:r>
              <w:rPr>
                <w:rFonts w:ascii="Arial" w:cs="Arial" w:eastAsia="Arial" w:hAnsi="Arial"/>
                <w:sz w:val="13"/>
                <w:szCs w:val="13"/>
                <w:b w:val="1"/>
                <w:bCs w:val="1"/>
                <w:color w:val="auto"/>
              </w:rPr>
              <w:t>Net Book Value</w:t>
            </w:r>
          </w:p>
        </w:tc>
        <w:tc>
          <w:tcPr>
            <w:tcW w:w="0" w:type="dxa"/>
            <w:vAlign w:val="bottom"/>
          </w:tcPr>
          <w:p>
            <w:pPr>
              <w:spacing w:after="0"/>
              <w:rPr>
                <w:sz w:val="1"/>
                <w:szCs w:val="1"/>
                <w:color w:val="auto"/>
              </w:rPr>
            </w:pPr>
          </w:p>
        </w:tc>
      </w:tr>
      <w:tr>
        <w:trPr>
          <w:trHeight w:val="182"/>
        </w:trPr>
        <w:tc>
          <w:tcPr>
            <w:tcW w:w="5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7"/>
              </w:rPr>
              <w:t>Average Lives</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Average Lives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7"/>
              <w:spacing w:after="0"/>
              <w:rPr>
                <w:sz w:val="20"/>
                <w:szCs w:val="20"/>
                <w:color w:val="auto"/>
              </w:rPr>
            </w:pPr>
            <w:r>
              <w:rPr>
                <w:rFonts w:ascii="Arial" w:cs="Arial" w:eastAsia="Arial" w:hAnsi="Arial"/>
                <w:sz w:val="13"/>
                <w:szCs w:val="13"/>
                <w:b w:val="1"/>
                <w:bCs w:val="1"/>
                <w:color w:val="auto"/>
                <w:w w:val="95"/>
              </w:rPr>
              <w:t>Amortization</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 years</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4 years</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25,456</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21,371</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14 years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6 years</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42"/>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intangibles subject to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26,843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21,936</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18"/>
        </w:trPr>
        <w:tc>
          <w:tcPr>
            <w:tcW w:w="54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5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1000" w:type="dxa"/>
            <w:vAlign w:val="bottom"/>
            <w:gridSpan w:val="2"/>
          </w:tcPr>
          <w:p>
            <w:pPr>
              <w:jc w:val="center"/>
              <w:spacing w:after="0" w:line="120" w:lineRule="exact"/>
              <w:rPr>
                <w:sz w:val="20"/>
                <w:szCs w:val="20"/>
                <w:color w:val="auto"/>
              </w:rPr>
            </w:pPr>
            <w:r>
              <w:rPr>
                <w:rFonts w:ascii="Arial" w:cs="Arial" w:eastAsia="Arial" w:hAnsi="Arial"/>
                <w:sz w:val="13"/>
                <w:szCs w:val="13"/>
                <w:b w:val="1"/>
                <w:bCs w:val="1"/>
                <w:color w:val="auto"/>
                <w:w w:val="95"/>
              </w:rPr>
              <w:t>Weighted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Remaining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20" w:type="dxa"/>
            <w:vAlign w:val="bottom"/>
            <w:gridSpan w:val="2"/>
            <w:vMerge w:val="restart"/>
          </w:tcPr>
          <w:p>
            <w:pPr>
              <w:jc w:val="right"/>
              <w:ind w:right="19"/>
              <w:spacing w:after="0"/>
              <w:rPr>
                <w:sz w:val="20"/>
                <w:szCs w:val="20"/>
                <w:color w:val="auto"/>
              </w:rPr>
            </w:pPr>
            <w:r>
              <w:rPr>
                <w:rFonts w:ascii="Arial" w:cs="Arial" w:eastAsia="Arial" w:hAnsi="Arial"/>
                <w:sz w:val="13"/>
                <w:szCs w:val="13"/>
                <w:b w:val="1"/>
                <w:bCs w:val="1"/>
                <w:color w:val="auto"/>
              </w:rPr>
              <w:t>Net Book Value</w:t>
            </w:r>
          </w:p>
        </w:tc>
        <w:tc>
          <w:tcPr>
            <w:tcW w:w="0" w:type="dxa"/>
            <w:vAlign w:val="bottom"/>
          </w:tcPr>
          <w:p>
            <w:pPr>
              <w:spacing w:after="0"/>
              <w:rPr>
                <w:sz w:val="1"/>
                <w:szCs w:val="1"/>
                <w:color w:val="auto"/>
              </w:rPr>
            </w:pPr>
          </w:p>
        </w:tc>
      </w:tr>
      <w:tr>
        <w:trPr>
          <w:trHeight w:val="182"/>
        </w:trPr>
        <w:tc>
          <w:tcPr>
            <w:tcW w:w="5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Average Lives</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Average Lives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 years</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14,067</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11,696</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14 years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7 years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42"/>
        </w:trPr>
        <w:tc>
          <w:tcPr>
            <w:tcW w:w="5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intangibles subject to amortization</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15,455</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12,361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18"/>
        </w:trPr>
        <w:tc>
          <w:tcPr>
            <w:tcW w:w="54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12,401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Intangible assets amortization expense was </w:t>
      </w:r>
      <w:r>
        <w:rPr>
          <w:rFonts w:ascii="Arial" w:cs="Arial" w:eastAsia="Arial" w:hAnsi="Arial"/>
          <w:sz w:val="18"/>
          <w:szCs w:val="18"/>
          <w:color w:val="000000"/>
        </w:rPr>
        <w:t>$3.7 million and $0.7 million for 2018 and 2017, respectively.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2018</w:t>
      </w:r>
      <w:r>
        <w:rPr>
          <w:rFonts w:ascii="Arial" w:cs="Arial" w:eastAsia="Arial" w:hAnsi="Arial"/>
          <w:sz w:val="18"/>
          <w:szCs w:val="18"/>
          <w:color w:val="231F20"/>
        </w:rPr>
        <w:t>, the Company expects amortization expense in future periods to be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5,856</w:t>
            </w:r>
          </w:p>
        </w:tc>
      </w:tr>
      <w:tr>
        <w:trPr>
          <w:trHeight w:val="235"/>
        </w:trPr>
        <w:tc>
          <w:tcPr>
            <w:tcW w:w="9940" w:type="dxa"/>
            <w:vAlign w:val="bottom"/>
          </w:tcPr>
          <w:p>
            <w:pPr>
              <w:ind w:left="40"/>
              <w:spacing w:after="0"/>
              <w:rPr>
                <w:sz w:val="20"/>
                <w:szCs w:val="20"/>
                <w:color w:val="auto"/>
              </w:rPr>
            </w:pPr>
            <w:r>
              <w:rPr>
                <w:rFonts w:ascii="Arial" w:cs="Arial" w:eastAsia="Arial" w:hAnsi="Arial"/>
                <w:sz w:val="16"/>
                <w:szCs w:val="16"/>
                <w:color w:val="auto"/>
              </w:rPr>
              <w:t>2020</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5,856</w:t>
            </w:r>
          </w:p>
        </w:tc>
      </w:tr>
      <w:tr>
        <w:trPr>
          <w:trHeight w:val="251"/>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5,856</w:t>
            </w:r>
          </w:p>
        </w:tc>
      </w:tr>
      <w:tr>
        <w:trPr>
          <w:trHeight w:val="235"/>
        </w:trPr>
        <w:tc>
          <w:tcPr>
            <w:tcW w:w="9940" w:type="dxa"/>
            <w:vAlign w:val="bottom"/>
          </w:tcPr>
          <w:p>
            <w:pPr>
              <w:ind w:left="40"/>
              <w:spacing w:after="0"/>
              <w:rPr>
                <w:sz w:val="20"/>
                <w:szCs w:val="20"/>
                <w:color w:val="auto"/>
              </w:rPr>
            </w:pPr>
            <w:r>
              <w:rPr>
                <w:rFonts w:ascii="Arial" w:cs="Arial" w:eastAsia="Arial" w:hAnsi="Arial"/>
                <w:sz w:val="16"/>
                <w:szCs w:val="16"/>
                <w:color w:val="auto"/>
              </w:rPr>
              <w:t>2022</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4,202</w:t>
            </w:r>
          </w:p>
        </w:tc>
      </w:tr>
      <w:tr>
        <w:trPr>
          <w:trHeight w:val="251"/>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2024 and thereafter</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r>
      <w:tr>
        <w:trPr>
          <w:trHeight w:val="242"/>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expected future amortization expense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21,936</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$7.2 million and $1.5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 2018</w:t>
      </w:r>
      <w:r>
        <w:rPr>
          <w:rFonts w:ascii="Times New Roman" w:cs="Times New Roman" w:eastAsia="Times New Roman" w:hAnsi="Times New Roman"/>
          <w:sz w:val="18"/>
          <w:szCs w:val="18"/>
          <w:color w:val="000000"/>
        </w:rPr>
        <w:t>,</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 respectively.</w:t>
      </w: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Changes in the carrying amount of goodwill for the years ended December 31, 2018, 2017 and 2016 were as follows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3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7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Amount</w:t>
            </w:r>
          </w:p>
        </w:tc>
      </w:tr>
      <w:tr>
        <w:trPr>
          <w:trHeight w:val="24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Goodwill acquired</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1,232</w:t>
            </w: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1,549</w:t>
            </w: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Goodwill acquired</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5,676</w:t>
            </w:r>
          </w:p>
        </w:tc>
      </w:tr>
      <w:tr>
        <w:trPr>
          <w:trHeight w:val="242"/>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7,225</w:t>
            </w:r>
          </w:p>
        </w:tc>
      </w:tr>
      <w:tr>
        <w:trPr>
          <w:trHeight w:val="20"/>
        </w:trPr>
        <w:tc>
          <w:tcPr>
            <w:tcW w:w="9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Commitments and Contingencies</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17"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2028.</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December 31, 2018</w:t>
      </w:r>
      <w:r>
        <w:rPr>
          <w:rFonts w:ascii="Arial" w:cs="Arial" w:eastAsia="Arial" w:hAnsi="Arial"/>
          <w:sz w:val="18"/>
          <w:szCs w:val="18"/>
          <w:color w:val="231F20"/>
        </w:rPr>
        <w:t xml:space="preserv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8,173</w:t>
            </w:r>
          </w:p>
        </w:tc>
      </w:tr>
      <w:tr>
        <w:trPr>
          <w:trHeight w:val="262"/>
        </w:trPr>
        <w:tc>
          <w:tcPr>
            <w:tcW w:w="9940" w:type="dxa"/>
            <w:vAlign w:val="bottom"/>
          </w:tcPr>
          <w:p>
            <w:pPr>
              <w:ind w:left="40"/>
              <w:spacing w:after="0"/>
              <w:rPr>
                <w:sz w:val="20"/>
                <w:szCs w:val="20"/>
                <w:color w:val="auto"/>
              </w:rPr>
            </w:pPr>
            <w:r>
              <w:rPr>
                <w:rFonts w:ascii="Arial" w:cs="Arial" w:eastAsia="Arial" w:hAnsi="Arial"/>
                <w:sz w:val="16"/>
                <w:szCs w:val="16"/>
                <w:color w:val="auto"/>
              </w:rPr>
              <w:t>2020</w:t>
            </w: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7,284</w:t>
            </w:r>
          </w:p>
        </w:tc>
      </w:tr>
      <w:tr>
        <w:trPr>
          <w:trHeight w:val="278"/>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6,046</w:t>
            </w:r>
          </w:p>
        </w:tc>
      </w:tr>
      <w:tr>
        <w:trPr>
          <w:trHeight w:val="262"/>
        </w:trPr>
        <w:tc>
          <w:tcPr>
            <w:tcW w:w="9940" w:type="dxa"/>
            <w:vAlign w:val="bottom"/>
          </w:tcPr>
          <w:p>
            <w:pPr>
              <w:ind w:left="40"/>
              <w:spacing w:after="0"/>
              <w:rPr>
                <w:sz w:val="20"/>
                <w:szCs w:val="20"/>
                <w:color w:val="auto"/>
              </w:rPr>
            </w:pPr>
            <w:r>
              <w:rPr>
                <w:rFonts w:ascii="Arial" w:cs="Arial" w:eastAsia="Arial" w:hAnsi="Arial"/>
                <w:sz w:val="16"/>
                <w:szCs w:val="16"/>
                <w:color w:val="auto"/>
              </w:rPr>
              <w:t>2022</w:t>
            </w: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4,538</w:t>
            </w:r>
          </w:p>
        </w:tc>
      </w:tr>
      <w:tr>
        <w:trPr>
          <w:trHeight w:val="278"/>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4,298</w:t>
            </w:r>
          </w:p>
        </w:tc>
      </w:tr>
      <w:tr>
        <w:trPr>
          <w:trHeight w:val="264"/>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2024 and thereafter</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19,299</w:t>
            </w:r>
          </w:p>
        </w:tc>
      </w:tr>
      <w:tr>
        <w:trPr>
          <w:trHeight w:val="242"/>
        </w:trPr>
        <w:tc>
          <w:tcPr>
            <w:tcW w:w="9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minimum lease payments</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49,638</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Rent expense was $9.9 million, $9.6 million and $7.1 million for 2018</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2017 </w:t>
      </w:r>
      <w:r>
        <w:rPr>
          <w:rFonts w:ascii="Arial" w:cs="Arial" w:eastAsia="Arial" w:hAnsi="Arial"/>
          <w:sz w:val="18"/>
          <w:szCs w:val="18"/>
          <w:color w:val="231F20"/>
        </w:rPr>
        <w:t>and</w:t>
      </w:r>
      <w:r>
        <w:rPr>
          <w:rFonts w:ascii="Arial" w:cs="Arial" w:eastAsia="Arial" w:hAnsi="Arial"/>
          <w:sz w:val="18"/>
          <w:szCs w:val="18"/>
          <w:color w:val="auto"/>
        </w:rPr>
        <w:t xml:space="preserve"> 2016</w:t>
      </w:r>
      <w:r>
        <w:rPr>
          <w:rFonts w:ascii="Arial" w:cs="Arial" w:eastAsia="Arial" w:hAnsi="Arial"/>
          <w:sz w:val="18"/>
          <w:szCs w:val="18"/>
          <w:color w:val="231F20"/>
        </w:rPr>
        <w:t>, respectively. Although certain of the operating lease</w:t>
      </w:r>
      <w:r>
        <w:rPr>
          <w:rFonts w:ascii="Arial" w:cs="Arial" w:eastAsia="Arial" w:hAnsi="Arial"/>
          <w:sz w:val="18"/>
          <w:szCs w:val="18"/>
          <w:color w:val="auto"/>
        </w:rPr>
        <w:t xml:space="preserve"> </w:t>
      </w:r>
      <w:r>
        <w:rPr>
          <w:rFonts w:ascii="Arial" w:cs="Arial" w:eastAsia="Arial" w:hAnsi="Arial"/>
          <w:sz w:val="18"/>
          <w:szCs w:val="18"/>
          <w:color w:val="231F20"/>
        </w:rPr>
        <w:t xml:space="preserve">agreements provide for rent free periods or escalating rent payments over the terms of the leases, rent expense under these agreements is recognized on a straight-line basis over the term of the lease, starting when the Company takes possession of the property from the landlord. As of December 31, 2018 and 2017, the Company has accrued $10.8 million </w:t>
      </w:r>
      <w:r>
        <w:rPr>
          <w:rFonts w:ascii="Arial" w:cs="Arial" w:eastAsia="Arial" w:hAnsi="Arial"/>
          <w:sz w:val="18"/>
          <w:szCs w:val="18"/>
          <w:color w:val="000000"/>
        </w:rPr>
        <w:t>and</w:t>
      </w:r>
      <w:r>
        <w:rPr>
          <w:rFonts w:ascii="Arial" w:cs="Arial" w:eastAsia="Arial" w:hAnsi="Arial"/>
          <w:sz w:val="18"/>
          <w:szCs w:val="18"/>
          <w:color w:val="231F20"/>
        </w:rPr>
        <w:t xml:space="preserve"> $9.5 million of deferred rent related to these agreements, which is reflected in accrued liabilities and other noncurrent liabilities in the accompanying consolidated balance sheets.</w:t>
      </w:r>
    </w:p>
    <w:p>
      <w:pPr>
        <w:spacing w:after="0" w:line="174"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On October 14, 2016, the Company entered into a lease agreement (included in the table above) for its new headquarters office facility. The lease payments commenced on May 1, 2018 and the lease has a ten-year term through April 30, 2028. The remaining total commitment as of December 31, 2018 is $36.4 million and is payable monthly with escalating rental payments throughout the lease term. In connection with this lease, the Company provided the landlord with a $1.2 million standby letter of credit to secure the Company’s obligations through the end of the lease term, which was classified as restricted cash in the accompanying consolidated balance sheets.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3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17"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 xml:space="preserve">The Company regularly licenses technology from various third party licensors. </w:t>
      </w:r>
      <w:r>
        <w:rPr>
          <w:rFonts w:ascii="Arial" w:cs="Arial" w:eastAsia="Arial" w:hAnsi="Arial"/>
          <w:sz w:val="18"/>
          <w:szCs w:val="18"/>
          <w:color w:val="231F20"/>
        </w:rPr>
        <w:t>From time to time, the Company</w:t>
      </w:r>
      <w:r>
        <w:rPr>
          <w:rFonts w:ascii="Arial" w:cs="Arial" w:eastAsia="Arial" w:hAnsi="Arial"/>
          <w:sz w:val="18"/>
          <w:szCs w:val="18"/>
          <w:color w:val="auto"/>
        </w:rPr>
        <w:t xml:space="preserve"> is audited by its licensors for compliance with the terms of the license agreements. During the quarter ended March 31, 2018, the Company commenced discussions with one of its vendors with respect to compliance with the terms of the applicable license agreement. During the three months ended June 30, 2018, the audit was completed and the Company reached a resolution with its licensor. Management sufficiently accrued for licensing agreement matters in the first quarter of 2018 and for the year ended December 31, 2018.</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NOTE 8.</w:t>
            </w:r>
          </w:p>
        </w:tc>
        <w:tc>
          <w:tcPr>
            <w:tcW w:w="8920" w:type="dxa"/>
            <w:vAlign w:val="bottom"/>
          </w:tcPr>
          <w:p>
            <w:pPr>
              <w:ind w:left="280"/>
              <w:spacing w:after="0"/>
              <w:rPr>
                <w:sz w:val="20"/>
                <w:szCs w:val="20"/>
                <w:color w:val="auto"/>
              </w:rPr>
            </w:pPr>
            <w:r>
              <w:rPr>
                <w:rFonts w:ascii="Arial" w:cs="Arial" w:eastAsia="Arial" w:hAnsi="Arial"/>
                <w:sz w:val="18"/>
                <w:szCs w:val="18"/>
                <w:b w:val="1"/>
                <w:bCs w:val="1"/>
                <w:color w:val="auto"/>
              </w:rPr>
              <w:t>Stockholders' Equity and Stock-based Compensation</w:t>
            </w:r>
          </w:p>
        </w:tc>
        <w:tc>
          <w:tcPr>
            <w:tcW w:w="1480" w:type="dxa"/>
            <w:vAlign w:val="bottom"/>
          </w:tcPr>
          <w:p>
            <w:pPr>
              <w:spacing w:after="0"/>
              <w:rPr>
                <w:sz w:val="21"/>
                <w:szCs w:val="21"/>
                <w:color w:val="auto"/>
              </w:rPr>
            </w:pPr>
          </w:p>
        </w:tc>
      </w:tr>
      <w:tr>
        <w:trPr>
          <w:trHeight w:val="446"/>
        </w:trPr>
        <w:tc>
          <w:tcPr>
            <w:tcW w:w="99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231F20"/>
              </w:rPr>
              <w:t>Common Stock</w:t>
            </w:r>
          </w:p>
        </w:tc>
        <w:tc>
          <w:tcPr>
            <w:tcW w:w="1480" w:type="dxa"/>
            <w:vAlign w:val="bottom"/>
          </w:tcPr>
          <w:p>
            <w:pPr>
              <w:spacing w:after="0"/>
              <w:rPr>
                <w:sz w:val="24"/>
                <w:szCs w:val="24"/>
                <w:color w:val="auto"/>
              </w:rPr>
            </w:pPr>
          </w:p>
        </w:tc>
      </w:tr>
      <w:tr>
        <w:trPr>
          <w:trHeight w:val="424"/>
        </w:trPr>
        <w:tc>
          <w:tcPr>
            <w:tcW w:w="9940" w:type="dxa"/>
            <w:vAlign w:val="bottom"/>
            <w:gridSpan w:val="2"/>
          </w:tcPr>
          <w:p>
            <w:pPr>
              <w:ind w:left="420"/>
              <w:spacing w:after="0"/>
              <w:rPr>
                <w:sz w:val="20"/>
                <w:szCs w:val="20"/>
                <w:color w:val="auto"/>
              </w:rPr>
            </w:pPr>
            <w:r>
              <w:rPr>
                <w:rFonts w:ascii="Arial" w:cs="Arial" w:eastAsia="Arial" w:hAnsi="Arial"/>
                <w:sz w:val="18"/>
                <w:szCs w:val="18"/>
                <w:color w:val="231F20"/>
              </w:rPr>
              <w:t xml:space="preserve">The Company had reserved shares of common stock for future issuance as of </w:t>
            </w:r>
            <w:r>
              <w:rPr>
                <w:rFonts w:ascii="Arial" w:cs="Arial" w:eastAsia="Arial" w:hAnsi="Arial"/>
                <w:sz w:val="18"/>
                <w:szCs w:val="18"/>
                <w:color w:val="000000"/>
              </w:rPr>
              <w:t>December 31, 2018</w:t>
            </w:r>
            <w:r>
              <w:rPr>
                <w:rFonts w:ascii="Arial" w:cs="Arial" w:eastAsia="Arial" w:hAnsi="Arial"/>
                <w:sz w:val="18"/>
                <w:szCs w:val="18"/>
                <w:color w:val="231F20"/>
              </w:rPr>
              <w:t xml:space="preserve"> as follows:</w:t>
            </w:r>
          </w:p>
        </w:tc>
        <w:tc>
          <w:tcPr>
            <w:tcW w:w="1480" w:type="dxa"/>
            <w:vAlign w:val="bottom"/>
          </w:tcPr>
          <w:p>
            <w:pPr>
              <w:spacing w:after="0"/>
              <w:rPr>
                <w:sz w:val="24"/>
                <w:szCs w:val="24"/>
                <w:color w:val="auto"/>
              </w:rPr>
            </w:pPr>
          </w:p>
        </w:tc>
      </w:tr>
      <w:tr>
        <w:trPr>
          <w:trHeight w:val="609"/>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Options and RSUs outstanding under equity incentive plans</w:t>
            </w:r>
          </w:p>
        </w:tc>
        <w:tc>
          <w:tcPr>
            <w:tcW w:w="1480" w:type="dxa"/>
            <w:vAlign w:val="bottom"/>
          </w:tcPr>
          <w:p>
            <w:pPr>
              <w:spacing w:after="0"/>
              <w:rPr>
                <w:sz w:val="24"/>
                <w:szCs w:val="24"/>
                <w:color w:val="auto"/>
              </w:rPr>
            </w:pPr>
          </w:p>
        </w:tc>
      </w:tr>
      <w:tr>
        <w:trPr>
          <w:trHeight w:val="278"/>
        </w:trPr>
        <w:tc>
          <w:tcPr>
            <w:tcW w:w="9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2000 Equity Incentive Plan</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244,652</w:t>
            </w:r>
          </w:p>
        </w:tc>
      </w:tr>
      <w:tr>
        <w:trPr>
          <w:trHeight w:val="262"/>
        </w:trPr>
        <w:tc>
          <w:tcPr>
            <w:tcW w:w="9940" w:type="dxa"/>
            <w:vAlign w:val="bottom"/>
            <w:gridSpan w:val="2"/>
          </w:tcPr>
          <w:p>
            <w:pPr>
              <w:ind w:left="280"/>
              <w:spacing w:after="0"/>
              <w:rPr>
                <w:sz w:val="20"/>
                <w:szCs w:val="20"/>
                <w:color w:val="auto"/>
              </w:rPr>
            </w:pPr>
            <w:r>
              <w:rPr>
                <w:rFonts w:ascii="Arial" w:cs="Arial" w:eastAsia="Arial" w:hAnsi="Arial"/>
                <w:sz w:val="16"/>
                <w:szCs w:val="16"/>
                <w:color w:val="auto"/>
              </w:rPr>
              <w:t>2012 Equity Incentive Plan</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4,477,717</w:t>
            </w:r>
          </w:p>
        </w:tc>
      </w:tr>
      <w:tr>
        <w:trPr>
          <w:trHeight w:val="278"/>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under an equity incentive plan</w:t>
            </w:r>
          </w:p>
        </w:tc>
        <w:tc>
          <w:tcPr>
            <w:tcW w:w="1480" w:type="dxa"/>
            <w:vAlign w:val="bottom"/>
            <w:shd w:val="clear" w:color="auto" w:fill="CCEEFF"/>
          </w:tcPr>
          <w:p>
            <w:pPr>
              <w:spacing w:after="0"/>
              <w:rPr>
                <w:sz w:val="24"/>
                <w:szCs w:val="24"/>
                <w:color w:val="auto"/>
              </w:rPr>
            </w:pPr>
          </w:p>
        </w:tc>
      </w:tr>
      <w:tr>
        <w:trPr>
          <w:trHeight w:val="264"/>
        </w:trPr>
        <w:tc>
          <w:tcPr>
            <w:tcW w:w="9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2012 Equity Incentive Plan</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3,817,097</w:t>
            </w:r>
          </w:p>
        </w:tc>
      </w:tr>
      <w:tr>
        <w:trPr>
          <w:trHeight w:val="242"/>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shares reserved for future issuance</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8,539,466</w:t>
            </w:r>
          </w:p>
        </w:tc>
      </w:tr>
      <w:tr>
        <w:trPr>
          <w:trHeight w:val="20"/>
        </w:trPr>
        <w:tc>
          <w:tcPr>
            <w:tcW w:w="10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Effective October 3, 2012, the Company is authorized to issue </w:t>
      </w:r>
      <w:r>
        <w:rPr>
          <w:rFonts w:ascii="Arial" w:cs="Arial" w:eastAsia="Arial" w:hAnsi="Arial"/>
          <w:sz w:val="18"/>
          <w:szCs w:val="18"/>
          <w:color w:val="000000"/>
        </w:rPr>
        <w:t>20,000,000</w:t>
      </w:r>
      <w:r>
        <w:rPr>
          <w:rFonts w:ascii="Arial" w:cs="Arial" w:eastAsia="Arial" w:hAnsi="Arial"/>
          <w:sz w:val="18"/>
          <w:szCs w:val="18"/>
          <w:color w:val="231F20"/>
        </w:rPr>
        <w:t xml:space="preserve"> shares of undesignated preferred stock with a par value of $0.001 per share. Each series of preferred stock will have such </w:t>
      </w:r>
      <w:r>
        <w:rPr>
          <w:rFonts w:ascii="Arial" w:cs="Arial" w:eastAsia="Arial" w:hAnsi="Arial"/>
          <w:sz w:val="18"/>
          <w:szCs w:val="18"/>
          <w:color w:val="000000"/>
        </w:rPr>
        <w:t>rights and preferences including dividend rights, dividend rate, conversion</w:t>
      </w:r>
      <w:r>
        <w:rPr>
          <w:rFonts w:ascii="Arial" w:cs="Arial" w:eastAsia="Arial" w:hAnsi="Arial"/>
          <w:sz w:val="18"/>
          <w:szCs w:val="18"/>
          <w:color w:val="231F20"/>
        </w:rPr>
        <w:t xml:space="preserve"> </w:t>
      </w:r>
      <w:r>
        <w:rPr>
          <w:rFonts w:ascii="Arial" w:cs="Arial" w:eastAsia="Arial" w:hAnsi="Arial"/>
          <w:sz w:val="18"/>
          <w:szCs w:val="18"/>
          <w:color w:val="000000"/>
        </w:rPr>
        <w:t xml:space="preserve">rights, voting rights, rights and terms of redemption (including sinking fund provisions), redemption price, and liquidation preferences as determined by the Board. </w:t>
      </w:r>
      <w:r>
        <w:rPr>
          <w:rFonts w:ascii="Arial" w:cs="Arial" w:eastAsia="Arial" w:hAnsi="Arial"/>
          <w:sz w:val="18"/>
          <w:szCs w:val="18"/>
          <w:color w:val="231F20"/>
        </w:rPr>
        <w:t>As of December 31, 2018, and 2017, there were no issued or outstanding shares of preferred stock.</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2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The 2012 Equity Incentive Plan (the 2012 Plan) was adopted and approved in September 2012 and became effective on September 26, 2012. Under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w:t>
      </w:r>
      <w:r>
        <w:rPr>
          <w:rFonts w:ascii="Arial" w:cs="Arial" w:eastAsia="Arial" w:hAnsi="Arial"/>
          <w:sz w:val="18"/>
          <w:szCs w:val="18"/>
          <w:color w:val="000000"/>
        </w:rPr>
        <w:t>11,791,179</w:t>
      </w:r>
      <w:r>
        <w:rPr>
          <w:rFonts w:ascii="Arial" w:cs="Arial" w:eastAsia="Arial" w:hAnsi="Arial"/>
          <w:sz w:val="18"/>
          <w:szCs w:val="18"/>
          <w:color w:val="231F20"/>
        </w:rPr>
        <w:t xml:space="preserve"> shares of common stock as of December 31, 2018. The number of shares of common stock available for issuance under the 2012 Plan includes an annual increase on January 1 of each year by an amount equal to the least of </w:t>
      </w:r>
      <w:r>
        <w:rPr>
          <w:rFonts w:ascii="Arial" w:cs="Arial" w:eastAsia="Arial" w:hAnsi="Arial"/>
          <w:sz w:val="18"/>
          <w:szCs w:val="18"/>
          <w:color w:val="000000"/>
        </w:rPr>
        <w:t xml:space="preserve">3,050,000 </w:t>
      </w:r>
      <w:r>
        <w:rPr>
          <w:rFonts w:ascii="Arial" w:cs="Arial" w:eastAsia="Arial" w:hAnsi="Arial"/>
          <w:sz w:val="18"/>
          <w:szCs w:val="18"/>
          <w:color w:val="231F20"/>
        </w:rPr>
        <w:t>shares;</w:t>
      </w:r>
      <w:r>
        <w:rPr>
          <w:rFonts w:ascii="Arial" w:cs="Arial" w:eastAsia="Arial" w:hAnsi="Arial"/>
          <w:sz w:val="18"/>
          <w:szCs w:val="18"/>
          <w:color w:val="000000"/>
        </w:rPr>
        <w:t xml:space="preserve"> 5% </w:t>
      </w:r>
      <w:r>
        <w:rPr>
          <w:rFonts w:ascii="Arial" w:cs="Arial" w:eastAsia="Arial" w:hAnsi="Arial"/>
          <w:sz w:val="18"/>
          <w:szCs w:val="18"/>
          <w:color w:val="231F20"/>
        </w:rPr>
        <w:t>of the outstanding shares of stock as of the last day of the immediately preceding fiscal year; or an amount determined</w:t>
      </w:r>
      <w:r>
        <w:rPr>
          <w:rFonts w:ascii="Arial" w:cs="Arial" w:eastAsia="Arial" w:hAnsi="Arial"/>
          <w:sz w:val="18"/>
          <w:szCs w:val="18"/>
          <w:color w:val="000000"/>
        </w:rPr>
        <w:t xml:space="preserve"> </w:t>
      </w:r>
      <w:r>
        <w:rPr>
          <w:rFonts w:ascii="Arial" w:cs="Arial" w:eastAsia="Arial" w:hAnsi="Arial"/>
          <w:sz w:val="18"/>
          <w:szCs w:val="18"/>
          <w:color w:val="231F20"/>
        </w:rPr>
        <w:t xml:space="preserve">by the Board of Directors. Options may be granted with an exercise price that is at least equal to the fair market value of the Company's stock at the date of grant and are exercisable when vested.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 xml:space="preserve">ten </w:t>
      </w:r>
      <w:r>
        <w:rPr>
          <w:rFonts w:ascii="Arial" w:cs="Arial" w:eastAsia="Arial" w:hAnsi="Arial"/>
          <w:sz w:val="18"/>
          <w:szCs w:val="18"/>
          <w:color w:val="231F20"/>
        </w:rPr>
        <w:t>years. ISOs may only be granted to employees and any subsidiary corporations' employees. All other awards may be granted to</w:t>
      </w:r>
      <w:r>
        <w:rPr>
          <w:rFonts w:ascii="Arial" w:cs="Arial" w:eastAsia="Arial" w:hAnsi="Arial"/>
          <w:sz w:val="18"/>
          <w:szCs w:val="18"/>
          <w:color w:val="000000"/>
        </w:rPr>
        <w:t xml:space="preserve"> </w:t>
      </w:r>
      <w:r>
        <w:rPr>
          <w:rFonts w:ascii="Arial" w:cs="Arial" w:eastAsia="Arial" w:hAnsi="Arial"/>
          <w:sz w:val="18"/>
          <w:szCs w:val="18"/>
          <w:color w:val="231F20"/>
        </w:rPr>
        <w:t xml:space="preserve">employees, directors and consultants and subsidiary corporations' employees and consultants. </w:t>
      </w:r>
      <w:r>
        <w:rPr>
          <w:rFonts w:ascii="Arial" w:cs="Arial" w:eastAsia="Arial" w:hAnsi="Arial"/>
          <w:sz w:val="18"/>
          <w:szCs w:val="18"/>
          <w:color w:val="000000"/>
        </w:rPr>
        <w:t>Options, SARs, RSUs, performance units and</w:t>
      </w:r>
      <w:r>
        <w:rPr>
          <w:rFonts w:ascii="Arial" w:cs="Arial" w:eastAsia="Arial" w:hAnsi="Arial"/>
          <w:sz w:val="18"/>
          <w:szCs w:val="18"/>
          <w:color w:val="231F20"/>
        </w:rPr>
        <w:t xml:space="preserve"> </w:t>
      </w:r>
      <w:r>
        <w:rPr>
          <w:rFonts w:ascii="Arial" w:cs="Arial" w:eastAsia="Arial" w:hAnsi="Arial"/>
          <w:sz w:val="18"/>
          <w:szCs w:val="18"/>
          <w:color w:val="000000"/>
        </w:rPr>
        <w:t xml:space="preserve">performance awards may be granted with vesting terms as determined by the Board of Directors and expire no more than ten years after the date of grant or earlier if employment or service is terminated. </w:t>
      </w:r>
      <w:r>
        <w:rPr>
          <w:rFonts w:ascii="Arial" w:cs="Arial" w:eastAsia="Arial" w:hAnsi="Arial"/>
          <w:sz w:val="18"/>
          <w:szCs w:val="18"/>
          <w:color w:val="231F20"/>
        </w:rPr>
        <w:t>As of</w:t>
      </w:r>
      <w:r>
        <w:rPr>
          <w:rFonts w:ascii="Arial" w:cs="Arial" w:eastAsia="Arial" w:hAnsi="Arial"/>
          <w:sz w:val="18"/>
          <w:szCs w:val="18"/>
          <w:color w:val="000000"/>
        </w:rPr>
        <w:t xml:space="preserve"> December 31, 2018</w:t>
      </w:r>
      <w:r>
        <w:rPr>
          <w:rFonts w:ascii="Arial" w:cs="Arial" w:eastAsia="Arial" w:hAnsi="Arial"/>
          <w:sz w:val="18"/>
          <w:szCs w:val="18"/>
          <w:color w:val="231F20"/>
        </w:rPr>
        <w:t>, 3,817,097</w:t>
      </w:r>
      <w:r>
        <w:rPr>
          <w:rFonts w:ascii="Arial" w:cs="Arial" w:eastAsia="Arial" w:hAnsi="Arial"/>
          <w:sz w:val="18"/>
          <w:szCs w:val="18"/>
          <w:color w:val="000000"/>
        </w:rPr>
        <w:t xml:space="preserve"> shares were available for grant under the 2012 Plan.</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3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 xml:space="preserve">Under the 2000 Equity Incentive Plan (the 2000 Plan), the Company was authorized to grant to eligible participants either ISOs or NSOs. The ISOs were granted at a price per share not less than the fair market value at the date of grant. The NSOs were granted at a price per share not less than </w:t>
      </w:r>
      <w:r>
        <w:rPr>
          <w:rFonts w:ascii="Arial" w:cs="Arial" w:eastAsia="Arial" w:hAnsi="Arial"/>
          <w:sz w:val="18"/>
          <w:szCs w:val="18"/>
          <w:color w:val="000000"/>
        </w:rPr>
        <w:t>85%</w:t>
      </w:r>
      <w:r>
        <w:rPr>
          <w:rFonts w:ascii="Arial" w:cs="Arial" w:eastAsia="Arial" w:hAnsi="Arial"/>
          <w:sz w:val="18"/>
          <w:szCs w:val="18"/>
          <w:color w:val="231F20"/>
        </w:rPr>
        <w:t xml:space="preserve"> of the fair market value at the date of grant.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ten</w:t>
      </w:r>
      <w:r>
        <w:rPr>
          <w:rFonts w:ascii="Arial" w:cs="Arial" w:eastAsia="Arial" w:hAnsi="Arial"/>
          <w:sz w:val="18"/>
          <w:szCs w:val="18"/>
          <w:color w:val="231F20"/>
        </w:rPr>
        <w:t xml:space="preserve"> years. The 2000 Plan was terminated in connection with the closing of the IPO, and accordingly, </w:t>
      </w:r>
      <w:r>
        <w:rPr>
          <w:rFonts w:ascii="Arial" w:cs="Arial" w:eastAsia="Arial" w:hAnsi="Arial"/>
          <w:sz w:val="18"/>
          <w:szCs w:val="18"/>
          <w:color w:val="000000"/>
        </w:rPr>
        <w:t>no</w:t>
      </w:r>
      <w:r>
        <w:rPr>
          <w:rFonts w:ascii="Arial" w:cs="Arial" w:eastAsia="Arial" w:hAnsi="Arial"/>
          <w:sz w:val="18"/>
          <w:szCs w:val="18"/>
          <w:color w:val="231F20"/>
        </w:rPr>
        <w:t xml:space="preserve"> shares are currently available for issuance under the 2000 Plan. The 2000 Plan continues to govern outstanding awards granted thereunder.</w:t>
      </w:r>
    </w:p>
    <w:p>
      <w:pPr>
        <w:spacing w:after="0" w:line="17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 xml:space="preserve">Options granted under the 2000 Plan were immediately exercisable, and unvested shares are subject to repurchase by the Company. Upon termination of employment of an option holder, the Company has the right to repurchase at the original purchase price any issued but unvested common shares. The amounts paid for shares purchased under an early exercise of stock options and subject to repurchase by the Company are not reported as a component of </w:t>
      </w:r>
      <w:r>
        <w:rPr>
          <w:rFonts w:ascii="Arial" w:cs="Arial" w:eastAsia="Arial" w:hAnsi="Arial"/>
          <w:sz w:val="18"/>
          <w:szCs w:val="18"/>
          <w:color w:val="000000"/>
        </w:rPr>
        <w:t>stockholders</w:t>
      </w:r>
      <w:r>
        <w:rPr>
          <w:rFonts w:ascii="Arial" w:cs="Arial" w:eastAsia="Arial" w:hAnsi="Arial"/>
          <w:sz w:val="18"/>
          <w:szCs w:val="18"/>
          <w:color w:val="231F20"/>
        </w:rPr>
        <w:t>’ equity (deficit) until those shares vest. The amounts received in exchange for these shares are recorded as an accrued liability in the accompanying consolidated balance sheets and will be reclassified to common stock and additional paid-in capital as the shares vest.</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Stock-based Compensation</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included in the consolidated statements of operations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64"/>
        </w:trPr>
        <w:tc>
          <w:tcPr>
            <w:tcW w:w="6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0"/>
        </w:trPr>
        <w:tc>
          <w:tcPr>
            <w:tcW w:w="6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4"/>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1,858</w:t>
            </w:r>
          </w:p>
        </w:tc>
      </w:tr>
      <w:tr>
        <w:trPr>
          <w:trHeight w:val="262"/>
        </w:trPr>
        <w:tc>
          <w:tcPr>
            <w:tcW w:w="67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7,961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5,944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5,678</w:t>
            </w:r>
          </w:p>
        </w:tc>
      </w:tr>
      <w:tr>
        <w:trPr>
          <w:trHeight w:val="278"/>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4,870</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14,990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14,103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7,743</w:t>
            </w:r>
          </w:p>
        </w:tc>
      </w:tr>
      <w:tr>
        <w:trPr>
          <w:trHeight w:val="242"/>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employee compensation</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20,149</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231F20"/>
        </w:rPr>
        <w:t>Stock-based compensation cost is recognized on a straight-line basis over the service period. Forfeitures are estimated at the time of grant and revised, if necessary, in subsequent periods if actual forfeitures materially differ from those estimates.</w:t>
      </w:r>
    </w:p>
    <w:p>
      <w:pPr>
        <w:spacing w:after="0" w:line="145"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2018</w:t>
      </w:r>
      <w:r>
        <w:rPr>
          <w:rFonts w:ascii="Arial" w:cs="Arial" w:eastAsia="Arial" w:hAnsi="Arial"/>
          <w:sz w:val="18"/>
          <w:szCs w:val="18"/>
          <w:color w:val="231F20"/>
        </w:rPr>
        <w:t xml:space="preserve">, the Company had </w:t>
      </w:r>
      <w:r>
        <w:rPr>
          <w:rFonts w:ascii="Arial" w:cs="Arial" w:eastAsia="Arial" w:hAnsi="Arial"/>
          <w:sz w:val="18"/>
          <w:szCs w:val="18"/>
          <w:color w:val="000000"/>
        </w:rPr>
        <w:t>$13.8 million</w:t>
      </w:r>
      <w:r>
        <w:rPr>
          <w:rFonts w:ascii="Arial" w:cs="Arial" w:eastAsia="Arial" w:hAnsi="Arial"/>
          <w:sz w:val="18"/>
          <w:szCs w:val="18"/>
          <w:color w:val="231F20"/>
        </w:rPr>
        <w:t xml:space="preserve"> of total unrecognized employee compensation cost related to unvested options that it expects to recognize over a weighted-average period of </w:t>
      </w:r>
      <w:r>
        <w:rPr>
          <w:rFonts w:ascii="Arial" w:cs="Arial" w:eastAsia="Arial" w:hAnsi="Arial"/>
          <w:sz w:val="18"/>
          <w:szCs w:val="18"/>
          <w:color w:val="000000"/>
        </w:rPr>
        <w:t>2.1</w:t>
      </w:r>
      <w:r>
        <w:rPr>
          <w:rFonts w:ascii="Arial" w:cs="Arial" w:eastAsia="Arial" w:hAnsi="Arial"/>
          <w:sz w:val="18"/>
          <w:szCs w:val="18"/>
          <w:color w:val="231F20"/>
        </w:rPr>
        <w:t xml:space="preserve"> years.</w:t>
      </w:r>
    </w:p>
    <w:p>
      <w:pPr>
        <w:spacing w:after="0" w:line="91"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The fair value of each option granted to employees is estimated on the date of grant using the Black-Scholes-Merton option-pricing model based on the following assumptions: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264"/>
        </w:trPr>
        <w:tc>
          <w:tcPr>
            <w:tcW w:w="6760" w:type="dxa"/>
            <w:vAlign w:val="bottom"/>
          </w:tcPr>
          <w:p>
            <w:pPr>
              <w:spacing w:after="0"/>
              <w:rPr>
                <w:sz w:val="22"/>
                <w:szCs w:val="22"/>
                <w:color w:val="auto"/>
              </w:rPr>
            </w:pPr>
          </w:p>
        </w:tc>
        <w:tc>
          <w:tcPr>
            <w:tcW w:w="12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8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4"/>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to</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5.0</w:t>
            </w:r>
          </w:p>
        </w:tc>
        <w:tc>
          <w:tcPr>
            <w:tcW w:w="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 to</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to</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r>
      <w:tr>
        <w:trPr>
          <w:trHeight w:val="262"/>
        </w:trPr>
        <w:tc>
          <w:tcPr>
            <w:tcW w:w="67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840" w:type="dxa"/>
            <w:vAlign w:val="bottom"/>
          </w:tcPr>
          <w:p>
            <w:pPr>
              <w:jc w:val="right"/>
              <w:spacing w:after="0"/>
              <w:rPr>
                <w:sz w:val="20"/>
                <w:szCs w:val="20"/>
                <w:color w:val="auto"/>
              </w:rPr>
            </w:pPr>
            <w:r>
              <w:rPr>
                <w:rFonts w:ascii="Arial" w:cs="Arial" w:eastAsia="Arial" w:hAnsi="Arial"/>
                <w:sz w:val="16"/>
                <w:szCs w:val="16"/>
                <w:color w:val="auto"/>
              </w:rPr>
              <w:t>45% to</w:t>
            </w:r>
          </w:p>
        </w:tc>
        <w:tc>
          <w:tcPr>
            <w:tcW w:w="440" w:type="dxa"/>
            <w:vAlign w:val="bottom"/>
          </w:tcPr>
          <w:p>
            <w:pPr>
              <w:ind w:left="20"/>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 to</w:t>
            </w:r>
          </w:p>
        </w:tc>
        <w:tc>
          <w:tcPr>
            <w:tcW w:w="640" w:type="dxa"/>
            <w:vAlign w:val="bottom"/>
          </w:tcPr>
          <w:p>
            <w:pPr>
              <w:ind w:left="2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 to</w:t>
            </w:r>
          </w:p>
        </w:tc>
        <w:tc>
          <w:tcPr>
            <w:tcW w:w="640" w:type="dxa"/>
            <w:vAlign w:val="bottom"/>
          </w:tcPr>
          <w:p>
            <w:pPr>
              <w:ind w:left="20"/>
              <w:spacing w:after="0"/>
              <w:rPr>
                <w:sz w:val="20"/>
                <w:szCs w:val="20"/>
                <w:color w:val="auto"/>
              </w:rPr>
            </w:pPr>
            <w:r>
              <w:rPr>
                <w:rFonts w:ascii="Arial" w:cs="Arial" w:eastAsia="Arial" w:hAnsi="Arial"/>
                <w:sz w:val="16"/>
                <w:szCs w:val="16"/>
                <w:color w:val="auto"/>
              </w:rPr>
              <w:t>49%</w:t>
            </w:r>
          </w:p>
        </w:tc>
      </w:tr>
      <w:tr>
        <w:trPr>
          <w:trHeight w:val="278"/>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to</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to</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to</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w:t>
            </w:r>
          </w:p>
        </w:tc>
      </w:tr>
      <w:tr>
        <w:trPr>
          <w:trHeight w:val="255"/>
        </w:trPr>
        <w:tc>
          <w:tcPr>
            <w:tcW w:w="67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840" w:type="dxa"/>
            <w:vAlign w:val="bottom"/>
          </w:tcPr>
          <w:p>
            <w:pPr>
              <w:jc w:val="center"/>
              <w:ind w:left="559"/>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center"/>
              <w:ind w:left="55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center"/>
              <w:ind w:left="35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22"/>
                <w:szCs w:val="22"/>
                <w:color w:val="auto"/>
              </w:rPr>
            </w:pPr>
          </w:p>
        </w:tc>
      </w:tr>
    </w:tbl>
    <w:p>
      <w:pPr>
        <w:spacing w:after="0" w:line="20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Prior to the third quarter of 2017, volatility was based on a combination of the historical volatility of the Company and of several public entities that are similar to the Company. The Company based volatility on this combination because it did not have sufficient historical transactions in its own shares on which to solely base expected volatility. Beginning in the third quarter of 2017, the volatility was estimated using the historical volatility derived from the Company's common stock. The Company has not historically declared any dividends and does not expect to in the future.</w:t>
      </w:r>
    </w:p>
    <w:p>
      <w:pPr>
        <w:sectPr>
          <w:pgSz w:w="11900" w:h="16838" w:orient="portrait"/>
          <w:cols w:equalWidth="0" w:num="1">
            <w:col w:w="11420"/>
          </w:cols>
          <w:pgMar w:left="240" w:top="331"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331"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2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$0.4 million, $0.9 million</w:t>
      </w:r>
      <w:r>
        <w:rPr>
          <w:rFonts w:ascii="Arial" w:cs="Arial" w:eastAsia="Arial" w:hAnsi="Arial"/>
          <w:sz w:val="18"/>
          <w:szCs w:val="18"/>
          <w:color w:val="231F20"/>
        </w:rPr>
        <w:t xml:space="preserve"> and </w:t>
      </w:r>
      <w:r>
        <w:rPr>
          <w:rFonts w:ascii="Arial" w:cs="Arial" w:eastAsia="Arial" w:hAnsi="Arial"/>
          <w:sz w:val="18"/>
          <w:szCs w:val="18"/>
          <w:color w:val="000000"/>
        </w:rPr>
        <w:t>$0.7 million</w:t>
      </w:r>
      <w:r>
        <w:rPr>
          <w:rFonts w:ascii="Arial" w:cs="Arial" w:eastAsia="Arial" w:hAnsi="Arial"/>
          <w:sz w:val="18"/>
          <w:szCs w:val="18"/>
          <w:color w:val="231F20"/>
        </w:rPr>
        <w:t xml:space="preserve"> for </w:t>
      </w:r>
      <w:r>
        <w:rPr>
          <w:rFonts w:ascii="Arial" w:cs="Arial" w:eastAsia="Arial" w:hAnsi="Arial"/>
          <w:sz w:val="18"/>
          <w:szCs w:val="18"/>
          <w:color w:val="000000"/>
        </w:rPr>
        <w:t>2018</w:t>
      </w:r>
      <w:r>
        <w:rPr>
          <w:rFonts w:ascii="Arial" w:cs="Arial" w:eastAsia="Arial" w:hAnsi="Arial"/>
          <w:sz w:val="18"/>
          <w:szCs w:val="18"/>
          <w:color w:val="231F20"/>
        </w:rPr>
        <w:t xml:space="preserve">, </w:t>
      </w:r>
      <w:r>
        <w:rPr>
          <w:rFonts w:ascii="Arial" w:cs="Arial" w:eastAsia="Arial" w:hAnsi="Arial"/>
          <w:sz w:val="18"/>
          <w:szCs w:val="18"/>
          <w:color w:val="000000"/>
        </w:rPr>
        <w:t>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respectively. Non-employee stock-based compensation is recognized over the vesting periods of the options. The value of options granted to non-employees is re-measured as they vest over a performance period.</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Stock Option Plan Activity</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9"/>
              </w:rPr>
              <w:t>Weighted</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Remaining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Exercise</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Contractual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Intrinsic</w:t>
            </w:r>
          </w:p>
        </w:tc>
      </w:tr>
      <w:tr>
        <w:trPr>
          <w:trHeight w:val="232"/>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Price</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Life (Years)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Value</w:t>
            </w:r>
          </w:p>
        </w:tc>
      </w:tr>
      <w:tr>
        <w:trPr>
          <w:trHeight w:val="250"/>
        </w:trPr>
        <w:tc>
          <w:tcPr>
            <w:tcW w:w="34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1260" w:type="dxa"/>
            <w:vAlign w:val="bottom"/>
            <w:tcBorders>
              <w:top w:val="single" w:sz="8" w:color="auto"/>
              <w:bottom w:val="single" w:sz="8" w:color="CCEEFF"/>
            </w:tcBorders>
          </w:tcPr>
          <w:p>
            <w:pPr>
              <w:spacing w:after="0"/>
              <w:rPr>
                <w:sz w:val="21"/>
                <w:szCs w:val="21"/>
                <w:color w:val="auto"/>
              </w:rPr>
            </w:pPr>
          </w:p>
        </w:tc>
        <w:tc>
          <w:tcPr>
            <w:tcW w:w="40" w:type="dxa"/>
            <w:vAlign w:val="bottom"/>
            <w:tcBorders>
              <w:top w:val="single" w:sz="8" w:color="auto"/>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CCEEFF"/>
            </w:tcBorders>
          </w:tcPr>
          <w:p>
            <w:pPr>
              <w:spacing w:after="0"/>
              <w:rPr>
                <w:sz w:val="21"/>
                <w:szCs w:val="21"/>
                <w:color w:val="auto"/>
              </w:rPr>
            </w:pPr>
          </w:p>
        </w:tc>
        <w:tc>
          <w:tcPr>
            <w:tcW w:w="60" w:type="dxa"/>
            <w:vAlign w:val="bottom"/>
            <w:tcBorders>
              <w:top w:val="single" w:sz="8" w:color="auto"/>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CCEEFF"/>
            </w:tcBorders>
          </w:tcPr>
          <w:p>
            <w:pPr>
              <w:spacing w:after="0"/>
              <w:rPr>
                <w:sz w:val="21"/>
                <w:szCs w:val="21"/>
                <w:color w:val="auto"/>
              </w:rPr>
            </w:pPr>
          </w:p>
        </w:tc>
        <w:tc>
          <w:tcPr>
            <w:tcW w:w="1320" w:type="dxa"/>
            <w:vAlign w:val="bottom"/>
            <w:tcBorders>
              <w:top w:val="single" w:sz="8" w:color="auto"/>
              <w:bottom w:val="single" w:sz="8" w:color="CCEEFF"/>
            </w:tcBorders>
            <w:gridSpan w:val="2"/>
          </w:tcPr>
          <w:p>
            <w:pPr>
              <w:jc w:val="center"/>
              <w:ind w:right="160"/>
              <w:spacing w:after="0"/>
              <w:rPr>
                <w:sz w:val="20"/>
                <w:szCs w:val="20"/>
                <w:color w:val="auto"/>
              </w:rPr>
            </w:pPr>
            <w:r>
              <w:rPr>
                <w:rFonts w:ascii="Arial" w:cs="Arial" w:eastAsia="Arial" w:hAnsi="Arial"/>
                <w:sz w:val="16"/>
                <w:szCs w:val="16"/>
                <w:b w:val="1"/>
                <w:bCs w:val="1"/>
                <w:color w:val="auto"/>
              </w:rPr>
              <w:t>(in thousands)</w:t>
            </w:r>
          </w:p>
        </w:tc>
      </w:tr>
      <w:tr>
        <w:trPr>
          <w:trHeight w:val="254"/>
        </w:trPr>
        <w:tc>
          <w:tcPr>
            <w:tcW w:w="3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as of December 31, 2015</w:t>
            </w: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7,579,058</w:t>
            </w:r>
          </w:p>
        </w:tc>
        <w:tc>
          <w:tcPr>
            <w:tcW w:w="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131,345</w:t>
            </w:r>
          </w:p>
        </w:tc>
        <w:tc>
          <w:tcPr>
            <w:tcW w:w="60" w:type="dxa"/>
            <w:vAlign w:val="bottom"/>
            <w:shd w:val="clear" w:color="auto" w:fill="CCEEFF"/>
          </w:tcPr>
          <w:p>
            <w:pPr>
              <w:spacing w:after="0"/>
              <w:rPr>
                <w:sz w:val="22"/>
                <w:szCs w:val="22"/>
                <w:color w:val="auto"/>
              </w:rPr>
            </w:pPr>
          </w:p>
        </w:tc>
      </w:tr>
      <w:tr>
        <w:trPr>
          <w:trHeight w:val="262"/>
        </w:trPr>
        <w:tc>
          <w:tcPr>
            <w:tcW w:w="3860" w:type="dxa"/>
            <w:vAlign w:val="bottom"/>
            <w:gridSpan w:val="3"/>
          </w:tcPr>
          <w:p>
            <w:pPr>
              <w:ind w:left="380"/>
              <w:spacing w:after="0"/>
              <w:rPr>
                <w:sz w:val="20"/>
                <w:szCs w:val="20"/>
                <w:color w:val="auto"/>
              </w:rPr>
            </w:pPr>
            <w:r>
              <w:rPr>
                <w:rFonts w:ascii="Arial" w:cs="Arial" w:eastAsia="Arial" w:hAnsi="Arial"/>
                <w:sz w:val="16"/>
                <w:szCs w:val="16"/>
                <w:color w:val="auto"/>
              </w:rPr>
              <w:t>Granted</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2,120,633</w:t>
            </w:r>
          </w:p>
        </w:tc>
        <w:tc>
          <w:tcPr>
            <w:tcW w:w="20" w:type="dxa"/>
            <w:vAlign w:val="bottom"/>
          </w:tcPr>
          <w:p>
            <w:pPr>
              <w:spacing w:after="0"/>
              <w:rPr>
                <w:sz w:val="22"/>
                <w:szCs w:val="22"/>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26.64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86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(1,399,157)</w:t>
            </w:r>
          </w:p>
        </w:tc>
        <w:tc>
          <w:tcPr>
            <w:tcW w:w="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64"/>
        </w:trPr>
        <w:tc>
          <w:tcPr>
            <w:tcW w:w="386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Canceled</w:t>
            </w: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(772,854)</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31.57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257"/>
        </w:trPr>
        <w:tc>
          <w:tcPr>
            <w:tcW w:w="3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7,527,680</w:t>
            </w:r>
          </w:p>
        </w:tc>
        <w:tc>
          <w:tcPr>
            <w:tcW w:w="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101,717</w:t>
            </w:r>
          </w:p>
        </w:tc>
        <w:tc>
          <w:tcPr>
            <w:tcW w:w="60" w:type="dxa"/>
            <w:vAlign w:val="bottom"/>
            <w:shd w:val="clear" w:color="auto" w:fill="CCEEFF"/>
          </w:tcPr>
          <w:p>
            <w:pPr>
              <w:spacing w:after="0"/>
              <w:rPr>
                <w:sz w:val="22"/>
                <w:szCs w:val="22"/>
                <w:color w:val="auto"/>
              </w:rPr>
            </w:pPr>
          </w:p>
        </w:tc>
      </w:tr>
      <w:tr>
        <w:trPr>
          <w:trHeight w:val="262"/>
        </w:trPr>
        <w:tc>
          <w:tcPr>
            <w:tcW w:w="3860" w:type="dxa"/>
            <w:vAlign w:val="bottom"/>
            <w:gridSpan w:val="3"/>
          </w:tcPr>
          <w:p>
            <w:pPr>
              <w:ind w:left="380"/>
              <w:spacing w:after="0"/>
              <w:rPr>
                <w:sz w:val="20"/>
                <w:szCs w:val="20"/>
                <w:color w:val="auto"/>
              </w:rPr>
            </w:pPr>
            <w:r>
              <w:rPr>
                <w:rFonts w:ascii="Arial" w:cs="Arial" w:eastAsia="Arial" w:hAnsi="Arial"/>
                <w:sz w:val="16"/>
                <w:szCs w:val="16"/>
                <w:color w:val="auto"/>
              </w:rPr>
              <w:t>Granted</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408,225</w:t>
            </w:r>
          </w:p>
        </w:tc>
        <w:tc>
          <w:tcPr>
            <w:tcW w:w="20" w:type="dxa"/>
            <w:vAlign w:val="bottom"/>
          </w:tcPr>
          <w:p>
            <w:pPr>
              <w:spacing w:after="0"/>
              <w:rPr>
                <w:sz w:val="22"/>
                <w:szCs w:val="22"/>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40.82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86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(2,997,095)</w:t>
            </w:r>
          </w:p>
        </w:tc>
        <w:tc>
          <w:tcPr>
            <w:tcW w:w="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64"/>
        </w:trPr>
        <w:tc>
          <w:tcPr>
            <w:tcW w:w="386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Canceled</w:t>
            </w: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(442,919)</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33.29</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257"/>
        </w:trPr>
        <w:tc>
          <w:tcPr>
            <w:tcW w:w="3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4,495,891</w:t>
            </w:r>
          </w:p>
        </w:tc>
        <w:tc>
          <w:tcPr>
            <w:tcW w:w="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153,129</w:t>
            </w:r>
          </w:p>
        </w:tc>
        <w:tc>
          <w:tcPr>
            <w:tcW w:w="60" w:type="dxa"/>
            <w:vAlign w:val="bottom"/>
            <w:shd w:val="clear" w:color="auto" w:fill="CCEEFF"/>
          </w:tcPr>
          <w:p>
            <w:pPr>
              <w:spacing w:after="0"/>
              <w:rPr>
                <w:sz w:val="22"/>
                <w:szCs w:val="22"/>
                <w:color w:val="auto"/>
              </w:rPr>
            </w:pPr>
          </w:p>
        </w:tc>
      </w:tr>
      <w:tr>
        <w:trPr>
          <w:trHeight w:val="262"/>
        </w:trPr>
        <w:tc>
          <w:tcPr>
            <w:tcW w:w="3860" w:type="dxa"/>
            <w:vAlign w:val="bottom"/>
            <w:gridSpan w:val="3"/>
          </w:tcPr>
          <w:p>
            <w:pPr>
              <w:ind w:left="380"/>
              <w:spacing w:after="0"/>
              <w:rPr>
                <w:sz w:val="20"/>
                <w:szCs w:val="20"/>
                <w:color w:val="auto"/>
              </w:rPr>
            </w:pPr>
            <w:r>
              <w:rPr>
                <w:rFonts w:ascii="Arial" w:cs="Arial" w:eastAsia="Arial" w:hAnsi="Arial"/>
                <w:sz w:val="16"/>
                <w:szCs w:val="16"/>
                <w:color w:val="auto"/>
              </w:rPr>
              <w:t>Granted</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366,786</w:t>
            </w:r>
          </w:p>
        </w:tc>
        <w:tc>
          <w:tcPr>
            <w:tcW w:w="20" w:type="dxa"/>
            <w:vAlign w:val="bottom"/>
          </w:tcPr>
          <w:p>
            <w:pPr>
              <w:spacing w:after="0"/>
              <w:rPr>
                <w:sz w:val="22"/>
                <w:szCs w:val="22"/>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79.79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86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(1,183,235)</w:t>
            </w:r>
          </w:p>
        </w:tc>
        <w:tc>
          <w:tcPr>
            <w:tcW w:w="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64"/>
        </w:trPr>
        <w:tc>
          <w:tcPr>
            <w:tcW w:w="386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Canceled</w:t>
            </w: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(250,133)</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39.61</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242"/>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3,429,309</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149,935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3860" w:type="dxa"/>
            <w:vAlign w:val="bottom"/>
            <w:gridSpan w:val="3"/>
          </w:tcPr>
          <w:p>
            <w:pPr>
              <w:ind w:left="40"/>
              <w:spacing w:after="0"/>
              <w:rPr>
                <w:sz w:val="20"/>
                <w:szCs w:val="20"/>
                <w:color w:val="auto"/>
              </w:rPr>
            </w:pPr>
            <w:r>
              <w:rPr>
                <w:rFonts w:ascii="Arial" w:cs="Arial" w:eastAsia="Arial" w:hAnsi="Arial"/>
                <w:sz w:val="16"/>
                <w:szCs w:val="16"/>
                <w:color w:val="auto"/>
              </w:rPr>
              <w:t>Vested and expected to vest - December 31, 2018</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3,230,498</w:t>
            </w:r>
          </w:p>
        </w:tc>
        <w:tc>
          <w:tcPr>
            <w:tcW w:w="20" w:type="dxa"/>
            <w:vAlign w:val="bottom"/>
          </w:tcPr>
          <w:p>
            <w:pPr>
              <w:spacing w:after="0"/>
              <w:rPr>
                <w:sz w:val="18"/>
                <w:szCs w:val="18"/>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30.27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c>
          <w:tcPr>
            <w:tcW w:w="2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145,521</w:t>
            </w:r>
          </w:p>
        </w:tc>
        <w:tc>
          <w:tcPr>
            <w:tcW w:w="60" w:type="dxa"/>
            <w:vAlign w:val="bottom"/>
          </w:tcPr>
          <w:p>
            <w:pPr>
              <w:spacing w:after="0"/>
              <w:rPr>
                <w:sz w:val="18"/>
                <w:szCs w:val="18"/>
                <w:color w:val="auto"/>
              </w:rPr>
            </w:pPr>
          </w:p>
        </w:tc>
      </w:tr>
      <w:tr>
        <w:trPr>
          <w:trHeight w:val="278"/>
        </w:trPr>
        <w:tc>
          <w:tcPr>
            <w:tcW w:w="3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Exercisable - December 31, 2018</w:t>
            </w: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2,459,936</w:t>
            </w:r>
          </w:p>
        </w:tc>
        <w:tc>
          <w:tcPr>
            <w:tcW w:w="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121,696</w:t>
            </w:r>
          </w:p>
        </w:tc>
        <w:tc>
          <w:tcPr>
            <w:tcW w:w="60" w:type="dxa"/>
            <w:vAlign w:val="bottom"/>
            <w:shd w:val="clear" w:color="auto" w:fill="CCEEFF"/>
          </w:tcPr>
          <w:p>
            <w:pPr>
              <w:spacing w:after="0"/>
              <w:rPr>
                <w:sz w:val="24"/>
                <w:szCs w:val="24"/>
                <w:color w:val="auto"/>
              </w:rPr>
            </w:pPr>
          </w:p>
        </w:tc>
      </w:tr>
      <w:tr>
        <w:trPr>
          <w:trHeight w:val="436"/>
        </w:trPr>
        <w:tc>
          <w:tcPr>
            <w:tcW w:w="8360" w:type="dxa"/>
            <w:vAlign w:val="bottom"/>
            <w:gridSpan w:val="15"/>
          </w:tcPr>
          <w:p>
            <w:pPr>
              <w:ind w:left="420"/>
              <w:spacing w:after="0"/>
              <w:rPr>
                <w:sz w:val="20"/>
                <w:szCs w:val="20"/>
                <w:color w:val="auto"/>
              </w:rPr>
            </w:pPr>
            <w:r>
              <w:rPr>
                <w:rFonts w:ascii="Arial" w:cs="Arial" w:eastAsia="Arial" w:hAnsi="Arial"/>
                <w:sz w:val="18"/>
                <w:szCs w:val="18"/>
                <w:color w:val="auto"/>
              </w:rPr>
              <w:t>The following table summarizes the outstanding and vested stock options at December 31, 2018:</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1"/>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1019"/>
              <w:spacing w:after="0"/>
              <w:rPr>
                <w:sz w:val="20"/>
                <w:szCs w:val="20"/>
                <w:color w:val="auto"/>
              </w:rPr>
            </w:pPr>
            <w:r>
              <w:rPr>
                <w:rFonts w:ascii="Arial" w:cs="Arial" w:eastAsia="Arial" w:hAnsi="Arial"/>
                <w:sz w:val="14"/>
                <w:szCs w:val="14"/>
                <w:b w:val="1"/>
                <w:bCs w:val="1"/>
                <w:color w:val="auto"/>
              </w:rPr>
              <w:t>Exercisable</w:t>
            </w:r>
          </w:p>
        </w:tc>
        <w:tc>
          <w:tcPr>
            <w:tcW w:w="60" w:type="dxa"/>
            <w:vAlign w:val="bottom"/>
          </w:tcPr>
          <w:p>
            <w:pPr>
              <w:spacing w:after="0"/>
              <w:rPr>
                <w:sz w:val="24"/>
                <w:szCs w:val="24"/>
                <w:color w:val="auto"/>
              </w:rPr>
            </w:pPr>
          </w:p>
        </w:tc>
      </w:tr>
      <w:tr>
        <w:trPr>
          <w:trHeight w:val="190"/>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9"/>
              </w:rPr>
              <w:t>Weighted</w:t>
            </w: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rPr>
              <w:t>Average</w:t>
            </w: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Exercise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rPr>
              <w:t>Remaining</w:t>
            </w: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Exercise</w:t>
            </w: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w:t>
            </w:r>
          </w:p>
        </w:tc>
        <w:tc>
          <w:tcPr>
            <w:tcW w:w="18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 Per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rPr>
              <w:t>Contractual</w:t>
            </w:r>
          </w:p>
        </w:tc>
        <w:tc>
          <w:tcPr>
            <w:tcW w:w="14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Price Per</w:t>
            </w:r>
          </w:p>
        </w:tc>
      </w:tr>
      <w:tr>
        <w:trPr>
          <w:trHeight w:val="232"/>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BFE4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BFE4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Share</w:t>
            </w:r>
          </w:p>
        </w:tc>
        <w:tc>
          <w:tcPr>
            <w:tcW w:w="20" w:type="dxa"/>
            <w:vAlign w:val="bottom"/>
            <w:tcBorders>
              <w:bottom w:val="single" w:sz="8" w:color="BFE4FF"/>
            </w:tcBorders>
          </w:tcPr>
          <w:p>
            <w:pPr>
              <w:spacing w:after="0"/>
              <w:rPr>
                <w:sz w:val="20"/>
                <w:szCs w:val="20"/>
                <w:color w:val="auto"/>
              </w:rPr>
            </w:pPr>
          </w:p>
        </w:tc>
        <w:tc>
          <w:tcPr>
            <w:tcW w:w="80" w:type="dxa"/>
            <w:vAlign w:val="bottom"/>
            <w:tcBorders>
              <w:bottom w:val="single" w:sz="8" w:color="BFE4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Life (Years)</w:t>
            </w:r>
          </w:p>
        </w:tc>
        <w:tc>
          <w:tcPr>
            <w:tcW w:w="100" w:type="dxa"/>
            <w:vAlign w:val="bottom"/>
            <w:tcBorders>
              <w:bottom w:val="single" w:sz="8" w:color="BFE4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60" w:type="dxa"/>
            <w:vAlign w:val="bottom"/>
            <w:tcBorders>
              <w:bottom w:val="single" w:sz="8" w:color="BFE4FF"/>
            </w:tcBorders>
          </w:tcPr>
          <w:p>
            <w:pPr>
              <w:spacing w:after="0"/>
              <w:rPr>
                <w:sz w:val="20"/>
                <w:szCs w:val="20"/>
                <w:color w:val="auto"/>
              </w:rPr>
            </w:pPr>
          </w:p>
        </w:tc>
        <w:tc>
          <w:tcPr>
            <w:tcW w:w="60" w:type="dxa"/>
            <w:vAlign w:val="bottom"/>
            <w:tcBorders>
              <w:bottom w:val="single" w:sz="8" w:color="BFE4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Share</w:t>
            </w:r>
          </w:p>
        </w:tc>
        <w:tc>
          <w:tcPr>
            <w:tcW w:w="60" w:type="dxa"/>
            <w:vAlign w:val="bottom"/>
          </w:tcPr>
          <w:p>
            <w:pPr>
              <w:spacing w:after="0"/>
              <w:rPr>
                <w:sz w:val="20"/>
                <w:szCs w:val="20"/>
                <w:color w:val="auto"/>
              </w:rPr>
            </w:pPr>
          </w:p>
        </w:tc>
      </w:tr>
      <w:tr>
        <w:trPr>
          <w:trHeight w:val="254"/>
        </w:trPr>
        <w:tc>
          <w:tcPr>
            <w:tcW w:w="3420" w:type="dxa"/>
            <w:vAlign w:val="bottom"/>
            <w:shd w:val="clear" w:color="auto" w:fill="BFE4FF"/>
          </w:tcPr>
          <w:p>
            <w:pPr>
              <w:ind w:left="40"/>
              <w:spacing w:after="0"/>
              <w:rPr>
                <w:sz w:val="20"/>
                <w:szCs w:val="20"/>
                <w:color w:val="auto"/>
              </w:rPr>
            </w:pPr>
            <w:r>
              <w:rPr>
                <w:rFonts w:ascii="Arial" w:cs="Arial" w:eastAsia="Arial" w:hAnsi="Arial"/>
                <w:sz w:val="16"/>
                <w:szCs w:val="16"/>
                <w:color w:val="auto"/>
              </w:rPr>
              <w:t>$2.80 - $12.68</w:t>
            </w:r>
          </w:p>
        </w:tc>
        <w:tc>
          <w:tcPr>
            <w:tcW w:w="120" w:type="dxa"/>
            <w:vAlign w:val="bottom"/>
            <w:shd w:val="clear" w:color="auto" w:fill="BFE4FF"/>
          </w:tcPr>
          <w:p>
            <w:pPr>
              <w:spacing w:after="0"/>
              <w:rPr>
                <w:sz w:val="22"/>
                <w:szCs w:val="22"/>
                <w:color w:val="auto"/>
              </w:rPr>
            </w:pPr>
          </w:p>
        </w:tc>
        <w:tc>
          <w:tcPr>
            <w:tcW w:w="320" w:type="dxa"/>
            <w:vAlign w:val="bottom"/>
            <w:shd w:val="clear" w:color="auto" w:fill="BFE4FF"/>
          </w:tcPr>
          <w:p>
            <w:pPr>
              <w:spacing w:after="0"/>
              <w:rPr>
                <w:sz w:val="22"/>
                <w:szCs w:val="22"/>
                <w:color w:val="auto"/>
              </w:rPr>
            </w:pP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376,405</w:t>
            </w:r>
          </w:p>
        </w:tc>
        <w:tc>
          <w:tcPr>
            <w:tcW w:w="120" w:type="dxa"/>
            <w:vAlign w:val="bottom"/>
            <w:shd w:val="clear" w:color="auto" w:fill="BFE4FF"/>
          </w:tcPr>
          <w:p>
            <w:pPr>
              <w:spacing w:after="0"/>
              <w:rPr>
                <w:sz w:val="22"/>
                <w:szCs w:val="22"/>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8.58</w:t>
            </w:r>
          </w:p>
        </w:tc>
        <w:tc>
          <w:tcPr>
            <w:tcW w:w="2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40" w:type="dxa"/>
            <w:vAlign w:val="bottom"/>
            <w:shd w:val="clear" w:color="auto" w:fill="BFE4FF"/>
          </w:tcPr>
          <w:p>
            <w:pPr>
              <w:spacing w:after="0"/>
              <w:rPr>
                <w:sz w:val="22"/>
                <w:szCs w:val="22"/>
                <w:color w:val="auto"/>
              </w:rPr>
            </w:pPr>
          </w:p>
        </w:tc>
        <w:tc>
          <w:tcPr>
            <w:tcW w:w="180" w:type="dxa"/>
            <w:vAlign w:val="bottom"/>
            <w:shd w:val="clear" w:color="auto" w:fill="BFE4FF"/>
          </w:tcPr>
          <w:p>
            <w:pPr>
              <w:spacing w:after="0"/>
              <w:rPr>
                <w:sz w:val="22"/>
                <w:szCs w:val="22"/>
                <w:color w:val="auto"/>
              </w:rPr>
            </w:pPr>
          </w:p>
        </w:tc>
        <w:tc>
          <w:tcPr>
            <w:tcW w:w="1260" w:type="dxa"/>
            <w:vAlign w:val="bottom"/>
            <w:shd w:val="clear" w:color="auto" w:fill="BFE4FF"/>
          </w:tcPr>
          <w:p>
            <w:pPr>
              <w:jc w:val="center"/>
              <w:ind w:right="119"/>
              <w:spacing w:after="0"/>
              <w:rPr>
                <w:sz w:val="20"/>
                <w:szCs w:val="20"/>
                <w:color w:val="auto"/>
              </w:rPr>
            </w:pPr>
            <w:r>
              <w:rPr>
                <w:rFonts w:ascii="Arial" w:cs="Arial" w:eastAsia="Arial" w:hAnsi="Arial"/>
                <w:sz w:val="16"/>
                <w:szCs w:val="16"/>
                <w:color w:val="auto"/>
                <w:w w:val="98"/>
              </w:rPr>
              <w:t>3.1</w:t>
            </w:r>
          </w:p>
        </w:tc>
        <w:tc>
          <w:tcPr>
            <w:tcW w:w="40" w:type="dxa"/>
            <w:vAlign w:val="bottom"/>
            <w:shd w:val="clear" w:color="auto" w:fill="BFE4FF"/>
          </w:tcPr>
          <w:p>
            <w:pPr>
              <w:spacing w:after="0"/>
              <w:rPr>
                <w:sz w:val="22"/>
                <w:szCs w:val="22"/>
                <w:color w:val="auto"/>
              </w:rPr>
            </w:pPr>
          </w:p>
        </w:tc>
        <w:tc>
          <w:tcPr>
            <w:tcW w:w="60" w:type="dxa"/>
            <w:vAlign w:val="bottom"/>
            <w:shd w:val="clear" w:color="auto" w:fill="BFE4FF"/>
          </w:tcPr>
          <w:p>
            <w:pPr>
              <w:spacing w:after="0"/>
              <w:rPr>
                <w:sz w:val="22"/>
                <w:szCs w:val="22"/>
                <w:color w:val="auto"/>
              </w:rPr>
            </w:pPr>
          </w:p>
        </w:tc>
        <w:tc>
          <w:tcPr>
            <w:tcW w:w="40" w:type="dxa"/>
            <w:vAlign w:val="bottom"/>
            <w:shd w:val="clear" w:color="auto" w:fill="BFE4FF"/>
          </w:tcPr>
          <w:p>
            <w:pPr>
              <w:spacing w:after="0"/>
              <w:rPr>
                <w:sz w:val="22"/>
                <w:szCs w:val="22"/>
                <w:color w:val="auto"/>
              </w:rPr>
            </w:pPr>
          </w:p>
        </w:tc>
        <w:tc>
          <w:tcPr>
            <w:tcW w:w="14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376,405</w:t>
            </w:r>
          </w:p>
        </w:tc>
        <w:tc>
          <w:tcPr>
            <w:tcW w:w="60" w:type="dxa"/>
            <w:vAlign w:val="bottom"/>
            <w:shd w:val="clear" w:color="auto" w:fill="BFE4FF"/>
          </w:tcPr>
          <w:p>
            <w:pPr>
              <w:spacing w:after="0"/>
              <w:rPr>
                <w:sz w:val="22"/>
                <w:szCs w:val="22"/>
                <w:color w:val="auto"/>
              </w:rPr>
            </w:pPr>
          </w:p>
        </w:tc>
        <w:tc>
          <w:tcPr>
            <w:tcW w:w="260" w:type="dxa"/>
            <w:vAlign w:val="bottom"/>
            <w:gridSpan w:val="3"/>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8.58</w:t>
            </w:r>
          </w:p>
        </w:tc>
        <w:tc>
          <w:tcPr>
            <w:tcW w:w="60" w:type="dxa"/>
            <w:vAlign w:val="bottom"/>
          </w:tcPr>
          <w:p>
            <w:pPr>
              <w:spacing w:after="0"/>
              <w:rPr>
                <w:sz w:val="22"/>
                <w:szCs w:val="22"/>
                <w:color w:val="auto"/>
              </w:rPr>
            </w:pPr>
          </w:p>
        </w:tc>
      </w:tr>
      <w:tr>
        <w:trPr>
          <w:trHeight w:val="262"/>
        </w:trPr>
        <w:tc>
          <w:tcPr>
            <w:tcW w:w="3420" w:type="dxa"/>
            <w:vAlign w:val="bottom"/>
          </w:tcPr>
          <w:p>
            <w:pPr>
              <w:ind w:left="40"/>
              <w:spacing w:after="0"/>
              <w:rPr>
                <w:sz w:val="20"/>
                <w:szCs w:val="20"/>
                <w:color w:val="auto"/>
              </w:rPr>
            </w:pPr>
            <w:r>
              <w:rPr>
                <w:rFonts w:ascii="Arial" w:cs="Arial" w:eastAsia="Arial" w:hAnsi="Arial"/>
                <w:sz w:val="16"/>
                <w:szCs w:val="16"/>
                <w:color w:val="auto"/>
              </w:rPr>
              <w:t>$13.50 - $25.17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474,527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21.70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8"/>
              </w:rPr>
              <w:t>5.4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412,956</w:t>
            </w:r>
          </w:p>
        </w:tc>
        <w:tc>
          <w:tcPr>
            <w:tcW w:w="60" w:type="dxa"/>
            <w:vAlign w:val="bottom"/>
          </w:tcPr>
          <w:p>
            <w:pPr>
              <w:spacing w:after="0"/>
              <w:rPr>
                <w:sz w:val="22"/>
                <w:szCs w:val="22"/>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21.18</w:t>
            </w:r>
          </w:p>
        </w:tc>
        <w:tc>
          <w:tcPr>
            <w:tcW w:w="60" w:type="dxa"/>
            <w:vAlign w:val="bottom"/>
          </w:tcPr>
          <w:p>
            <w:pPr>
              <w:spacing w:after="0"/>
              <w:rPr>
                <w:sz w:val="22"/>
                <w:szCs w:val="22"/>
                <w:color w:val="auto"/>
              </w:rPr>
            </w:pPr>
          </w:p>
        </w:tc>
      </w:tr>
      <w:tr>
        <w:trPr>
          <w:trHeight w:val="278"/>
        </w:trPr>
        <w:tc>
          <w:tcPr>
            <w:tcW w:w="3420" w:type="dxa"/>
            <w:vAlign w:val="bottom"/>
            <w:shd w:val="clear" w:color="auto" w:fill="BFE4FF"/>
          </w:tcPr>
          <w:p>
            <w:pPr>
              <w:ind w:left="40"/>
              <w:spacing w:after="0"/>
              <w:rPr>
                <w:sz w:val="20"/>
                <w:szCs w:val="20"/>
                <w:color w:val="auto"/>
              </w:rPr>
            </w:pPr>
            <w:r>
              <w:rPr>
                <w:rFonts w:ascii="Arial" w:cs="Arial" w:eastAsia="Arial" w:hAnsi="Arial"/>
                <w:sz w:val="16"/>
                <w:szCs w:val="16"/>
                <w:color w:val="auto"/>
              </w:rPr>
              <w:t>$25.56 - $25.56</w:t>
            </w:r>
          </w:p>
        </w:tc>
        <w:tc>
          <w:tcPr>
            <w:tcW w:w="120" w:type="dxa"/>
            <w:vAlign w:val="bottom"/>
            <w:shd w:val="clear" w:color="auto" w:fill="BFE4FF"/>
          </w:tcPr>
          <w:p>
            <w:pPr>
              <w:spacing w:after="0"/>
              <w:rPr>
                <w:sz w:val="24"/>
                <w:szCs w:val="24"/>
                <w:color w:val="auto"/>
              </w:rPr>
            </w:pPr>
          </w:p>
        </w:tc>
        <w:tc>
          <w:tcPr>
            <w:tcW w:w="32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886,676</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25.56</w:t>
            </w:r>
          </w:p>
        </w:tc>
        <w:tc>
          <w:tcPr>
            <w:tcW w:w="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1260" w:type="dxa"/>
            <w:vAlign w:val="bottom"/>
            <w:shd w:val="clear" w:color="auto" w:fill="BFE4FF"/>
          </w:tcPr>
          <w:p>
            <w:pPr>
              <w:jc w:val="center"/>
              <w:ind w:right="119"/>
              <w:spacing w:after="0"/>
              <w:rPr>
                <w:sz w:val="20"/>
                <w:szCs w:val="20"/>
                <w:color w:val="auto"/>
              </w:rPr>
            </w:pPr>
            <w:r>
              <w:rPr>
                <w:rFonts w:ascii="Arial" w:cs="Arial" w:eastAsia="Arial" w:hAnsi="Arial"/>
                <w:sz w:val="16"/>
                <w:szCs w:val="16"/>
                <w:color w:val="auto"/>
                <w:w w:val="98"/>
              </w:rPr>
              <w:t>7.3</w:t>
            </w:r>
          </w:p>
        </w:tc>
        <w:tc>
          <w:tcPr>
            <w:tcW w:w="40" w:type="dxa"/>
            <w:vAlign w:val="bottom"/>
            <w:shd w:val="clear" w:color="auto" w:fill="BFE4FF"/>
          </w:tcPr>
          <w:p>
            <w:pPr>
              <w:spacing w:after="0"/>
              <w:rPr>
                <w:sz w:val="24"/>
                <w:szCs w:val="24"/>
                <w:color w:val="auto"/>
              </w:rPr>
            </w:pPr>
          </w:p>
        </w:tc>
        <w:tc>
          <w:tcPr>
            <w:tcW w:w="6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4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587,978</w:t>
            </w:r>
          </w:p>
        </w:tc>
        <w:tc>
          <w:tcPr>
            <w:tcW w:w="60" w:type="dxa"/>
            <w:vAlign w:val="bottom"/>
            <w:shd w:val="clear" w:color="auto" w:fill="BFE4FF"/>
          </w:tcPr>
          <w:p>
            <w:pPr>
              <w:spacing w:after="0"/>
              <w:rPr>
                <w:sz w:val="24"/>
                <w:szCs w:val="24"/>
                <w:color w:val="auto"/>
              </w:rPr>
            </w:pPr>
          </w:p>
        </w:tc>
        <w:tc>
          <w:tcPr>
            <w:tcW w:w="260" w:type="dxa"/>
            <w:vAlign w:val="bottom"/>
            <w:gridSpan w:val="3"/>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25.56</w:t>
            </w:r>
          </w:p>
        </w:tc>
        <w:tc>
          <w:tcPr>
            <w:tcW w:w="60" w:type="dxa"/>
            <w:vAlign w:val="bottom"/>
          </w:tcPr>
          <w:p>
            <w:pPr>
              <w:spacing w:after="0"/>
              <w:rPr>
                <w:sz w:val="24"/>
                <w:szCs w:val="24"/>
                <w:color w:val="auto"/>
              </w:rPr>
            </w:pPr>
          </w:p>
        </w:tc>
      </w:tr>
      <w:tr>
        <w:trPr>
          <w:trHeight w:val="262"/>
        </w:trPr>
        <w:tc>
          <w:tcPr>
            <w:tcW w:w="3420" w:type="dxa"/>
            <w:vAlign w:val="bottom"/>
          </w:tcPr>
          <w:p>
            <w:pPr>
              <w:ind w:left="40"/>
              <w:spacing w:after="0"/>
              <w:rPr>
                <w:sz w:val="20"/>
                <w:szCs w:val="20"/>
                <w:color w:val="auto"/>
              </w:rPr>
            </w:pPr>
            <w:r>
              <w:rPr>
                <w:rFonts w:ascii="Arial" w:cs="Arial" w:eastAsia="Arial" w:hAnsi="Arial"/>
                <w:sz w:val="16"/>
                <w:szCs w:val="16"/>
                <w:color w:val="auto"/>
              </w:rPr>
              <w:t>$26.86 - $26.86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427,997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26.86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8"/>
              </w:rPr>
              <w:t>5.1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427,997</w:t>
            </w:r>
          </w:p>
        </w:tc>
        <w:tc>
          <w:tcPr>
            <w:tcW w:w="60" w:type="dxa"/>
            <w:vAlign w:val="bottom"/>
          </w:tcPr>
          <w:p>
            <w:pPr>
              <w:spacing w:after="0"/>
              <w:rPr>
                <w:sz w:val="22"/>
                <w:szCs w:val="22"/>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26.86</w:t>
            </w:r>
          </w:p>
        </w:tc>
        <w:tc>
          <w:tcPr>
            <w:tcW w:w="60" w:type="dxa"/>
            <w:vAlign w:val="bottom"/>
          </w:tcPr>
          <w:p>
            <w:pPr>
              <w:spacing w:after="0"/>
              <w:rPr>
                <w:sz w:val="22"/>
                <w:szCs w:val="22"/>
                <w:color w:val="auto"/>
              </w:rPr>
            </w:pPr>
          </w:p>
        </w:tc>
      </w:tr>
      <w:tr>
        <w:trPr>
          <w:trHeight w:val="278"/>
        </w:trPr>
        <w:tc>
          <w:tcPr>
            <w:tcW w:w="3420" w:type="dxa"/>
            <w:vAlign w:val="bottom"/>
            <w:shd w:val="clear" w:color="auto" w:fill="BFE4FF"/>
          </w:tcPr>
          <w:p>
            <w:pPr>
              <w:ind w:left="40"/>
              <w:spacing w:after="0"/>
              <w:rPr>
                <w:sz w:val="20"/>
                <w:szCs w:val="20"/>
                <w:color w:val="auto"/>
              </w:rPr>
            </w:pPr>
            <w:r>
              <w:rPr>
                <w:rFonts w:ascii="Arial" w:cs="Arial" w:eastAsia="Arial" w:hAnsi="Arial"/>
                <w:sz w:val="16"/>
                <w:szCs w:val="16"/>
                <w:color w:val="auto"/>
              </w:rPr>
              <w:t>$30.58 - $34.97</w:t>
            </w:r>
          </w:p>
        </w:tc>
        <w:tc>
          <w:tcPr>
            <w:tcW w:w="120" w:type="dxa"/>
            <w:vAlign w:val="bottom"/>
            <w:shd w:val="clear" w:color="auto" w:fill="BFE4FF"/>
          </w:tcPr>
          <w:p>
            <w:pPr>
              <w:spacing w:after="0"/>
              <w:rPr>
                <w:sz w:val="24"/>
                <w:szCs w:val="24"/>
                <w:color w:val="auto"/>
              </w:rPr>
            </w:pPr>
          </w:p>
        </w:tc>
        <w:tc>
          <w:tcPr>
            <w:tcW w:w="32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372,331</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31.78</w:t>
            </w:r>
          </w:p>
        </w:tc>
        <w:tc>
          <w:tcPr>
            <w:tcW w:w="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1260" w:type="dxa"/>
            <w:vAlign w:val="bottom"/>
            <w:shd w:val="clear" w:color="auto" w:fill="BFE4FF"/>
          </w:tcPr>
          <w:p>
            <w:pPr>
              <w:jc w:val="center"/>
              <w:ind w:right="119"/>
              <w:spacing w:after="0"/>
              <w:rPr>
                <w:sz w:val="20"/>
                <w:szCs w:val="20"/>
                <w:color w:val="auto"/>
              </w:rPr>
            </w:pPr>
            <w:r>
              <w:rPr>
                <w:rFonts w:ascii="Arial" w:cs="Arial" w:eastAsia="Arial" w:hAnsi="Arial"/>
                <w:sz w:val="16"/>
                <w:szCs w:val="16"/>
                <w:color w:val="auto"/>
                <w:w w:val="98"/>
              </w:rPr>
              <w:t>6.2</w:t>
            </w:r>
          </w:p>
        </w:tc>
        <w:tc>
          <w:tcPr>
            <w:tcW w:w="40" w:type="dxa"/>
            <w:vAlign w:val="bottom"/>
            <w:shd w:val="clear" w:color="auto" w:fill="BFE4FF"/>
          </w:tcPr>
          <w:p>
            <w:pPr>
              <w:spacing w:after="0"/>
              <w:rPr>
                <w:sz w:val="24"/>
                <w:szCs w:val="24"/>
                <w:color w:val="auto"/>
              </w:rPr>
            </w:pPr>
          </w:p>
        </w:tc>
        <w:tc>
          <w:tcPr>
            <w:tcW w:w="6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4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307,743</w:t>
            </w:r>
          </w:p>
        </w:tc>
        <w:tc>
          <w:tcPr>
            <w:tcW w:w="60" w:type="dxa"/>
            <w:vAlign w:val="bottom"/>
            <w:shd w:val="clear" w:color="auto" w:fill="BFE4FF"/>
          </w:tcPr>
          <w:p>
            <w:pPr>
              <w:spacing w:after="0"/>
              <w:rPr>
                <w:sz w:val="24"/>
                <w:szCs w:val="24"/>
                <w:color w:val="auto"/>
              </w:rPr>
            </w:pPr>
          </w:p>
        </w:tc>
        <w:tc>
          <w:tcPr>
            <w:tcW w:w="260" w:type="dxa"/>
            <w:vAlign w:val="bottom"/>
            <w:gridSpan w:val="3"/>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31.54</w:t>
            </w:r>
          </w:p>
        </w:tc>
        <w:tc>
          <w:tcPr>
            <w:tcW w:w="60" w:type="dxa"/>
            <w:vAlign w:val="bottom"/>
          </w:tcPr>
          <w:p>
            <w:pPr>
              <w:spacing w:after="0"/>
              <w:rPr>
                <w:sz w:val="24"/>
                <w:szCs w:val="24"/>
                <w:color w:val="auto"/>
              </w:rPr>
            </w:pPr>
          </w:p>
        </w:tc>
      </w:tr>
      <w:tr>
        <w:trPr>
          <w:trHeight w:val="262"/>
        </w:trPr>
        <w:tc>
          <w:tcPr>
            <w:tcW w:w="3420" w:type="dxa"/>
            <w:vAlign w:val="bottom"/>
          </w:tcPr>
          <w:p>
            <w:pPr>
              <w:ind w:left="40"/>
              <w:spacing w:after="0"/>
              <w:rPr>
                <w:sz w:val="20"/>
                <w:szCs w:val="20"/>
                <w:color w:val="auto"/>
              </w:rPr>
            </w:pPr>
            <w:r>
              <w:rPr>
                <w:rFonts w:ascii="Arial" w:cs="Arial" w:eastAsia="Arial" w:hAnsi="Arial"/>
                <w:sz w:val="16"/>
                <w:szCs w:val="16"/>
                <w:color w:val="auto"/>
              </w:rPr>
              <w:t>$36.25 - $40.15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391,568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37.78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8"/>
              </w:rPr>
              <w:t>7.2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225,200</w:t>
            </w:r>
          </w:p>
        </w:tc>
        <w:tc>
          <w:tcPr>
            <w:tcW w:w="60" w:type="dxa"/>
            <w:vAlign w:val="bottom"/>
          </w:tcPr>
          <w:p>
            <w:pPr>
              <w:spacing w:after="0"/>
              <w:rPr>
                <w:sz w:val="22"/>
                <w:szCs w:val="22"/>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37.53</w:t>
            </w:r>
          </w:p>
        </w:tc>
        <w:tc>
          <w:tcPr>
            <w:tcW w:w="60" w:type="dxa"/>
            <w:vAlign w:val="bottom"/>
          </w:tcPr>
          <w:p>
            <w:pPr>
              <w:spacing w:after="0"/>
              <w:rPr>
                <w:sz w:val="22"/>
                <w:szCs w:val="22"/>
                <w:color w:val="auto"/>
              </w:rPr>
            </w:pPr>
          </w:p>
        </w:tc>
      </w:tr>
      <w:tr>
        <w:trPr>
          <w:trHeight w:val="278"/>
        </w:trPr>
        <w:tc>
          <w:tcPr>
            <w:tcW w:w="3420" w:type="dxa"/>
            <w:vAlign w:val="bottom"/>
            <w:shd w:val="clear" w:color="auto" w:fill="BFE4FF"/>
          </w:tcPr>
          <w:p>
            <w:pPr>
              <w:ind w:left="40"/>
              <w:spacing w:after="0"/>
              <w:rPr>
                <w:sz w:val="20"/>
                <w:szCs w:val="20"/>
                <w:color w:val="auto"/>
              </w:rPr>
            </w:pPr>
            <w:r>
              <w:rPr>
                <w:rFonts w:ascii="Arial" w:cs="Arial" w:eastAsia="Arial" w:hAnsi="Arial"/>
                <w:sz w:val="16"/>
                <w:szCs w:val="16"/>
                <w:color w:val="auto"/>
              </w:rPr>
              <w:t>$40.68 - $59.95</w:t>
            </w:r>
          </w:p>
        </w:tc>
        <w:tc>
          <w:tcPr>
            <w:tcW w:w="120" w:type="dxa"/>
            <w:vAlign w:val="bottom"/>
            <w:shd w:val="clear" w:color="auto" w:fill="BFE4FF"/>
          </w:tcPr>
          <w:p>
            <w:pPr>
              <w:spacing w:after="0"/>
              <w:rPr>
                <w:sz w:val="24"/>
                <w:szCs w:val="24"/>
                <w:color w:val="auto"/>
              </w:rPr>
            </w:pPr>
          </w:p>
        </w:tc>
        <w:tc>
          <w:tcPr>
            <w:tcW w:w="32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213,744</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49.97</w:t>
            </w:r>
          </w:p>
        </w:tc>
        <w:tc>
          <w:tcPr>
            <w:tcW w:w="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1260" w:type="dxa"/>
            <w:vAlign w:val="bottom"/>
            <w:shd w:val="clear" w:color="auto" w:fill="BFE4FF"/>
          </w:tcPr>
          <w:p>
            <w:pPr>
              <w:jc w:val="center"/>
              <w:ind w:right="119"/>
              <w:spacing w:after="0"/>
              <w:rPr>
                <w:sz w:val="20"/>
                <w:szCs w:val="20"/>
                <w:color w:val="auto"/>
              </w:rPr>
            </w:pPr>
            <w:r>
              <w:rPr>
                <w:rFonts w:ascii="Arial" w:cs="Arial" w:eastAsia="Arial" w:hAnsi="Arial"/>
                <w:sz w:val="16"/>
                <w:szCs w:val="16"/>
                <w:color w:val="auto"/>
                <w:w w:val="98"/>
              </w:rPr>
              <w:t>7.6</w:t>
            </w:r>
          </w:p>
        </w:tc>
        <w:tc>
          <w:tcPr>
            <w:tcW w:w="40" w:type="dxa"/>
            <w:vAlign w:val="bottom"/>
            <w:shd w:val="clear" w:color="auto" w:fill="BFE4FF"/>
          </w:tcPr>
          <w:p>
            <w:pPr>
              <w:spacing w:after="0"/>
              <w:rPr>
                <w:sz w:val="24"/>
                <w:szCs w:val="24"/>
                <w:color w:val="auto"/>
              </w:rPr>
            </w:pPr>
          </w:p>
        </w:tc>
        <w:tc>
          <w:tcPr>
            <w:tcW w:w="6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4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121,460</w:t>
            </w:r>
          </w:p>
        </w:tc>
        <w:tc>
          <w:tcPr>
            <w:tcW w:w="60" w:type="dxa"/>
            <w:vAlign w:val="bottom"/>
            <w:shd w:val="clear" w:color="auto" w:fill="BFE4FF"/>
          </w:tcPr>
          <w:p>
            <w:pPr>
              <w:spacing w:after="0"/>
              <w:rPr>
                <w:sz w:val="24"/>
                <w:szCs w:val="24"/>
                <w:color w:val="auto"/>
              </w:rPr>
            </w:pPr>
          </w:p>
        </w:tc>
        <w:tc>
          <w:tcPr>
            <w:tcW w:w="260" w:type="dxa"/>
            <w:vAlign w:val="bottom"/>
            <w:gridSpan w:val="3"/>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45.16</w:t>
            </w:r>
          </w:p>
        </w:tc>
        <w:tc>
          <w:tcPr>
            <w:tcW w:w="60" w:type="dxa"/>
            <w:vAlign w:val="bottom"/>
          </w:tcPr>
          <w:p>
            <w:pPr>
              <w:spacing w:after="0"/>
              <w:rPr>
                <w:sz w:val="24"/>
                <w:szCs w:val="24"/>
                <w:color w:val="auto"/>
              </w:rPr>
            </w:pPr>
          </w:p>
        </w:tc>
      </w:tr>
      <w:tr>
        <w:trPr>
          <w:trHeight w:val="262"/>
        </w:trPr>
        <w:tc>
          <w:tcPr>
            <w:tcW w:w="3420" w:type="dxa"/>
            <w:vAlign w:val="bottom"/>
          </w:tcPr>
          <w:p>
            <w:pPr>
              <w:ind w:left="40"/>
              <w:spacing w:after="0"/>
              <w:rPr>
                <w:sz w:val="20"/>
                <w:szCs w:val="20"/>
                <w:color w:val="auto"/>
              </w:rPr>
            </w:pPr>
            <w:r>
              <w:rPr>
                <w:rFonts w:ascii="Arial" w:cs="Arial" w:eastAsia="Arial" w:hAnsi="Arial"/>
                <w:sz w:val="16"/>
                <w:szCs w:val="16"/>
                <w:color w:val="auto"/>
              </w:rPr>
              <w:t>$76.21 - $76.21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101,125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76.21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8"/>
              </w:rPr>
              <w:t>9.8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78"/>
        </w:trPr>
        <w:tc>
          <w:tcPr>
            <w:tcW w:w="3420" w:type="dxa"/>
            <w:vAlign w:val="bottom"/>
            <w:shd w:val="clear" w:color="auto" w:fill="BFE4FF"/>
          </w:tcPr>
          <w:p>
            <w:pPr>
              <w:ind w:left="40"/>
              <w:spacing w:after="0"/>
              <w:rPr>
                <w:sz w:val="20"/>
                <w:szCs w:val="20"/>
                <w:color w:val="auto"/>
              </w:rPr>
            </w:pPr>
            <w:r>
              <w:rPr>
                <w:rFonts w:ascii="Arial" w:cs="Arial" w:eastAsia="Arial" w:hAnsi="Arial"/>
                <w:sz w:val="16"/>
                <w:szCs w:val="16"/>
                <w:color w:val="auto"/>
              </w:rPr>
              <w:t>$78.85 - $78.85</w:t>
            </w:r>
          </w:p>
        </w:tc>
        <w:tc>
          <w:tcPr>
            <w:tcW w:w="120" w:type="dxa"/>
            <w:vAlign w:val="bottom"/>
            <w:shd w:val="clear" w:color="auto" w:fill="BFE4FF"/>
          </w:tcPr>
          <w:p>
            <w:pPr>
              <w:spacing w:after="0"/>
              <w:rPr>
                <w:sz w:val="24"/>
                <w:szCs w:val="24"/>
                <w:color w:val="auto"/>
              </w:rPr>
            </w:pPr>
          </w:p>
        </w:tc>
        <w:tc>
          <w:tcPr>
            <w:tcW w:w="32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78,550</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78.85</w:t>
            </w:r>
          </w:p>
        </w:tc>
        <w:tc>
          <w:tcPr>
            <w:tcW w:w="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1260" w:type="dxa"/>
            <w:vAlign w:val="bottom"/>
            <w:shd w:val="clear" w:color="auto" w:fill="BFE4FF"/>
          </w:tcPr>
          <w:p>
            <w:pPr>
              <w:jc w:val="center"/>
              <w:ind w:right="119"/>
              <w:spacing w:after="0"/>
              <w:rPr>
                <w:sz w:val="20"/>
                <w:szCs w:val="20"/>
                <w:color w:val="auto"/>
              </w:rPr>
            </w:pPr>
            <w:r>
              <w:rPr>
                <w:rFonts w:ascii="Arial" w:cs="Arial" w:eastAsia="Arial" w:hAnsi="Arial"/>
                <w:sz w:val="16"/>
                <w:szCs w:val="16"/>
                <w:color w:val="auto"/>
                <w:w w:val="98"/>
              </w:rPr>
              <w:t>9.3</w:t>
            </w:r>
          </w:p>
        </w:tc>
        <w:tc>
          <w:tcPr>
            <w:tcW w:w="40" w:type="dxa"/>
            <w:vAlign w:val="bottom"/>
            <w:shd w:val="clear" w:color="auto" w:fill="BFE4FF"/>
          </w:tcPr>
          <w:p>
            <w:pPr>
              <w:spacing w:after="0"/>
              <w:rPr>
                <w:sz w:val="24"/>
                <w:szCs w:val="24"/>
                <w:color w:val="auto"/>
              </w:rPr>
            </w:pPr>
          </w:p>
        </w:tc>
        <w:tc>
          <w:tcPr>
            <w:tcW w:w="6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4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93</w:t>
            </w:r>
          </w:p>
        </w:tc>
        <w:tc>
          <w:tcPr>
            <w:tcW w:w="60" w:type="dxa"/>
            <w:vAlign w:val="bottom"/>
            <w:shd w:val="clear" w:color="auto" w:fill="BFE4FF"/>
          </w:tcPr>
          <w:p>
            <w:pPr>
              <w:spacing w:after="0"/>
              <w:rPr>
                <w:sz w:val="24"/>
                <w:szCs w:val="24"/>
                <w:color w:val="auto"/>
              </w:rPr>
            </w:pPr>
          </w:p>
        </w:tc>
        <w:tc>
          <w:tcPr>
            <w:tcW w:w="260" w:type="dxa"/>
            <w:vAlign w:val="bottom"/>
            <w:gridSpan w:val="3"/>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78.85</w:t>
            </w:r>
          </w:p>
        </w:tc>
        <w:tc>
          <w:tcPr>
            <w:tcW w:w="60" w:type="dxa"/>
            <w:vAlign w:val="bottom"/>
          </w:tcPr>
          <w:p>
            <w:pPr>
              <w:spacing w:after="0"/>
              <w:rPr>
                <w:sz w:val="24"/>
                <w:szCs w:val="24"/>
                <w:color w:val="auto"/>
              </w:rPr>
            </w:pPr>
          </w:p>
        </w:tc>
      </w:tr>
      <w:tr>
        <w:trPr>
          <w:trHeight w:val="264"/>
        </w:trPr>
        <w:tc>
          <w:tcPr>
            <w:tcW w:w="3420" w:type="dxa"/>
            <w:vAlign w:val="bottom"/>
            <w:tcBorders>
              <w:bottom w:val="single" w:sz="8" w:color="BFE4FF"/>
            </w:tcBorders>
          </w:tcPr>
          <w:p>
            <w:pPr>
              <w:ind w:left="40"/>
              <w:spacing w:after="0"/>
              <w:rPr>
                <w:sz w:val="20"/>
                <w:szCs w:val="20"/>
                <w:color w:val="auto"/>
              </w:rPr>
            </w:pPr>
            <w:r>
              <w:rPr>
                <w:rFonts w:ascii="Arial" w:cs="Arial" w:eastAsia="Arial" w:hAnsi="Arial"/>
                <w:sz w:val="16"/>
                <w:szCs w:val="16"/>
                <w:color w:val="auto"/>
              </w:rPr>
              <w:t>$95.10 - $95.10</w:t>
            </w:r>
          </w:p>
        </w:tc>
        <w:tc>
          <w:tcPr>
            <w:tcW w:w="120" w:type="dxa"/>
            <w:vAlign w:val="bottom"/>
            <w:tcBorders>
              <w:bottom w:val="single" w:sz="8" w:color="BFE4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106,386</w:t>
            </w:r>
          </w:p>
        </w:tc>
        <w:tc>
          <w:tcPr>
            <w:tcW w:w="120" w:type="dxa"/>
            <w:vAlign w:val="bottom"/>
            <w:tcBorders>
              <w:bottom w:val="single" w:sz="8" w:color="BFE4FF"/>
            </w:tcBorders>
          </w:tcPr>
          <w:p>
            <w:pPr>
              <w:spacing w:after="0"/>
              <w:rPr>
                <w:sz w:val="22"/>
                <w:szCs w:val="22"/>
                <w:color w:val="auto"/>
              </w:rPr>
            </w:pPr>
          </w:p>
        </w:tc>
        <w:tc>
          <w:tcPr>
            <w:tcW w:w="180" w:type="dxa"/>
            <w:vAlign w:val="bottom"/>
            <w:tcBorders>
              <w:bottom w:val="single" w:sz="8" w:color="BFE4FF"/>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FE4FF"/>
            </w:tcBorders>
          </w:tcPr>
          <w:p>
            <w:pPr>
              <w:jc w:val="right"/>
              <w:ind w:right="19"/>
              <w:spacing w:after="0"/>
              <w:rPr>
                <w:sz w:val="20"/>
                <w:szCs w:val="20"/>
                <w:color w:val="auto"/>
              </w:rPr>
            </w:pPr>
            <w:r>
              <w:rPr>
                <w:rFonts w:ascii="Arial" w:cs="Arial" w:eastAsia="Arial" w:hAnsi="Arial"/>
                <w:sz w:val="16"/>
                <w:szCs w:val="16"/>
                <w:color w:val="auto"/>
              </w:rPr>
              <w:t>95.10</w:t>
            </w:r>
          </w:p>
        </w:tc>
        <w:tc>
          <w:tcPr>
            <w:tcW w:w="20" w:type="dxa"/>
            <w:vAlign w:val="bottom"/>
            <w:tcBorders>
              <w:bottom w:val="single" w:sz="8" w:color="BFE4FF"/>
            </w:tcBorders>
          </w:tcPr>
          <w:p>
            <w:pPr>
              <w:spacing w:after="0"/>
              <w:rPr>
                <w:sz w:val="22"/>
                <w:szCs w:val="22"/>
                <w:color w:val="auto"/>
              </w:rPr>
            </w:pPr>
          </w:p>
        </w:tc>
        <w:tc>
          <w:tcPr>
            <w:tcW w:w="80" w:type="dxa"/>
            <w:vAlign w:val="bottom"/>
            <w:tcBorders>
              <w:bottom w:val="single" w:sz="8" w:color="BFE4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8"/>
              </w:rPr>
              <w:t>9.5</w:t>
            </w:r>
          </w:p>
        </w:tc>
        <w:tc>
          <w:tcPr>
            <w:tcW w:w="40" w:type="dxa"/>
            <w:vAlign w:val="bottom"/>
            <w:tcBorders>
              <w:bottom w:val="single" w:sz="8" w:color="BFE4FF"/>
            </w:tcBorders>
          </w:tcPr>
          <w:p>
            <w:pPr>
              <w:spacing w:after="0"/>
              <w:rPr>
                <w:sz w:val="22"/>
                <w:szCs w:val="22"/>
                <w:color w:val="auto"/>
              </w:rPr>
            </w:pPr>
          </w:p>
        </w:tc>
        <w:tc>
          <w:tcPr>
            <w:tcW w:w="60" w:type="dxa"/>
            <w:vAlign w:val="bottom"/>
            <w:tcBorders>
              <w:bottom w:val="single" w:sz="8" w:color="BFE4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c>
          <w:tcPr>
            <w:tcW w:w="60" w:type="dxa"/>
            <w:vAlign w:val="bottom"/>
            <w:tcBorders>
              <w:bottom w:val="single" w:sz="8" w:color="BFE4FF"/>
            </w:tcBorders>
          </w:tcPr>
          <w:p>
            <w:pPr>
              <w:spacing w:after="0"/>
              <w:rPr>
                <w:sz w:val="22"/>
                <w:szCs w:val="22"/>
                <w:color w:val="auto"/>
              </w:rPr>
            </w:pPr>
          </w:p>
        </w:tc>
        <w:tc>
          <w:tcPr>
            <w:tcW w:w="260" w:type="dxa"/>
            <w:vAlign w:val="bottom"/>
            <w:tcBorders>
              <w:bottom w:val="single" w:sz="8" w:color="BFE4FF"/>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tcPr>
          <w:p>
            <w:pPr>
              <w:jc w:val="right"/>
              <w:ind w:right="19"/>
              <w:spacing w:after="0"/>
              <w:rPr>
                <w:sz w:val="20"/>
                <w:szCs w:val="20"/>
                <w:color w:val="auto"/>
              </w:rPr>
            </w:pPr>
            <w:r>
              <w:rPr>
                <w:rFonts w:ascii="Arial" w:cs="Arial" w:eastAsia="Arial" w:hAnsi="Arial"/>
                <w:sz w:val="16"/>
                <w:szCs w:val="16"/>
                <w:color w:val="auto"/>
              </w:rPr>
              <w:t>95.10</w:t>
            </w:r>
          </w:p>
        </w:tc>
        <w:tc>
          <w:tcPr>
            <w:tcW w:w="60" w:type="dxa"/>
            <w:vAlign w:val="bottom"/>
          </w:tcPr>
          <w:p>
            <w:pPr>
              <w:spacing w:after="0"/>
              <w:rPr>
                <w:sz w:val="22"/>
                <w:szCs w:val="22"/>
                <w:color w:val="auto"/>
              </w:rPr>
            </w:pPr>
          </w:p>
        </w:tc>
      </w:tr>
      <w:tr>
        <w:trPr>
          <w:trHeight w:val="242"/>
        </w:trPr>
        <w:tc>
          <w:tcPr>
            <w:tcW w:w="34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auto"/>
            </w:tcBorders>
            <w:shd w:val="clear" w:color="auto" w:fill="BFE4FF"/>
          </w:tcPr>
          <w:p>
            <w:pPr>
              <w:spacing w:after="0"/>
              <w:rPr>
                <w:sz w:val="21"/>
                <w:szCs w:val="21"/>
                <w:color w:val="auto"/>
              </w:rPr>
            </w:pPr>
          </w:p>
        </w:tc>
        <w:tc>
          <w:tcPr>
            <w:tcW w:w="118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rPr>
              <w:t>3,429,309</w:t>
            </w:r>
          </w:p>
        </w:tc>
        <w:tc>
          <w:tcPr>
            <w:tcW w:w="1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31.79</w:t>
            </w:r>
          </w:p>
        </w:tc>
        <w:tc>
          <w:tcPr>
            <w:tcW w:w="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auto"/>
            </w:tcBorders>
            <w:shd w:val="clear" w:color="auto" w:fill="BFE4FF"/>
          </w:tcPr>
          <w:p>
            <w:pPr>
              <w:spacing w:after="0"/>
              <w:rPr>
                <w:sz w:val="21"/>
                <w:szCs w:val="21"/>
                <w:color w:val="auto"/>
              </w:rPr>
            </w:pPr>
          </w:p>
        </w:tc>
        <w:tc>
          <w:tcPr>
            <w:tcW w:w="180" w:type="dxa"/>
            <w:vAlign w:val="bottom"/>
            <w:tcBorders>
              <w:bottom w:val="single" w:sz="8" w:color="auto"/>
            </w:tcBorders>
            <w:shd w:val="clear" w:color="auto" w:fill="BFE4FF"/>
          </w:tcPr>
          <w:p>
            <w:pPr>
              <w:spacing w:after="0"/>
              <w:rPr>
                <w:sz w:val="21"/>
                <w:szCs w:val="21"/>
                <w:color w:val="auto"/>
              </w:rPr>
            </w:pPr>
          </w:p>
        </w:tc>
        <w:tc>
          <w:tcPr>
            <w:tcW w:w="1260" w:type="dxa"/>
            <w:vAlign w:val="bottom"/>
            <w:tcBorders>
              <w:bottom w:val="single" w:sz="8" w:color="auto"/>
            </w:tcBorders>
            <w:shd w:val="clear" w:color="auto" w:fill="BFE4FF"/>
          </w:tcPr>
          <w:p>
            <w:pPr>
              <w:jc w:val="center"/>
              <w:ind w:right="119"/>
              <w:spacing w:after="0"/>
              <w:rPr>
                <w:sz w:val="20"/>
                <w:szCs w:val="20"/>
                <w:color w:val="auto"/>
              </w:rPr>
            </w:pPr>
            <w:r>
              <w:rPr>
                <w:rFonts w:ascii="Arial" w:cs="Arial" w:eastAsia="Arial" w:hAnsi="Arial"/>
                <w:sz w:val="16"/>
                <w:szCs w:val="16"/>
                <w:color w:val="auto"/>
                <w:w w:val="98"/>
              </w:rPr>
              <w:t>6.4</w:t>
            </w:r>
          </w:p>
        </w:tc>
        <w:tc>
          <w:tcPr>
            <w:tcW w:w="4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auto"/>
            </w:tcBorders>
            <w:shd w:val="clear" w:color="auto" w:fill="BFE4FF"/>
          </w:tcPr>
          <w:p>
            <w:pPr>
              <w:spacing w:after="0"/>
              <w:rPr>
                <w:sz w:val="21"/>
                <w:szCs w:val="21"/>
                <w:color w:val="auto"/>
              </w:rPr>
            </w:pPr>
          </w:p>
        </w:tc>
        <w:tc>
          <w:tcPr>
            <w:tcW w:w="142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2,459,936</w:t>
            </w:r>
          </w:p>
        </w:tc>
        <w:tc>
          <w:tcPr>
            <w:tcW w:w="6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gridSpan w:val="3"/>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25.27</w:t>
            </w:r>
          </w:p>
        </w:tc>
        <w:tc>
          <w:tcPr>
            <w:tcW w:w="60" w:type="dxa"/>
            <w:vAlign w:val="bottom"/>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1" w:right="239" w:bottom="1440" w:gutter="0" w:footer="0" w:header="0"/>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331" w:right="2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 weighted-average grant date fair value of the Company’s stock options granted during 2018</w:t>
      </w:r>
      <w:r>
        <w:rPr>
          <w:rFonts w:ascii="Arial" w:cs="Arial" w:eastAsia="Arial" w:hAnsi="Arial"/>
          <w:sz w:val="18"/>
          <w:szCs w:val="18"/>
          <w:color w:val="231F20"/>
        </w:rPr>
        <w:t>, 2017 and</w:t>
      </w:r>
      <w:r>
        <w:rPr>
          <w:rFonts w:ascii="Arial" w:cs="Arial" w:eastAsia="Arial" w:hAnsi="Arial"/>
          <w:sz w:val="18"/>
          <w:szCs w:val="18"/>
          <w:color w:val="auto"/>
        </w:rPr>
        <w:t xml:space="preserve"> 2016 was $33.05, $18.03 and $11.12, respectively. The aggregate grant date fair value of the Company’s stock options granted during 2018</w:t>
      </w:r>
      <w:r>
        <w:rPr>
          <w:rFonts w:ascii="Arial" w:cs="Arial" w:eastAsia="Arial" w:hAnsi="Arial"/>
          <w:sz w:val="18"/>
          <w:szCs w:val="18"/>
          <w:color w:val="231F20"/>
        </w:rPr>
        <w:t>,</w:t>
      </w:r>
      <w:r>
        <w:rPr>
          <w:rFonts w:ascii="Arial" w:cs="Arial" w:eastAsia="Arial" w:hAnsi="Arial"/>
          <w:sz w:val="18"/>
          <w:szCs w:val="18"/>
          <w:color w:val="auto"/>
        </w:rPr>
        <w:t xml:space="preserve"> 2017 </w:t>
      </w:r>
      <w:r>
        <w:rPr>
          <w:rFonts w:ascii="Arial" w:cs="Arial" w:eastAsia="Arial" w:hAnsi="Arial"/>
          <w:sz w:val="18"/>
          <w:szCs w:val="18"/>
          <w:color w:val="231F20"/>
        </w:rPr>
        <w:t>and</w:t>
      </w:r>
      <w:r>
        <w:rPr>
          <w:rFonts w:ascii="Arial" w:cs="Arial" w:eastAsia="Arial" w:hAnsi="Arial"/>
          <w:sz w:val="18"/>
          <w:szCs w:val="18"/>
          <w:color w:val="auto"/>
        </w:rPr>
        <w:t xml:space="preserve"> 2016 was $12.1 million, $7.4 million and $23.6 million, respectively.</w:t>
      </w:r>
    </w:p>
    <w:p>
      <w:pPr>
        <w:spacing w:after="0" w:line="10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 intrinsic value of options exercised was $71.7 million, $ 92.1 million and $ 25.0 million during 2018</w:t>
      </w:r>
      <w:r>
        <w:rPr>
          <w:rFonts w:ascii="Arial" w:cs="Arial" w:eastAsia="Arial" w:hAnsi="Arial"/>
          <w:sz w:val="18"/>
          <w:szCs w:val="18"/>
          <w:color w:val="231F20"/>
        </w:rPr>
        <w:t>, 2017 and</w:t>
      </w:r>
      <w:r>
        <w:rPr>
          <w:rFonts w:ascii="Arial" w:cs="Arial" w:eastAsia="Arial" w:hAnsi="Arial"/>
          <w:sz w:val="18"/>
          <w:szCs w:val="18"/>
          <w:color w:val="auto"/>
        </w:rPr>
        <w:t xml:space="preserve"> 2016, respectively. Intrinsic value of an option is the difference between the fair value of the Company’s common stock at the time of exercise and the exercise price paid.</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 terms and conditions of RSUs include vesting criteria and timing are set by the Board of Directors. The cost of RSUs is determined using the fair value of the Company’s common stock on the date of the grant. Compensation cost is recognized on a straight-line basis over the requisite service period of each grant adjusted for estimated forfeitures.</w:t>
      </w:r>
    </w:p>
    <w:p>
      <w:pPr>
        <w:spacing w:after="0" w:line="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RSU activity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rPr>
              <w:t>Date Fair Value Per</w:t>
            </w:r>
          </w:p>
        </w:tc>
        <w:tc>
          <w:tcPr>
            <w:tcW w:w="0" w:type="dxa"/>
            <w:vAlign w:val="bottom"/>
          </w:tcPr>
          <w:p>
            <w:pPr>
              <w:spacing w:after="0"/>
              <w:rPr>
                <w:sz w:val="1"/>
                <w:szCs w:val="1"/>
                <w:color w:val="auto"/>
              </w:rPr>
            </w:pPr>
          </w:p>
        </w:tc>
      </w:tr>
      <w:tr>
        <w:trPr>
          <w:trHeight w:val="232"/>
        </w:trPr>
        <w:tc>
          <w:tcPr>
            <w:tcW w:w="83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254"/>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262"/>
        </w:trPr>
        <w:tc>
          <w:tcPr>
            <w:tcW w:w="83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681,350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(101,519)</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31.12</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587,333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262"/>
        </w:trPr>
        <w:tc>
          <w:tcPr>
            <w:tcW w:w="83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1,326,849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42.69</w:t>
            </w: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33.52</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(135,227)</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1,410,588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40.34</w:t>
            </w:r>
          </w:p>
        </w:tc>
        <w:tc>
          <w:tcPr>
            <w:tcW w:w="0" w:type="dxa"/>
            <w:vAlign w:val="bottom"/>
          </w:tcPr>
          <w:p>
            <w:pPr>
              <w:spacing w:after="0"/>
              <w:rPr>
                <w:sz w:val="1"/>
                <w:szCs w:val="1"/>
                <w:color w:val="auto"/>
              </w:rPr>
            </w:pPr>
          </w:p>
        </w:tc>
      </w:tr>
      <w:tr>
        <w:trPr>
          <w:trHeight w:val="262"/>
        </w:trPr>
        <w:tc>
          <w:tcPr>
            <w:tcW w:w="83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548,245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75.44</w:t>
            </w: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(525,375)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39.87</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(206,575)</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43.43</w:t>
            </w:r>
          </w:p>
        </w:tc>
        <w:tc>
          <w:tcPr>
            <w:tcW w:w="0" w:type="dxa"/>
            <w:vAlign w:val="bottom"/>
          </w:tcPr>
          <w:p>
            <w:pPr>
              <w:spacing w:after="0"/>
              <w:rPr>
                <w:sz w:val="1"/>
                <w:szCs w:val="1"/>
                <w:color w:val="auto"/>
              </w:rPr>
            </w:pPr>
          </w:p>
        </w:tc>
      </w:tr>
      <w:tr>
        <w:trPr>
          <w:trHeight w:val="242"/>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1,226,883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55.71</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color w:val="auto"/>
              </w:rPr>
              <w:t>Outstanding and expected to vest - December 31, 2018</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898,637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54.67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As of December 31, 2018, the Company had $54.3 million of unrecognized compensation cost related to unvested awards that it expects to recognize over a weighted-average period of 2.7 years.</w:t>
      </w:r>
    </w:p>
    <w:p>
      <w:pPr>
        <w:spacing w:after="0" w:line="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December 21, 2018, the Board of Directors granted an award of time-based and performance-based restricted stock units to the Company’s Chairman and Chief Executive Officer, Philippe Courtot. The compensation committee of the Board, in consultation with its independent compensation consultant, designed these awards so that greater than 50% of this compensation was based on the achievement of performance goals linked to metrics designed to drive the creation of shareholder value.</w:t>
      </w:r>
    </w:p>
    <w:p>
      <w:pPr>
        <w:spacing w:after="0" w:line="6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first portion of the award consists of 56,250 time-based stock restricted stock units that will vest in 16 quarterly increments beginning on January 1, 2019, assuming continued service through each applicable vesting date. The second portion of the award consists of 33,089 performance-based restricted stock units that vest based on achievement of goals related to revenue growth for a three-year period from January 2019 through December 2021 and adjusted EBITDA margin for the 2021 fiscal year, generally conditioned on Mr. Courtot’s continued status as a service provider through the date that performance is certified. The third portion of the award consists of 33,088 performance-based restricted stock units that will vest in 3 increments based on the achievement of goals related to revenue growth and adjusted EBITDA margin for each of the 2019, 2020, and 2021 fiscal years, generally conditioned on Mr. Courtot’s continued status as a service provider through the date that performance is certified for the relevant increment. If Mr. Courtot’s employment (a) is terminated by reason of death or disability or</w:t>
      </w:r>
    </w:p>
    <w:p>
      <w:pPr>
        <w:spacing w:after="0" w:line="5" w:lineRule="exact"/>
        <w:rPr>
          <w:sz w:val="20"/>
          <w:szCs w:val="20"/>
          <w:color w:val="auto"/>
        </w:rPr>
      </w:pPr>
    </w:p>
    <w:p>
      <w:pPr>
        <w:ind w:right="20" w:firstLine="8"/>
        <w:spacing w:after="0" w:line="266" w:lineRule="auto"/>
        <w:tabs>
          <w:tab w:leader="none" w:pos="2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terminated by the Company for reasons other than cause or good reason within 12 months following a change in control (a “double trigger” termination),</w:t>
      </w:r>
    </w:p>
    <w:p>
      <w:pPr>
        <w:sectPr>
          <w:pgSz w:w="11900" w:h="16838" w:orient="portrait"/>
          <w:cols w:equalWidth="0" w:num="1">
            <w:col w:w="11420"/>
          </w:cols>
          <w:pgMar w:left="240" w:top="331" w:right="2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331"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then 100% of any unvested portions of the award will vest, with any vesting in connection with change in control terminations conditioned upon the effectiveness of a release of claims in favor of the Company.</w:t>
      </w:r>
    </w:p>
    <w:p>
      <w:pPr>
        <w:spacing w:after="0" w:line="3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 Company will account for these awards as share-based compensation with multiple performance conditions. and will recognize compensation cost when it is probable that the performance conditions are met. The Company will assess these conditions on a quarterly basis. As of December 31, 2018, no stock-based compensation cost for these awards has been recognized.</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Share Repurchase Program</w:t>
      </w:r>
    </w:p>
    <w:p>
      <w:pPr>
        <w:spacing w:after="0" w:line="11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On February 5, 2018, the Company's Board of Directors authorized a $100.0 million two-year share repurchase program, which was announced on February 12, 2018. The Company's share repurchases may be effected from time to time through open market purchases. Repurchased shares are retired and reclassified as authorized and unissued shares of common stock. On retirement of the repurchased shares, common stock is reduced by an amount equal to the number of shares being retired multiplied by the par value. The excess of the cost of treasury stock that is retired over its par value is first allocated as a reduction to additional paid-in capital based on the initial public offering price of the stock, with the remaining excess to retained earnings.</w:t>
      </w:r>
    </w:p>
    <w:p>
      <w:pPr>
        <w:spacing w:after="0" w:line="69"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On October 25, 2018, the Company's Board of Directors authorized an additional $100.0 million two-year share repurchase program, which was announced on October 30, 2018.</w:t>
      </w:r>
    </w:p>
    <w:p>
      <w:pPr>
        <w:spacing w:after="0" w:line="37" w:lineRule="exact"/>
        <w:rPr>
          <w:sz w:val="20"/>
          <w:szCs w:val="20"/>
          <w:color w:val="auto"/>
        </w:rPr>
      </w:pPr>
    </w:p>
    <w:p>
      <w:pPr>
        <w:jc w:val="both"/>
        <w:ind w:right="20" w:firstLine="405"/>
        <w:spacing w:after="0" w:line="271" w:lineRule="auto"/>
        <w:rPr>
          <w:sz w:val="20"/>
          <w:szCs w:val="20"/>
          <w:color w:val="auto"/>
        </w:rPr>
      </w:pPr>
      <w:r>
        <w:rPr>
          <w:rFonts w:ascii="Arial" w:cs="Arial" w:eastAsia="Arial" w:hAnsi="Arial"/>
          <w:sz w:val="18"/>
          <w:szCs w:val="18"/>
          <w:color w:val="auto"/>
        </w:rPr>
        <w:t>During the year ended December 31, 2018, the Company repurchased 1,088,899 shares of its common stock for approximately $85.0 million. All share repurchases were made using cash resources. As of December 31, 2018, approximately $115.0 million remained available for share repurchases pursuant to the Company's share repurchase program.</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401(k) Plan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Company’s 401(k) Plan (the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During the years ended December 31, 2018, 2017 and 2016, the Company made contributions to the 401(k) Plan of $1.2 million, and $1.1 million, respectively.</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NOTE 9.</w:t>
            </w:r>
          </w:p>
        </w:tc>
        <w:tc>
          <w:tcPr>
            <w:tcW w:w="5560" w:type="dxa"/>
            <w:vAlign w:val="bottom"/>
          </w:tcPr>
          <w:p>
            <w:pPr>
              <w:ind w:left="100"/>
              <w:spacing w:after="0"/>
              <w:rPr>
                <w:sz w:val="20"/>
                <w:szCs w:val="20"/>
                <w:color w:val="auto"/>
              </w:rPr>
            </w:pPr>
            <w:r>
              <w:rPr>
                <w:rFonts w:ascii="Arial" w:cs="Arial" w:eastAsia="Arial" w:hAnsi="Arial"/>
                <w:sz w:val="18"/>
                <w:szCs w:val="18"/>
                <w:b w:val="1"/>
                <w:bCs w:val="1"/>
                <w:color w:val="auto"/>
              </w:rPr>
              <w:t>Other Expense, Net</w:t>
            </w: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03"/>
        </w:trPr>
        <w:tc>
          <w:tcPr>
            <w:tcW w:w="6760" w:type="dxa"/>
            <w:vAlign w:val="bottom"/>
            <w:gridSpan w:val="2"/>
          </w:tcPr>
          <w:p>
            <w:pPr>
              <w:ind w:left="420"/>
              <w:spacing w:after="0"/>
              <w:rPr>
                <w:sz w:val="20"/>
                <w:szCs w:val="20"/>
                <w:color w:val="auto"/>
              </w:rPr>
            </w:pPr>
            <w:r>
              <w:rPr>
                <w:rFonts w:ascii="Arial" w:cs="Arial" w:eastAsia="Arial" w:hAnsi="Arial"/>
                <w:sz w:val="18"/>
                <w:szCs w:val="18"/>
                <w:color w:val="auto"/>
              </w:rPr>
              <w:t>Other expense, net consists of the following:</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7"/>
        </w:trPr>
        <w:tc>
          <w:tcPr>
            <w:tcW w:w="12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left="7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r>
      <w:tr>
        <w:trPr>
          <w:trHeight w:val="264"/>
        </w:trPr>
        <w:tc>
          <w:tcPr>
            <w:tcW w:w="120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0"/>
        </w:trPr>
        <w:tc>
          <w:tcPr>
            <w:tcW w:w="12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4"/>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losses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r>
      <w:tr>
        <w:trPr>
          <w:trHeight w:val="264"/>
        </w:trPr>
        <w:tc>
          <w:tcPr>
            <w:tcW w:w="1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w:t>
            </w:r>
          </w:p>
        </w:tc>
        <w:tc>
          <w:tcPr>
            <w:tcW w:w="55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(224)</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r>
      <w:tr>
        <w:trPr>
          <w:trHeight w:val="20"/>
        </w:trPr>
        <w:tc>
          <w:tcPr>
            <w:tcW w:w="12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Income Taxes</w:t>
      </w:r>
    </w:p>
    <w:p>
      <w:pPr>
        <w:spacing w:after="0" w:line="3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geographical breakdown of income before income taxes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3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64"/>
        </w:trPr>
        <w:tc>
          <w:tcPr>
            <w:tcW w:w="6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0"/>
        </w:trPr>
        <w:tc>
          <w:tcPr>
            <w:tcW w:w="6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4"/>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34,914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28,982</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5,458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1,447</w:t>
            </w:r>
          </w:p>
        </w:tc>
      </w:tr>
      <w:tr>
        <w:trPr>
          <w:trHeight w:val="242"/>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30,429</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provision for (benefit from) income taxes consists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299"/>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r>
      <w:tr>
        <w:trPr>
          <w:trHeight w:val="264"/>
        </w:trPr>
        <w:tc>
          <w:tcPr>
            <w:tcW w:w="67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64"/>
        </w:trPr>
        <w:tc>
          <w:tcPr>
            <w:tcW w:w="6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2"/>
                <w:szCs w:val="22"/>
                <w:color w:val="auto"/>
              </w:rPr>
            </w:pPr>
          </w:p>
        </w:tc>
      </w:tr>
      <w:tr>
        <w:trPr>
          <w:trHeight w:val="274"/>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2"/>
        </w:trPr>
        <w:tc>
          <w:tcPr>
            <w:tcW w:w="6760" w:type="dxa"/>
            <w:vAlign w:val="bottom"/>
          </w:tcPr>
          <w:p>
            <w:pPr>
              <w:ind w:left="380"/>
              <w:spacing w:after="0"/>
              <w:rPr>
                <w:sz w:val="20"/>
                <w:szCs w:val="20"/>
                <w:color w:val="auto"/>
              </w:rPr>
            </w:pPr>
            <w:r>
              <w:rPr>
                <w:rFonts w:ascii="Arial" w:cs="Arial" w:eastAsia="Arial" w:hAnsi="Arial"/>
                <w:sz w:val="16"/>
                <w:szCs w:val="16"/>
                <w:color w:val="auto"/>
              </w:rPr>
              <w:t>Federal</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8,334</w:t>
            </w:r>
          </w:p>
        </w:tc>
      </w:tr>
      <w:tr>
        <w:trPr>
          <w:trHeight w:val="278"/>
        </w:trPr>
        <w:tc>
          <w:tcPr>
            <w:tcW w:w="6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State</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1,125</w:t>
            </w:r>
          </w:p>
        </w:tc>
      </w:tr>
      <w:tr>
        <w:trPr>
          <w:trHeight w:val="264"/>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Foreign</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1,471</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963</w:t>
            </w:r>
          </w:p>
        </w:tc>
      </w:tr>
      <w:tr>
        <w:trPr>
          <w:trHeight w:val="257"/>
        </w:trPr>
        <w:tc>
          <w:tcPr>
            <w:tcW w:w="67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current provision</w:t>
            </w:r>
          </w:p>
        </w:tc>
        <w:tc>
          <w:tcPr>
            <w:tcW w:w="9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10,422</w:t>
            </w:r>
          </w:p>
        </w:tc>
      </w:tr>
      <w:tr>
        <w:trPr>
          <w:trHeight w:val="256"/>
        </w:trPr>
        <w:tc>
          <w:tcPr>
            <w:tcW w:w="6760" w:type="dxa"/>
            <w:vAlign w:val="bottom"/>
          </w:tcPr>
          <w:p>
            <w:pPr>
              <w:ind w:left="40"/>
              <w:spacing w:after="0"/>
              <w:rPr>
                <w:sz w:val="20"/>
                <w:szCs w:val="20"/>
                <w:color w:val="auto"/>
              </w:rPr>
            </w:pPr>
            <w:r>
              <w:rPr>
                <w:rFonts w:ascii="Arial" w:cs="Arial" w:eastAsia="Arial" w:hAnsi="Arial"/>
                <w:sz w:val="16"/>
                <w:szCs w:val="16"/>
                <w:color w:val="auto"/>
              </w:rPr>
              <w:t>Deferred</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8"/>
        </w:trPr>
        <w:tc>
          <w:tcPr>
            <w:tcW w:w="6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(3,449)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r>
      <w:tr>
        <w:trPr>
          <w:trHeight w:val="262"/>
        </w:trPr>
        <w:tc>
          <w:tcPr>
            <w:tcW w:w="6760" w:type="dxa"/>
            <w:vAlign w:val="bottom"/>
          </w:tcPr>
          <w:p>
            <w:pPr>
              <w:ind w:left="380"/>
              <w:spacing w:after="0"/>
              <w:rPr>
                <w:sz w:val="20"/>
                <w:szCs w:val="20"/>
                <w:color w:val="auto"/>
              </w:rPr>
            </w:pPr>
            <w:r>
              <w:rPr>
                <w:rFonts w:ascii="Arial" w:cs="Arial" w:eastAsia="Arial" w:hAnsi="Arial"/>
                <w:sz w:val="16"/>
                <w:szCs w:val="16"/>
                <w:color w:val="auto"/>
              </w:rPr>
              <w:t>State</w:t>
            </w:r>
          </w:p>
        </w:tc>
        <w:tc>
          <w:tcPr>
            <w:tcW w:w="94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271"/>
        </w:trPr>
        <w:tc>
          <w:tcPr>
            <w:tcW w:w="6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50"/>
        </w:trPr>
        <w:tc>
          <w:tcPr>
            <w:tcW w:w="676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deferred (benefit) provision</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(3,796)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783</w:t>
            </w:r>
          </w:p>
        </w:tc>
      </w:tr>
      <w:tr>
        <w:trPr>
          <w:trHeight w:val="242"/>
        </w:trPr>
        <w:tc>
          <w:tcPr>
            <w:tcW w:w="6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(benefit from) provision for income taxes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11,205</w:t>
            </w:r>
          </w:p>
        </w:tc>
      </w:tr>
      <w:tr>
        <w:trPr>
          <w:trHeight w:val="20"/>
        </w:trPr>
        <w:tc>
          <w:tcPr>
            <w:tcW w:w="6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201"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33020</wp:posOffset>
            </wp:positionV>
            <wp:extent cx="3121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429"/>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Federal statutory rate</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62"/>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State taxes</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2.1</w:t>
            </w:r>
          </w:p>
        </w:tc>
      </w:tr>
      <w:tr>
        <w:trPr>
          <w:trHeight w:val="278"/>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(58.1)</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w:t>
            </w:r>
          </w:p>
        </w:tc>
      </w:tr>
      <w:tr>
        <w:trPr>
          <w:trHeight w:val="262"/>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Foreign source income</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0.9</w:t>
            </w:r>
          </w:p>
        </w:tc>
      </w:tr>
      <w:tr>
        <w:trPr>
          <w:trHeight w:val="278"/>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6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r>
      <w:tr>
        <w:trPr>
          <w:trHeight w:val="262"/>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Federal rate adjustment (due to 2017 Tax Act)</w:t>
            </w:r>
          </w:p>
        </w:tc>
        <w:tc>
          <w:tcPr>
            <w:tcW w:w="7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8"/>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Federal and state research and development credit</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w:t>
            </w:r>
          </w:p>
        </w:tc>
      </w:tr>
      <w:tr>
        <w:trPr>
          <w:trHeight w:val="242"/>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December 22, 2017, the Tax Cuts and Jobs Act (the “2017 Tax Act”) was enacted into law. The new legislation contains several key tax provisions that impact the Company, including the reduction of the corporate income tax rate from 35% to 21% effective January 1, 2018. The new legislation also includes a variety of other changes, such as a one-time repatriation tax on accumulated foreign earnings (transition tax), acceleration of business asset expensing, and reduction in the amount of executive pay that could qualify as a tax deduction, among others. The Company recognized a provisional income tax expense of $10.4 million in the fourth quarter of 2017, from the re-measurement of certain deferred tax assets and liabilities as a result of the reduction of the federal tax rate, which was included as a component of the income tax provision on our consolidated statement of income. The Company completed its analysis of the impacts of the 2017 Tax Act in the fourth quarter of 2018 with no material change to its provisional estimate.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Income Taxes</w:t>
      </w:r>
    </w:p>
    <w:p>
      <w:pPr>
        <w:sectPr>
          <w:pgSz w:w="11900" w:h="16838" w:orient="portrait"/>
          <w:cols w:equalWidth="0" w:num="1">
            <w:col w:w="11420"/>
          </w:cols>
          <w:pgMar w:left="240" w:top="331"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331"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0"/>
        </w:trPr>
        <w:tc>
          <w:tcPr>
            <w:tcW w:w="8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2"/>
        </w:trPr>
        <w:tc>
          <w:tcPr>
            <w:tcW w:w="836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11,250</w:t>
            </w:r>
          </w:p>
        </w:tc>
        <w:tc>
          <w:tcPr>
            <w:tcW w:w="100" w:type="dxa"/>
            <w:vAlign w:val="bottom"/>
          </w:tcPr>
          <w:p>
            <w:pPr>
              <w:spacing w:after="0"/>
              <w:rPr>
                <w:sz w:val="22"/>
                <w:szCs w:val="22"/>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8,947</w:t>
            </w:r>
          </w:p>
        </w:tc>
      </w:tr>
      <w:tr>
        <w:trPr>
          <w:trHeight w:val="278"/>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 credit carryforwards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16,901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11,493</w:t>
            </w:r>
          </w:p>
        </w:tc>
      </w:tr>
      <w:tr>
        <w:trPr>
          <w:trHeight w:val="262"/>
        </w:trPr>
        <w:tc>
          <w:tcPr>
            <w:tcW w:w="8360" w:type="dxa"/>
            <w:vAlign w:val="bottom"/>
          </w:tcPr>
          <w:p>
            <w:pPr>
              <w:ind w:left="380"/>
              <w:spacing w:after="0"/>
              <w:rPr>
                <w:sz w:val="20"/>
                <w:szCs w:val="20"/>
                <w:color w:val="auto"/>
              </w:rPr>
            </w:pPr>
            <w:r>
              <w:rPr>
                <w:rFonts w:ascii="Arial" w:cs="Arial" w:eastAsia="Arial" w:hAnsi="Arial"/>
                <w:sz w:val="16"/>
                <w:szCs w:val="16"/>
                <w:color w:val="auto"/>
              </w:rPr>
              <w:t>Foreign tax credit carryforwards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2,209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1,149</w:t>
            </w:r>
          </w:p>
        </w:tc>
      </w:tr>
      <w:tr>
        <w:trPr>
          <w:trHeight w:val="278"/>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1,470</w:t>
            </w:r>
          </w:p>
        </w:tc>
      </w:tr>
      <w:tr>
        <w:trPr>
          <w:trHeight w:val="262"/>
        </w:trPr>
        <w:tc>
          <w:tcPr>
            <w:tcW w:w="8360" w:type="dxa"/>
            <w:vAlign w:val="bottom"/>
          </w:tcPr>
          <w:p>
            <w:pPr>
              <w:ind w:left="380"/>
              <w:spacing w:after="0"/>
              <w:rPr>
                <w:sz w:val="20"/>
                <w:szCs w:val="20"/>
                <w:color w:val="auto"/>
              </w:rPr>
            </w:pPr>
            <w:r>
              <w:rPr>
                <w:rFonts w:ascii="Arial" w:cs="Arial" w:eastAsia="Arial" w:hAnsi="Arial"/>
                <w:sz w:val="16"/>
                <w:szCs w:val="16"/>
                <w:color w:val="auto"/>
              </w:rPr>
              <w:t>Deferred revenues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3,416</w:t>
            </w:r>
          </w:p>
        </w:tc>
      </w:tr>
      <w:tr>
        <w:trPr>
          <w:trHeight w:val="278"/>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Intangible assets</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r>
      <w:tr>
        <w:trPr>
          <w:trHeight w:val="262"/>
        </w:trPr>
        <w:tc>
          <w:tcPr>
            <w:tcW w:w="836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6,975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7,135</w:t>
            </w:r>
          </w:p>
        </w:tc>
      </w:tr>
      <w:tr>
        <w:trPr>
          <w:trHeight w:val="271"/>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r>
      <w:tr>
        <w:trPr>
          <w:trHeight w:val="249"/>
        </w:trPr>
        <w:tc>
          <w:tcPr>
            <w:tcW w:w="8360" w:type="dxa"/>
            <w:vAlign w:val="bottom"/>
          </w:tcPr>
          <w:p>
            <w:pPr>
              <w:ind w:left="720"/>
              <w:spacing w:after="0"/>
              <w:rPr>
                <w:sz w:val="20"/>
                <w:szCs w:val="20"/>
                <w:color w:val="auto"/>
              </w:rPr>
            </w:pPr>
            <w:r>
              <w:rPr>
                <w:rFonts w:ascii="Arial" w:cs="Arial" w:eastAsia="Arial" w:hAnsi="Arial"/>
                <w:sz w:val="16"/>
                <w:szCs w:val="16"/>
                <w:color w:val="auto"/>
              </w:rPr>
              <w:t>Gross deferred tax assets</w:t>
            </w: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44,432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34,211</w:t>
            </w:r>
          </w:p>
        </w:tc>
      </w:tr>
      <w:tr>
        <w:trPr>
          <w:trHeight w:val="271"/>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Valuation allowance</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(9,100)</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(5,773)</w:t>
            </w:r>
          </w:p>
        </w:tc>
      </w:tr>
      <w:tr>
        <w:trPr>
          <w:trHeight w:val="249"/>
        </w:trPr>
        <w:tc>
          <w:tcPr>
            <w:tcW w:w="8360" w:type="dxa"/>
            <w:vAlign w:val="bottom"/>
          </w:tcPr>
          <w:p>
            <w:pPr>
              <w:ind w:left="40"/>
              <w:spacing w:after="0"/>
              <w:rPr>
                <w:sz w:val="20"/>
                <w:szCs w:val="20"/>
                <w:color w:val="auto"/>
              </w:rPr>
            </w:pPr>
            <w:r>
              <w:rPr>
                <w:rFonts w:ascii="Arial" w:cs="Arial" w:eastAsia="Arial" w:hAnsi="Arial"/>
                <w:sz w:val="16"/>
                <w:szCs w:val="16"/>
                <w:color w:val="auto"/>
              </w:rPr>
              <w:t>Net deferred tax assets</w:t>
            </w: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35,332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28,438</w:t>
            </w:r>
          </w:p>
        </w:tc>
      </w:tr>
      <w:tr>
        <w:trPr>
          <w:trHeight w:val="278"/>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2"/>
        </w:trPr>
        <w:tc>
          <w:tcPr>
            <w:tcW w:w="8360" w:type="dxa"/>
            <w:vAlign w:val="bottom"/>
          </w:tcPr>
          <w:p>
            <w:pPr>
              <w:ind w:left="380"/>
              <w:spacing w:after="0"/>
              <w:rPr>
                <w:sz w:val="20"/>
                <w:szCs w:val="20"/>
                <w:color w:val="auto"/>
              </w:rPr>
            </w:pPr>
            <w:r>
              <w:rPr>
                <w:rFonts w:ascii="Arial" w:cs="Arial" w:eastAsia="Arial" w:hAnsi="Arial"/>
                <w:sz w:val="16"/>
                <w:szCs w:val="16"/>
                <w:color w:val="auto"/>
              </w:rPr>
              <w:t>Fixed assets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(8,161)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(3,372)</w:t>
            </w:r>
          </w:p>
        </w:tc>
      </w:tr>
      <w:tr>
        <w:trPr>
          <w:trHeight w:val="271"/>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Intangible assets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deferred tax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(8,945)</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(3,372)</w:t>
            </w:r>
          </w:p>
        </w:tc>
      </w:tr>
      <w:tr>
        <w:trPr>
          <w:trHeight w:val="242"/>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assets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26,387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25,066</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realization of deferred tax assets is dependent upon the generation of sufficient taxable income of the appropriate character in future periods. The Company regularly assesses the ability to realize its deferred tax assets and establishes a valuation allowance if it is more-likely-than-not that some portion, or all, of the deferred tax assets will not be realized. The Company weighs all available positive and negative evidence, including its earnings history and results of recent operations, scheduled reversals of deferred tax liabilities, projected future taxable income, and tax planning strategies. Due to the weight of objectively verifiable negative evidence, it is more-likely-than-not that its California deferred tax assets will not be realized as of December 31, 2018. Additionally, due to a lack of sufficient future income of the appropriate character, certain U.S. federal and state deferred tax assets are not more-likely-than-not to be realized. Accordingly, the Company has recorded a valuation allowance of $9.1 million against such deferred tax assets. The valuation allowance increased by $3.3 million and $2.1 million during the years ended December 31, 2018 and 2017, respectively.</w:t>
      </w:r>
    </w:p>
    <w:p>
      <w:pPr>
        <w:spacing w:after="0" w:line="12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At December 31, 2018, the Company had federal and state net operating loss carryforwards of approximately $ 48.4 million and $14.0 million, respectively, available to reduce federal and state taxable income. Federal net operating losses begin to expire in 2021, and state net operating losses begin to expire in 2022. Utilization of the Company’s net operating loss carryforwards may be subject to an annual limitation due to the ownership change limitations provided by the Internal Revenue Code and similar state provisions. Such an annual limitation could result in the expiration of the net operating loss carryforwards before utilization. As of December 31, 2018, the Company had $12.2 million of federal and $10.9 million of state research and development credit carryforwards, respectively. Federal research and development credits begin to expire in 2022. State research and development credits do not expire. As of December 31, 2018, the Company had foreign tax credit carryforwards of $2.2 million which begin to expire in 2024.</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3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64"/>
        </w:trPr>
        <w:tc>
          <w:tcPr>
            <w:tcW w:w="66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9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Unrecognized tax benefits beginning balance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4,071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3,506</w:t>
            </w:r>
          </w:p>
        </w:tc>
      </w:tr>
      <w:tr>
        <w:trPr>
          <w:trHeight w:val="262"/>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Gross increase for tax positions of prior years</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8"/>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decrease for tax positions of prior years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62"/>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Gross increase for tax positions of current year</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659</w:t>
            </w:r>
          </w:p>
        </w:tc>
      </w:tr>
      <w:tr>
        <w:trPr>
          <w:trHeight w:val="271"/>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Lapse of statute of limitations</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42"/>
        </w:trPr>
        <w:tc>
          <w:tcPr>
            <w:tcW w:w="6760" w:type="dxa"/>
            <w:vAlign w:val="bottom"/>
            <w:gridSpan w:val="2"/>
          </w:tcPr>
          <w:p>
            <w:pPr>
              <w:ind w:left="380"/>
              <w:spacing w:after="0"/>
              <w:rPr>
                <w:sz w:val="20"/>
                <w:szCs w:val="20"/>
                <w:color w:val="auto"/>
              </w:rPr>
            </w:pPr>
            <w:r>
              <w:rPr>
                <w:rFonts w:ascii="Arial" w:cs="Arial" w:eastAsia="Arial" w:hAnsi="Arial"/>
                <w:sz w:val="16"/>
                <w:szCs w:val="16"/>
                <w:color w:val="auto"/>
              </w:rPr>
              <w:t>Total unrecognized tax benefits</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6,406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4,071</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The unrecognized tax benefits, if recognized, would impact the income tax provision by $3.5 million, $2.8 million and $2.4 million as of December 31, 2018, 2017 and 2016, respectively. The remaining amount would be offset by the reversal of related deferred tax assets which are subject to a full valuation allowance. As of December 31, 2018, the Company does not believe that its estimates, as otherwise provided for, on such tax positions will significantly increase or decrease within the next twelve months. The Company has elected to include interest and penalties as a component of income tax expense. The amounts were not material for 2018, 2017 and 2016.</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files income tax returns in the United States, including various state jurisdictions. The Company’s subsidiaries file tax returns in various foreign jurisdictions. The tax years 2001 through 2018 remain open to examination by the major taxing jurisdictions in which the Company is subject to tax. As of December 31, 2018, the Company was not under examination by the Internal Revenue Service, foreign, or any major state tax jurisdiction.</w:t>
      </w:r>
    </w:p>
    <w:p>
      <w:pPr>
        <w:spacing w:after="0" w:line="1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U.S. income tax has not been recognized on the excess of the amount for financial reporting over the tax basis of investments in foreign subsidiaries that is indefinitely reinvested outside the United States. A determination of the unrecognized deferred tax liability related to this basis difference is not practicable because of the complexities of the calculation.</w:t>
      </w:r>
    </w:p>
    <w:p>
      <w:pPr>
        <w:spacing w:after="0" w:line="32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Segment Information and Information about Geographic Area</w:t>
      </w:r>
    </w:p>
    <w:p>
      <w:pPr>
        <w:spacing w:after="0" w:line="2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64"/>
        </w:trPr>
        <w:tc>
          <w:tcPr>
            <w:tcW w:w="6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0"/>
        </w:trPr>
        <w:tc>
          <w:tcPr>
            <w:tcW w:w="6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4"/>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185,887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162,681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139,743</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93,002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68,147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58,182</w:t>
            </w:r>
          </w:p>
        </w:tc>
      </w:tr>
      <w:tr>
        <w:trPr>
          <w:trHeight w:val="242"/>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197,925</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0"/>
        </w:trPr>
        <w:tc>
          <w:tcPr>
            <w:tcW w:w="8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59,222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50,785</w:t>
            </w: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7,772</w:t>
            </w:r>
          </w:p>
        </w:tc>
      </w:tr>
      <w:tr>
        <w:trPr>
          <w:trHeight w:val="242"/>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58,557</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1" w:right="239"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331" w:right="2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NOTE 12.</w:t>
            </w:r>
          </w:p>
        </w:tc>
        <w:tc>
          <w:tcPr>
            <w:tcW w:w="5600" w:type="dxa"/>
            <w:vAlign w:val="bottom"/>
          </w:tcPr>
          <w:p>
            <w:pPr>
              <w:ind w:left="140"/>
              <w:spacing w:after="0"/>
              <w:rPr>
                <w:sz w:val="20"/>
                <w:szCs w:val="20"/>
                <w:color w:val="auto"/>
              </w:rPr>
            </w:pPr>
            <w:r>
              <w:rPr>
                <w:rFonts w:ascii="Arial" w:cs="Arial" w:eastAsia="Arial" w:hAnsi="Arial"/>
                <w:sz w:val="18"/>
                <w:szCs w:val="18"/>
                <w:b w:val="1"/>
                <w:bCs w:val="1"/>
                <w:color w:val="auto"/>
              </w:rPr>
              <w:t>Net Income Per Share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6760" w:type="dxa"/>
            <w:vAlign w:val="bottom"/>
            <w:gridSpan w:val="2"/>
          </w:tcPr>
          <w:p>
            <w:pPr>
              <w:ind w:left="420"/>
              <w:spacing w:after="0"/>
              <w:rPr>
                <w:sz w:val="20"/>
                <w:szCs w:val="20"/>
                <w:color w:val="auto"/>
              </w:rPr>
            </w:pPr>
            <w:r>
              <w:rPr>
                <w:rFonts w:ascii="Arial" w:cs="Arial" w:eastAsia="Arial" w:hAnsi="Arial"/>
                <w:sz w:val="18"/>
                <w:szCs w:val="18"/>
                <w:color w:val="231F20"/>
              </w:rPr>
              <w:t>The computations for basic and diluted net income per share are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320" w:type="dxa"/>
            <w:vAlign w:val="bottom"/>
            <w:gridSpan w:val="7"/>
          </w:tcPr>
          <w:p>
            <w:pPr>
              <w:jc w:val="center"/>
              <w:ind w:right="239"/>
              <w:spacing w:after="0"/>
              <w:rPr>
                <w:sz w:val="20"/>
                <w:szCs w:val="20"/>
                <w:color w:val="auto"/>
              </w:rPr>
            </w:pPr>
            <w:r>
              <w:rPr>
                <w:rFonts w:ascii="Arial" w:cs="Arial" w:eastAsia="Arial" w:hAnsi="Arial"/>
                <w:sz w:val="16"/>
                <w:szCs w:val="16"/>
                <w:b w:val="1"/>
                <w:bCs w:val="1"/>
                <w:color w:val="auto"/>
              </w:rPr>
              <w:t>(in thousands, except per share data)</w:t>
            </w:r>
          </w:p>
        </w:tc>
        <w:tc>
          <w:tcPr>
            <w:tcW w:w="0" w:type="dxa"/>
            <w:vAlign w:val="bottom"/>
          </w:tcPr>
          <w:p>
            <w:pPr>
              <w:spacing w:after="0"/>
              <w:rPr>
                <w:sz w:val="1"/>
                <w:szCs w:val="1"/>
                <w:color w:val="auto"/>
              </w:rPr>
            </w:pPr>
          </w:p>
        </w:tc>
      </w:tr>
      <w:tr>
        <w:trPr>
          <w:trHeight w:val="254"/>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5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Net income - basic and diluted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57,304</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40,440</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19,224</w:t>
            </w:r>
          </w:p>
        </w:tc>
        <w:tc>
          <w:tcPr>
            <w:tcW w:w="0" w:type="dxa"/>
            <w:vAlign w:val="bottom"/>
          </w:tcPr>
          <w:p>
            <w:pPr>
              <w:spacing w:after="0"/>
              <w:rPr>
                <w:sz w:val="1"/>
                <w:szCs w:val="1"/>
                <w:color w:val="auto"/>
              </w:rPr>
            </w:pPr>
          </w:p>
        </w:tc>
      </w:tr>
      <w:tr>
        <w:trPr>
          <w:trHeight w:val="278"/>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16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5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Weighted-average shares used in computing net income per share - basic</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38,876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37,443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35,247</w:t>
            </w:r>
          </w:p>
        </w:tc>
        <w:tc>
          <w:tcPr>
            <w:tcW w:w="0" w:type="dxa"/>
            <w:vAlign w:val="bottom"/>
          </w:tcPr>
          <w:p>
            <w:pPr>
              <w:spacing w:after="0"/>
              <w:rPr>
                <w:sz w:val="1"/>
                <w:szCs w:val="1"/>
                <w:color w:val="auto"/>
              </w:rPr>
            </w:pPr>
          </w:p>
        </w:tc>
      </w:tr>
      <w:tr>
        <w:trPr>
          <w:trHeight w:val="262"/>
        </w:trPr>
        <w:tc>
          <w:tcPr>
            <w:tcW w:w="6760" w:type="dxa"/>
            <w:vAlign w:val="bottom"/>
            <w:gridSpan w:val="2"/>
          </w:tcPr>
          <w:p>
            <w:pPr>
              <w:ind w:left="360"/>
              <w:spacing w:after="0"/>
              <w:rPr>
                <w:sz w:val="20"/>
                <w:szCs w:val="20"/>
                <w:color w:val="auto"/>
              </w:rPr>
            </w:pPr>
            <w:r>
              <w:rPr>
                <w:rFonts w:ascii="Arial" w:cs="Arial" w:eastAsia="Arial" w:hAnsi="Arial"/>
                <w:sz w:val="16"/>
                <w:szCs w:val="16"/>
                <w:color w:val="auto"/>
              </w:rPr>
              <w:t>Effect of potentially dilutive securities: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3,052</w:t>
            </w:r>
          </w:p>
        </w:tc>
        <w:tc>
          <w:tcPr>
            <w:tcW w:w="0" w:type="dxa"/>
            <w:vAlign w:val="bottom"/>
          </w:tcPr>
          <w:p>
            <w:pPr>
              <w:spacing w:after="0"/>
              <w:rPr>
                <w:sz w:val="1"/>
                <w:szCs w:val="1"/>
                <w:color w:val="auto"/>
              </w:rPr>
            </w:pPr>
          </w:p>
        </w:tc>
      </w:tr>
      <w:tr>
        <w:trPr>
          <w:trHeight w:val="264"/>
        </w:trPr>
        <w:tc>
          <w:tcPr>
            <w:tcW w:w="11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RSUs</w:t>
            </w:r>
          </w:p>
        </w:tc>
        <w:tc>
          <w:tcPr>
            <w:tcW w:w="56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42"/>
        </w:trPr>
        <w:tc>
          <w:tcPr>
            <w:tcW w:w="6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Weighted-average shares used in computing net income per share - diluted</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38,369</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income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5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60" w:type="dxa"/>
            <w:vAlign w:val="bottom"/>
          </w:tcPr>
          <w:p>
            <w:pPr>
              <w:ind w:left="360"/>
              <w:spacing w:after="0"/>
              <w:rPr>
                <w:sz w:val="20"/>
                <w:szCs w:val="20"/>
                <w:color w:val="auto"/>
              </w:rPr>
            </w:pPr>
            <w:r>
              <w:rPr>
                <w:rFonts w:ascii="Arial" w:cs="Arial" w:eastAsia="Arial" w:hAnsi="Arial"/>
                <w:sz w:val="16"/>
                <w:szCs w:val="16"/>
                <w:color w:val="auto"/>
              </w:rPr>
              <w:t>Diluted</w:t>
            </w:r>
          </w:p>
        </w:tc>
        <w:tc>
          <w:tcPr>
            <w:tcW w:w="56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20"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33020</wp:posOffset>
            </wp:positionV>
            <wp:extent cx="2958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780" w:type="dxa"/>
            <w:vAlign w:val="bottom"/>
          </w:tcPr>
          <w:p>
            <w:pPr>
              <w:jc w:val="right"/>
              <w:ind w:right="759"/>
              <w:spacing w:after="0"/>
              <w:rPr>
                <w:sz w:val="20"/>
                <w:szCs w:val="20"/>
                <w:color w:val="auto"/>
              </w:rPr>
            </w:pPr>
            <w:r>
              <w:rPr>
                <w:rFonts w:ascii="Arial" w:cs="Arial" w:eastAsia="Arial" w:hAnsi="Arial"/>
                <w:sz w:val="16"/>
                <w:szCs w:val="16"/>
                <w:b w:val="1"/>
                <w:bCs w:val="1"/>
                <w:color w:val="auto"/>
              </w:rPr>
              <w:t>2017</w:t>
            </w: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0"/>
        </w:trPr>
        <w:tc>
          <w:tcPr>
            <w:tcW w:w="676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Borders>
              <w:top w:val="single" w:sz="8" w:color="auto"/>
            </w:tcBorders>
          </w:tcPr>
          <w:p>
            <w:pPr>
              <w:spacing w:after="0"/>
              <w:rPr>
                <w:sz w:val="21"/>
                <w:szCs w:val="21"/>
                <w:color w:val="auto"/>
              </w:rPr>
            </w:pPr>
          </w:p>
        </w:tc>
      </w:tr>
      <w:tr>
        <w:trPr>
          <w:trHeight w:val="274"/>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177</w:t>
            </w: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742</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3,241</w:t>
            </w:r>
          </w:p>
        </w:tc>
      </w:tr>
      <w:tr>
        <w:trPr>
          <w:trHeight w:val="255"/>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RSUs</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780" w:type="dxa"/>
            <w:vAlign w:val="bottom"/>
          </w:tcPr>
          <w:p>
            <w:pPr>
              <w:jc w:val="right"/>
              <w:ind w:right="299"/>
              <w:spacing w:after="0"/>
              <w:rPr>
                <w:sz w:val="20"/>
                <w:szCs w:val="20"/>
                <w:color w:val="auto"/>
              </w:rPr>
            </w:pPr>
            <w:r>
              <w:rPr>
                <w:rFonts w:ascii="Arial" w:cs="Arial" w:eastAsia="Arial" w:hAnsi="Arial"/>
                <w:sz w:val="16"/>
                <w:szCs w:val="16"/>
                <w:color w:val="auto"/>
              </w:rPr>
              <w:t>71</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w:t>
            </w:r>
          </w:p>
        </w:tc>
      </w:tr>
    </w:tbl>
    <w:p>
      <w:pPr>
        <w:spacing w:after="0" w:line="36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Selected Quarterly Financial Information (Unaudited)</w:t>
      </w:r>
    </w:p>
    <w:p>
      <w:pPr>
        <w:spacing w:after="0" w:line="241"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The following table shows a summary of the Company's quarterly financial information for each of the quarters in the two-year period ended December 31,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68"/>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Mar. 31,</w:t>
            </w:r>
          </w:p>
        </w:tc>
        <w:tc>
          <w:tcPr>
            <w:tcW w:w="28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Jun. 30,</w:t>
            </w:r>
          </w:p>
        </w:tc>
        <w:tc>
          <w:tcPr>
            <w:tcW w:w="2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30,</w:t>
            </w:r>
          </w:p>
        </w:tc>
        <w:tc>
          <w:tcPr>
            <w:tcW w:w="280" w:type="dxa"/>
            <w:vAlign w:val="bottom"/>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 31,</w:t>
            </w:r>
          </w:p>
        </w:tc>
        <w:tc>
          <w:tcPr>
            <w:tcW w:w="2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Mar. 31,</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Jun. 30,</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30,</w:t>
            </w:r>
          </w:p>
        </w:tc>
        <w:tc>
          <w:tcPr>
            <w:tcW w:w="260" w:type="dxa"/>
            <w:vAlign w:val="bottom"/>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 31,</w:t>
            </w:r>
          </w:p>
        </w:tc>
      </w:tr>
      <w:tr>
        <w:trPr>
          <w:trHeight w:val="203"/>
        </w:trPr>
        <w:tc>
          <w:tcPr>
            <w:tcW w:w="2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r>
      <w:tr>
        <w:trPr>
          <w:trHeight w:val="209"/>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gridSpan w:val="6"/>
          </w:tcPr>
          <w:p>
            <w:pPr>
              <w:jc w:val="center"/>
              <w:ind w:left="508"/>
              <w:spacing w:after="0"/>
              <w:rPr>
                <w:sz w:val="20"/>
                <w:szCs w:val="20"/>
                <w:color w:val="auto"/>
              </w:rPr>
            </w:pPr>
            <w:r>
              <w:rPr>
                <w:rFonts w:ascii="Arial" w:cs="Arial" w:eastAsia="Arial" w:hAnsi="Arial"/>
                <w:sz w:val="14"/>
                <w:szCs w:val="14"/>
                <w:b w:val="1"/>
                <w:bCs w:val="1"/>
                <w:color w:val="auto"/>
              </w:rPr>
              <w:t>(in thousands, except per share data)</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53,121</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55,302</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59,490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62,915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64,878</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68,153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71,658</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74,200</w:t>
            </w:r>
          </w:p>
        </w:tc>
      </w:tr>
      <w:tr>
        <w:trPr>
          <w:trHeight w:val="266"/>
        </w:trPr>
        <w:tc>
          <w:tcPr>
            <w:tcW w:w="2420" w:type="dxa"/>
            <w:vAlign w:val="bottom"/>
          </w:tcPr>
          <w:p>
            <w:pPr>
              <w:ind w:left="40"/>
              <w:spacing w:after="0"/>
              <w:rPr>
                <w:sz w:val="20"/>
                <w:szCs w:val="20"/>
                <w:color w:val="auto"/>
              </w:rPr>
            </w:pPr>
            <w:r>
              <w:rPr>
                <w:rFonts w:ascii="Arial" w:cs="Arial" w:eastAsia="Arial" w:hAnsi="Arial"/>
                <w:sz w:val="14"/>
                <w:szCs w:val="14"/>
                <w:color w:val="auto"/>
              </w:rPr>
              <w:t>Income from operations</w:t>
            </w:r>
          </w:p>
        </w:tc>
        <w:tc>
          <w:tcPr>
            <w:tcW w:w="1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7,656</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9,009</w:t>
            </w: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10,849</w:t>
            </w: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9,729</w:t>
            </w:r>
          </w:p>
        </w:tc>
        <w:tc>
          <w:tcPr>
            <w:tcW w:w="2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8,406</w:t>
            </w: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10,895</w:t>
            </w: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18,117</w:t>
            </w:r>
          </w:p>
        </w:tc>
        <w:tc>
          <w:tcPr>
            <w:tcW w:w="2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12,943</w:t>
            </w:r>
          </w:p>
        </w:tc>
      </w:tr>
      <w:tr>
        <w:trPr>
          <w:trHeight w:val="27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net</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360</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652</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1,245</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1,116</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1,862</w:t>
            </w:r>
          </w:p>
        </w:tc>
      </w:tr>
      <w:tr>
        <w:trPr>
          <w:trHeight w:val="266"/>
        </w:trPr>
        <w:tc>
          <w:tcPr>
            <w:tcW w:w="242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8,109</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9,369</w:t>
            </w: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11,520</w:t>
            </w: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10,381</w:t>
            </w:r>
          </w:p>
        </w:tc>
        <w:tc>
          <w:tcPr>
            <w:tcW w:w="2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9,651</w:t>
            </w: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11,779</w:t>
            </w: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19,233</w:t>
            </w:r>
          </w:p>
        </w:tc>
        <w:tc>
          <w:tcPr>
            <w:tcW w:w="2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14,805</w:t>
            </w:r>
          </w:p>
        </w:tc>
      </w:tr>
      <w:tr>
        <w:trPr>
          <w:trHeight w:val="27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21,930</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7,202</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8,452</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2,857</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9,142</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10,293</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23,469</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14,400</w:t>
            </w:r>
          </w:p>
        </w:tc>
      </w:tr>
      <w:tr>
        <w:trPr>
          <w:trHeight w:val="266"/>
        </w:trPr>
        <w:tc>
          <w:tcPr>
            <w:tcW w:w="2420" w:type="dxa"/>
            <w:vAlign w:val="bottom"/>
          </w:tcPr>
          <w:p>
            <w:pPr>
              <w:ind w:left="40"/>
              <w:spacing w:after="0"/>
              <w:rPr>
                <w:sz w:val="20"/>
                <w:szCs w:val="20"/>
                <w:color w:val="auto"/>
              </w:rPr>
            </w:pPr>
            <w:r>
              <w:rPr>
                <w:rFonts w:ascii="Arial" w:cs="Arial" w:eastAsia="Arial" w:hAnsi="Arial"/>
                <w:sz w:val="14"/>
                <w:szCs w:val="14"/>
                <w:color w:val="auto"/>
              </w:rPr>
              <w:t>Net income per share: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4"/>
        </w:trPr>
        <w:tc>
          <w:tcPr>
            <w:tcW w:w="2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0.19</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0.24</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0.37</w:t>
            </w:r>
          </w:p>
        </w:tc>
      </w:tr>
      <w:tr>
        <w:trPr>
          <w:trHeight w:val="262"/>
        </w:trPr>
        <w:tc>
          <w:tcPr>
            <w:tcW w:w="2420" w:type="dxa"/>
            <w:vAlign w:val="bottom"/>
          </w:tcPr>
          <w:p>
            <w:pPr>
              <w:ind w:left="36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0.56</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0.18</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0.21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0.07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0.22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0.24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0.56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0.35</w:t>
            </w:r>
          </w:p>
        </w:tc>
      </w:tr>
    </w:tbl>
    <w:p>
      <w:pPr>
        <w:spacing w:after="0" w:line="200" w:lineRule="exact"/>
        <w:rPr>
          <w:sz w:val="20"/>
          <w:szCs w:val="20"/>
          <w:color w:val="auto"/>
        </w:rPr>
      </w:pPr>
    </w:p>
    <w:p>
      <w:pPr>
        <w:sectPr>
          <w:pgSz w:w="11900" w:h="16838" w:orient="portrait"/>
          <w:cols w:equalWidth="0" w:num="1">
            <w:col w:w="11420"/>
          </w:cols>
          <w:pgMar w:left="240" w:top="331" w:right="2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331" w:right="239" w:bottom="1440" w:gutter="0" w:footer="0" w:header="0"/>
          <w:type w:val="continuous"/>
        </w:sectPr>
      </w:pPr>
    </w:p>
    <w:bookmarkStart w:id="95" w:name="page96"/>
    <w:bookmarkEnd w:id="9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management, with the participation of our Chief Executive Officer, Chief Financial Officer and our Principal Accounting Officer, evaluated the effectiveness of our disclosure controls and procedures as of December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2018, our Chief Executive Officer and Chief Financial Officer concluded that, as of such date, our disclosure controls and procedures were effective at the reasonable assurance level.</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generally accepted accounting principles, or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Chief Financial Officer and our Principal Accounting Officer, we conducted an evaluation of the effectiveness of our internal control over financial reporting as of December 31, 2018 based on the criteria established in the 2013 Internal Control - Integrated Framework issued by the Committee of Sponsoring Organizations of the Treadway Commission, or COSO. Based on our evaluation under the criteria set forth in the 2013 Internal Control - Integrated Framework issued by the COSO, our management concluded our internal control over financial reporting was effective as of December 31, 2018.</w:t>
      </w:r>
    </w:p>
    <w:p>
      <w:pPr>
        <w:spacing w:after="0" w:line="178"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Grant Thornton LLP, an independent registered public accounting firm, as stated in its report, which is included in Item 8 of this Annual Report on Form 10-K.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fourth quarter ended December 31, 2018 that has materially affected, or is reasonably likely to materially affect, our internal control over financial reporting.</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231F20"/>
        </w:rPr>
        <w:t>PART III</w:t>
      </w:r>
    </w:p>
    <w:p>
      <w:pPr>
        <w:spacing w:after="0" w:line="14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Executive Officers and Directors</w:t>
      </w:r>
    </w:p>
    <w:p>
      <w:pPr>
        <w:spacing w:after="0" w:line="227"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Proxy Statement for our 2019 Annual Meeting of Stockholders to be filed with the SEC within 120 days after the end of the fiscal year ended December 31,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Codes of Business Conduct and Ethics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w:t>
      </w:r>
      <w:r>
        <w:rPr>
          <w:rFonts w:ascii="Times New Roman" w:cs="Times New Roman" w:eastAsia="Times New Roman" w:hAnsi="Times New Roman"/>
          <w:sz w:val="18"/>
          <w:szCs w:val="18"/>
          <w:color w:val="auto"/>
        </w:rPr>
        <w:t>'</w:t>
      </w:r>
      <w:r>
        <w:rPr>
          <w:rFonts w:ascii="Arial" w:cs="Arial" w:eastAsia="Arial" w:hAnsi="Arial"/>
          <w:sz w:val="18"/>
          <w:szCs w:val="18"/>
          <w:color w:val="auto"/>
        </w:rPr>
        <w:t>s listing requirements; otherwise, we will disclose such waiver by posting such information on our website.</w:t>
      </w:r>
    </w:p>
    <w:p>
      <w:pPr>
        <w:spacing w:after="0" w:line="33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41"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to be filed with the SEC within 120 days after the end of the fiscal year ended December 31, 2018.</w:t>
      </w:r>
    </w:p>
    <w:p>
      <w:pPr>
        <w:spacing w:after="0" w:line="305" w:lineRule="exact"/>
        <w:rPr>
          <w:sz w:val="20"/>
          <w:szCs w:val="20"/>
          <w:color w:val="auto"/>
        </w:rPr>
      </w:pPr>
    </w:p>
    <w:p>
      <w:pPr>
        <w:ind w:left="40" w:right="2480" w:firstLine="1040"/>
        <w:spacing w:after="0" w:line="288"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Item 12. Matters</w:t>
      </w:r>
    </w:p>
    <w:p>
      <w:pPr>
        <w:spacing w:after="0" w:line="153"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The information required by this item with respect to Item 403 of Regulation S-K regarding security ownership of certain beneficial owners and management is incorporated by reference to our Proxy Statement for our 2019 Annual Meeting of Stockholders to be filed with the SEC within 120 days after the end of the fiscal year ended December 31, 2018. For the information required by this item with respect to Item 201(d) of Regulation S-K regarding securities authorized for issuance under equity compensation plans, see “Item 5: Market for Registrant’s Common Equity, Related Stockholder Matters and Issuer Purchases of Equity Securities—Securities Authorized for Issuance under Equity Compensation Plans.”</w:t>
      </w:r>
    </w:p>
    <w:p>
      <w:pPr>
        <w:spacing w:after="0" w:line="33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1"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to be filed with the SEC within 120 days after the end of the fiscal year ended December 31, 2018.</w:t>
      </w:r>
    </w:p>
    <w:p>
      <w:pPr>
        <w:spacing w:after="0" w:line="30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405"/>
        <w:spacing w:after="0" w:line="29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to be filed with the SEC within 120 days after the end of the fiscal year ended December 31, 2018.</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31F20"/>
        </w:rPr>
        <w:t>PART IV</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41" w:lineRule="exact"/>
        <w:rPr>
          <w:sz w:val="20"/>
          <w:szCs w:val="20"/>
          <w:color w:val="auto"/>
        </w:rPr>
      </w:pPr>
    </w:p>
    <w:p>
      <w:pPr>
        <w:ind w:left="260" w:right="860"/>
        <w:spacing w:after="0" w:line="292" w:lineRule="auto"/>
        <w:rPr>
          <w:sz w:val="20"/>
          <w:szCs w:val="20"/>
          <w:color w:val="auto"/>
        </w:rPr>
      </w:pPr>
      <w:r>
        <w:rPr>
          <w:rFonts w:ascii="Arial" w:cs="Arial" w:eastAsia="Arial" w:hAnsi="Arial"/>
          <w:sz w:val="18"/>
          <w:szCs w:val="18"/>
          <w:color w:val="auto"/>
        </w:rPr>
        <w:t>(a)(1) Financial Statements - The financial statements filed as part of this Annual Report on Form 10-K are listed on the Index to Consolidated Financial Statements in Item 8.</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3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231F20"/>
        </w:rPr>
        <w:t>SCHEDULE II</w:t>
      </w:r>
    </w:p>
    <w:p>
      <w:pPr>
        <w:spacing w:after="0" w:line="33"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231F20"/>
        </w:rPr>
        <w:t>SUPPLEMENTARY CONSOLIDATED FINANCIAL STATEMENT SCHEDULE</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231F20"/>
        </w:rPr>
        <w:t>VALUATION AND QUALIFYING ACCOUNTS</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(in thousands)</w:t>
      </w:r>
    </w:p>
    <w:p>
      <w:pPr>
        <w:spacing w:after="0" w:line="395"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Additions</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96"/>
        </w:trPr>
        <w:tc>
          <w:tcPr>
            <w:tcW w:w="360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Balance at Beginning</w:t>
            </w: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Charged to Costs and</w:t>
            </w:r>
          </w:p>
        </w:tc>
        <w:tc>
          <w:tcPr>
            <w:tcW w:w="30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Deductions and</w:t>
            </w:r>
          </w:p>
        </w:tc>
        <w:tc>
          <w:tcPr>
            <w:tcW w:w="16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b w:val="1"/>
                <w:bCs w:val="1"/>
                <w:color w:val="auto"/>
              </w:rPr>
              <w:t>Balance at End of</w:t>
            </w:r>
          </w:p>
        </w:tc>
      </w:tr>
      <w:tr>
        <w:trPr>
          <w:trHeight w:val="236"/>
        </w:trPr>
        <w:tc>
          <w:tcPr>
            <w:tcW w:w="3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Arial" w:cs="Arial" w:eastAsia="Arial" w:hAnsi="Arial"/>
                <w:sz w:val="16"/>
                <w:szCs w:val="16"/>
                <w:b w:val="1"/>
                <w:bCs w:val="1"/>
                <w:color w:val="auto"/>
              </w:rPr>
              <w:t>of Year</w:t>
            </w:r>
          </w:p>
        </w:tc>
        <w:tc>
          <w:tcPr>
            <w:tcW w:w="300" w:type="dxa"/>
            <w:vAlign w:val="bottom"/>
          </w:tcPr>
          <w:p>
            <w:pPr>
              <w:spacing w:after="0"/>
              <w:rPr>
                <w:sz w:val="20"/>
                <w:szCs w:val="20"/>
                <w:color w:val="auto"/>
              </w:rPr>
            </w:pPr>
          </w:p>
        </w:tc>
        <w:tc>
          <w:tcPr>
            <w:tcW w:w="1440" w:type="dxa"/>
            <w:vAlign w:val="bottom"/>
          </w:tcPr>
          <w:p>
            <w:pPr>
              <w:jc w:val="right"/>
              <w:ind w:right="419"/>
              <w:spacing w:after="0"/>
              <w:rPr>
                <w:sz w:val="20"/>
                <w:szCs w:val="20"/>
                <w:color w:val="auto"/>
              </w:rPr>
            </w:pPr>
            <w:r>
              <w:rPr>
                <w:rFonts w:ascii="Arial" w:cs="Arial" w:eastAsia="Arial" w:hAnsi="Arial"/>
                <w:sz w:val="16"/>
                <w:szCs w:val="16"/>
                <w:b w:val="1"/>
                <w:bCs w:val="1"/>
                <w:color w:val="auto"/>
              </w:rPr>
              <w:t>Expenses</w:t>
            </w:r>
          </w:p>
        </w:tc>
        <w:tc>
          <w:tcPr>
            <w:tcW w:w="300" w:type="dxa"/>
            <w:vAlign w:val="bottom"/>
          </w:tcPr>
          <w:p>
            <w:pPr>
              <w:spacing w:after="0"/>
              <w:rPr>
                <w:sz w:val="20"/>
                <w:szCs w:val="20"/>
                <w:color w:val="auto"/>
              </w:rPr>
            </w:pPr>
          </w:p>
        </w:tc>
        <w:tc>
          <w:tcPr>
            <w:tcW w:w="1660" w:type="dxa"/>
            <w:vAlign w:val="bottom"/>
            <w:gridSpan w:val="2"/>
          </w:tcPr>
          <w:p>
            <w:pPr>
              <w:jc w:val="center"/>
              <w:ind w:right="300"/>
              <w:spacing w:after="0" w:line="236" w:lineRule="exact"/>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(1)</w:t>
            </w:r>
          </w:p>
        </w:tc>
        <w:tc>
          <w:tcPr>
            <w:tcW w:w="160" w:type="dxa"/>
            <w:vAlign w:val="bottom"/>
          </w:tcPr>
          <w:p>
            <w:pPr>
              <w:spacing w:after="0"/>
              <w:rPr>
                <w:sz w:val="20"/>
                <w:szCs w:val="20"/>
                <w:color w:val="auto"/>
              </w:rPr>
            </w:pPr>
          </w:p>
        </w:tc>
        <w:tc>
          <w:tcPr>
            <w:tcW w:w="1580" w:type="dxa"/>
            <w:vAlign w:val="bottom"/>
          </w:tcPr>
          <w:p>
            <w:pPr>
              <w:jc w:val="right"/>
              <w:ind w:right="619"/>
              <w:spacing w:after="0"/>
              <w:rPr>
                <w:sz w:val="20"/>
                <w:szCs w:val="20"/>
                <w:color w:val="auto"/>
              </w:rPr>
            </w:pPr>
            <w:r>
              <w:rPr>
                <w:rFonts w:ascii="Arial" w:cs="Arial" w:eastAsia="Arial" w:hAnsi="Arial"/>
                <w:sz w:val="16"/>
                <w:szCs w:val="16"/>
                <w:b w:val="1"/>
                <w:bCs w:val="1"/>
                <w:color w:val="auto"/>
              </w:rPr>
              <w:t>Year</w:t>
            </w:r>
          </w:p>
        </w:tc>
      </w:tr>
      <w:tr>
        <w:trPr>
          <w:trHeight w:val="264"/>
        </w:trPr>
        <w:tc>
          <w:tcPr>
            <w:tcW w:w="3600" w:type="dxa"/>
            <w:vAlign w:val="bottom"/>
            <w:tcBorders>
              <w:top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Allowance for Doubtful Accounts</w:t>
            </w:r>
          </w:p>
        </w:tc>
        <w:tc>
          <w:tcPr>
            <w:tcW w:w="34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spacing w:after="0"/>
              <w:rPr>
                <w:sz w:val="22"/>
                <w:szCs w:val="22"/>
                <w:color w:val="auto"/>
              </w:rPr>
            </w:pPr>
          </w:p>
        </w:tc>
      </w:tr>
      <w:tr>
        <w:trPr>
          <w:trHeight w:val="262"/>
        </w:trPr>
        <w:tc>
          <w:tcPr>
            <w:tcW w:w="3600" w:type="dxa"/>
            <w:vAlign w:val="bottom"/>
          </w:tcPr>
          <w:p>
            <w:pPr>
              <w:jc w:val="right"/>
              <w:ind w:right="939"/>
              <w:spacing w:after="0"/>
              <w:rPr>
                <w:sz w:val="20"/>
                <w:szCs w:val="20"/>
                <w:color w:val="auto"/>
              </w:rPr>
            </w:pPr>
            <w:r>
              <w:rPr>
                <w:rFonts w:ascii="Arial" w:cs="Arial" w:eastAsia="Arial" w:hAnsi="Arial"/>
                <w:sz w:val="16"/>
                <w:szCs w:val="16"/>
                <w:color w:val="auto"/>
              </w:rPr>
              <w:t>Year Ended December 31, 2018</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683</w:t>
            </w:r>
          </w:p>
        </w:tc>
      </w:tr>
      <w:tr>
        <w:trPr>
          <w:trHeight w:val="278"/>
        </w:trPr>
        <w:tc>
          <w:tcPr>
            <w:tcW w:w="36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Year Ended December 31, 2017</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657</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816</w:t>
            </w:r>
          </w:p>
        </w:tc>
      </w:tr>
      <w:tr>
        <w:trPr>
          <w:trHeight w:val="255"/>
        </w:trPr>
        <w:tc>
          <w:tcPr>
            <w:tcW w:w="3600" w:type="dxa"/>
            <w:vAlign w:val="bottom"/>
          </w:tcPr>
          <w:p>
            <w:pPr>
              <w:jc w:val="right"/>
              <w:ind w:right="939"/>
              <w:spacing w:after="0"/>
              <w:rPr>
                <w:sz w:val="20"/>
                <w:szCs w:val="20"/>
                <w:color w:val="auto"/>
              </w:rPr>
            </w:pPr>
            <w:r>
              <w:rPr>
                <w:rFonts w:ascii="Arial" w:cs="Arial" w:eastAsia="Arial" w:hAnsi="Arial"/>
                <w:sz w:val="16"/>
                <w:szCs w:val="16"/>
                <w:color w:val="auto"/>
              </w:rPr>
              <w:t>Year Ended December 31, 2016</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702</w:t>
            </w:r>
          </w:p>
        </w:tc>
      </w:tr>
    </w:tbl>
    <w:p>
      <w:pPr>
        <w:spacing w:after="0" w:line="227" w:lineRule="exact"/>
        <w:rPr>
          <w:sz w:val="20"/>
          <w:szCs w:val="20"/>
          <w:color w:val="auto"/>
        </w:rPr>
      </w:pPr>
    </w:p>
    <w:p>
      <w:pPr>
        <w:ind w:left="420" w:hanging="169"/>
        <w:spacing w:after="0"/>
        <w:tabs>
          <w:tab w:leader="none" w:pos="420"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Primarily represents write-offs of uncollectible accounts, net of recoveries.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otherwise included.</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Exhibits</w:t>
      </w:r>
    </w:p>
    <w:p>
      <w:pPr>
        <w:sectPr>
          <w:pgSz w:w="11900" w:h="16838" w:orient="portrait"/>
          <w:cols w:equalWidth="0" w:num="1">
            <w:col w:w="11280"/>
          </w:cols>
          <w:pgMar w:left="240" w:top="12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0" w:type="dxa"/>
        <w:tblCellMar>
          <w:top w:w="0" w:type="dxa"/>
          <w:left w:w="0" w:type="dxa"/>
          <w:bottom w:w="0" w:type="dxa"/>
          <w:right w:w="0" w:type="dxa"/>
        </w:tblCellMar>
      </w:tblPr>
      <w:tr>
        <w:trPr>
          <w:trHeight w:val="194"/>
        </w:trPr>
        <w:tc>
          <w:tcPr>
            <w:tcW w:w="980" w:type="dxa"/>
            <w:vAlign w:val="bottom"/>
          </w:tcPr>
          <w:p>
            <w:pPr>
              <w:jc w:val="center"/>
              <w:ind w:right="408"/>
              <w:spacing w:after="0"/>
              <w:rPr>
                <w:sz w:val="20"/>
                <w:szCs w:val="20"/>
                <w:color w:val="auto"/>
              </w:rPr>
            </w:pPr>
            <w:r>
              <w:rPr>
                <w:rFonts w:ascii="Arial" w:cs="Arial" w:eastAsia="Arial" w:hAnsi="Arial"/>
                <w:sz w:val="14"/>
                <w:szCs w:val="14"/>
                <w:color w:val="auto"/>
                <w:w w:val="99"/>
              </w:rPr>
              <w:t>Exhibit</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80" w:type="dxa"/>
            <w:vAlign w:val="bottom"/>
          </w:tcPr>
          <w:p>
            <w:pPr>
              <w:jc w:val="center"/>
              <w:ind w:right="408"/>
              <w:spacing w:after="0"/>
              <w:rPr>
                <w:sz w:val="20"/>
                <w:szCs w:val="20"/>
                <w:color w:val="auto"/>
              </w:rPr>
            </w:pPr>
            <w:r>
              <w:rPr>
                <w:rFonts w:ascii="Arial" w:cs="Arial" w:eastAsia="Arial" w:hAnsi="Arial"/>
                <w:sz w:val="14"/>
                <w:szCs w:val="14"/>
                <w:color w:val="auto"/>
              </w:rPr>
              <w:t>Number</w:t>
            </w:r>
          </w:p>
        </w:tc>
        <w:tc>
          <w:tcPr>
            <w:tcW w:w="4140" w:type="dxa"/>
            <w:vAlign w:val="bottom"/>
            <w:gridSpan w:val="16"/>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305"/>
        </w:trPr>
        <w:tc>
          <w:tcPr>
            <w:tcW w:w="980" w:type="dxa"/>
            <w:vAlign w:val="bottom"/>
            <w:vMerge w:val="restart"/>
          </w:tcPr>
          <w:p>
            <w:pPr>
              <w:jc w:val="center"/>
              <w:ind w:right="388"/>
              <w:spacing w:after="0"/>
              <w:rPr>
                <w:sz w:val="20"/>
                <w:szCs w:val="20"/>
                <w:color w:val="auto"/>
              </w:rPr>
            </w:pPr>
            <w:r>
              <w:rPr>
                <w:rFonts w:ascii="Arial" w:cs="Arial" w:eastAsia="Arial" w:hAnsi="Arial"/>
                <w:sz w:val="14"/>
                <w:szCs w:val="14"/>
                <w:color w:val="auto"/>
              </w:rPr>
              <w:t>3.1</w:t>
            </w:r>
          </w:p>
        </w:tc>
        <w:tc>
          <w:tcPr>
            <w:tcW w:w="4140" w:type="dxa"/>
            <w:vAlign w:val="bottom"/>
            <w:gridSpan w:val="16"/>
          </w:tcPr>
          <w:p>
            <w:pPr>
              <w:spacing w:after="0"/>
              <w:rPr>
                <w:rFonts w:ascii="Arial" w:cs="Arial" w:eastAsia="Arial" w:hAnsi="Arial"/>
                <w:sz w:val="14"/>
                <w:szCs w:val="14"/>
                <w:color w:val="0000FF"/>
              </w:rPr>
            </w:pPr>
            <w:hyperlink r:id="rId14">
              <w:r>
                <w:rPr>
                  <w:rFonts w:ascii="Arial" w:cs="Arial" w:eastAsia="Arial" w:hAnsi="Arial"/>
                  <w:sz w:val="14"/>
                  <w:szCs w:val="14"/>
                  <w:color w:val="0000FF"/>
                </w:rPr>
                <w:t>Amended and Restated Certificate of Incorporation of Qualys,</w:t>
              </w:r>
            </w:hyperlink>
          </w:p>
        </w:tc>
        <w:tc>
          <w:tcPr>
            <w:tcW w:w="0" w:type="dxa"/>
            <w:vAlign w:val="bottom"/>
          </w:tcPr>
          <w:p>
            <w:pPr>
              <w:spacing w:after="0"/>
              <w:rPr>
                <w:sz w:val="1"/>
                <w:szCs w:val="1"/>
                <w:color w:val="auto"/>
              </w:rPr>
            </w:pPr>
          </w:p>
        </w:tc>
      </w:tr>
      <w:tr>
        <w:trPr>
          <w:trHeight w:val="94"/>
        </w:trPr>
        <w:tc>
          <w:tcPr>
            <w:tcW w:w="980" w:type="dxa"/>
            <w:vAlign w:val="bottom"/>
            <w:vMerge w:val="continue"/>
          </w:tcPr>
          <w:p>
            <w:pPr>
              <w:spacing w:after="0"/>
              <w:rPr>
                <w:sz w:val="8"/>
                <w:szCs w:val="8"/>
                <w:color w:val="auto"/>
              </w:rPr>
            </w:pPr>
          </w:p>
        </w:tc>
        <w:tc>
          <w:tcPr>
            <w:tcW w:w="3920" w:type="dxa"/>
            <w:vAlign w:val="bottom"/>
            <w:tcBorders>
              <w:top w:val="single" w:sz="8" w:color="0000FF"/>
            </w:tcBorders>
            <w:gridSpan w:val="12"/>
            <w:vMerge w:val="restart"/>
          </w:tcPr>
          <w:p>
            <w:pPr>
              <w:spacing w:after="0" w:line="142" w:lineRule="exact"/>
              <w:rPr>
                <w:rFonts w:ascii="Arial" w:cs="Arial" w:eastAsia="Arial" w:hAnsi="Arial"/>
                <w:sz w:val="14"/>
                <w:szCs w:val="14"/>
                <w:color w:val="0000FF"/>
              </w:rPr>
            </w:pPr>
            <w:hyperlink r:id="rId14">
              <w:r>
                <w:rPr>
                  <w:rFonts w:ascii="Arial" w:cs="Arial" w:eastAsia="Arial" w:hAnsi="Arial"/>
                  <w:sz w:val="14"/>
                  <w:szCs w:val="14"/>
                  <w:color w:val="0000FF"/>
                </w:rPr>
                <w:t>Inc.</w:t>
              </w:r>
            </w:hyperlink>
          </w:p>
        </w:tc>
        <w:tc>
          <w:tcPr>
            <w:tcW w:w="220" w:type="dxa"/>
            <w:vAlign w:val="bottom"/>
            <w:gridSpan w:val="4"/>
            <w:vMerge w:val="restart"/>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980" w:type="dxa"/>
            <w:vAlign w:val="bottom"/>
          </w:tcPr>
          <w:p>
            <w:pPr>
              <w:spacing w:after="0"/>
              <w:rPr>
                <w:sz w:val="4"/>
                <w:szCs w:val="4"/>
                <w:color w:val="auto"/>
              </w:rPr>
            </w:pPr>
          </w:p>
        </w:tc>
        <w:tc>
          <w:tcPr>
            <w:tcW w:w="3920" w:type="dxa"/>
            <w:vAlign w:val="bottom"/>
            <w:gridSpan w:val="12"/>
            <w:vMerge w:val="continue"/>
          </w:tcPr>
          <w:p>
            <w:pPr>
              <w:spacing w:after="0"/>
              <w:rPr>
                <w:sz w:val="4"/>
                <w:szCs w:val="4"/>
                <w:color w:val="auto"/>
              </w:rPr>
            </w:pPr>
          </w:p>
        </w:tc>
        <w:tc>
          <w:tcPr>
            <w:tcW w:w="2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tcPr>
          <w:p>
            <w:pPr>
              <w:jc w:val="center"/>
              <w:ind w:right="388"/>
              <w:spacing w:after="0"/>
              <w:rPr>
                <w:sz w:val="20"/>
                <w:szCs w:val="20"/>
                <w:color w:val="auto"/>
              </w:rPr>
            </w:pPr>
            <w:r>
              <w:rPr>
                <w:rFonts w:ascii="Arial" w:cs="Arial" w:eastAsia="Arial" w:hAnsi="Arial"/>
                <w:sz w:val="14"/>
                <w:szCs w:val="14"/>
                <w:color w:val="auto"/>
              </w:rPr>
              <w:t>3.2</w:t>
            </w:r>
          </w:p>
        </w:tc>
        <w:tc>
          <w:tcPr>
            <w:tcW w:w="4140" w:type="dxa"/>
            <w:vAlign w:val="bottom"/>
            <w:gridSpan w:val="16"/>
          </w:tcPr>
          <w:p>
            <w:pPr>
              <w:spacing w:after="0"/>
              <w:rPr>
                <w:rFonts w:ascii="Arial" w:cs="Arial" w:eastAsia="Arial" w:hAnsi="Arial"/>
                <w:sz w:val="14"/>
                <w:szCs w:val="14"/>
                <w:color w:val="0000FF"/>
              </w:rPr>
            </w:pPr>
            <w:hyperlink r:id="rId15">
              <w:r>
                <w:rPr>
                  <w:rFonts w:ascii="Arial" w:cs="Arial" w:eastAsia="Arial" w:hAnsi="Arial"/>
                  <w:sz w:val="14"/>
                  <w:szCs w:val="14"/>
                  <w:color w:val="0000FF"/>
                </w:rPr>
                <w:t>Amended and Restated Bylaws of Qualys, Inc.</w:t>
              </w:r>
            </w:hyperlink>
          </w:p>
        </w:tc>
        <w:tc>
          <w:tcPr>
            <w:tcW w:w="0" w:type="dxa"/>
            <w:vAlign w:val="bottom"/>
          </w:tcPr>
          <w:p>
            <w:pPr>
              <w:spacing w:after="0"/>
              <w:rPr>
                <w:sz w:val="1"/>
                <w:szCs w:val="1"/>
                <w:color w:val="auto"/>
              </w:rPr>
            </w:pPr>
          </w:p>
        </w:tc>
      </w:tr>
      <w:tr>
        <w:trPr>
          <w:trHeight w:val="520"/>
        </w:trPr>
        <w:tc>
          <w:tcPr>
            <w:tcW w:w="980" w:type="dxa"/>
            <w:vAlign w:val="bottom"/>
          </w:tcPr>
          <w:p>
            <w:pPr>
              <w:jc w:val="center"/>
              <w:ind w:right="388"/>
              <w:spacing w:after="0"/>
              <w:rPr>
                <w:sz w:val="20"/>
                <w:szCs w:val="20"/>
                <w:color w:val="auto"/>
              </w:rPr>
            </w:pPr>
            <w:r>
              <w:rPr>
                <w:rFonts w:ascii="Arial" w:cs="Arial" w:eastAsia="Arial" w:hAnsi="Arial"/>
                <w:sz w:val="14"/>
                <w:szCs w:val="14"/>
                <w:color w:val="auto"/>
              </w:rPr>
              <w:t>4.1</w:t>
            </w:r>
          </w:p>
        </w:tc>
        <w:tc>
          <w:tcPr>
            <w:tcW w:w="2160" w:type="dxa"/>
            <w:vAlign w:val="bottom"/>
            <w:tcBorders>
              <w:top w:val="single" w:sz="8" w:color="0000FF"/>
              <w:bottom w:val="single" w:sz="8" w:color="0000FF"/>
            </w:tcBorders>
            <w:gridSpan w:val="6"/>
          </w:tcPr>
          <w:p>
            <w:pPr>
              <w:spacing w:after="0"/>
              <w:rPr>
                <w:rFonts w:ascii="Arial" w:cs="Arial" w:eastAsia="Arial" w:hAnsi="Arial"/>
                <w:sz w:val="14"/>
                <w:szCs w:val="14"/>
                <w:color w:val="0000FF"/>
              </w:rPr>
            </w:pPr>
            <w:hyperlink r:id="rId16">
              <w:r>
                <w:rPr>
                  <w:rFonts w:ascii="Arial" w:cs="Arial" w:eastAsia="Arial" w:hAnsi="Arial"/>
                  <w:sz w:val="14"/>
                  <w:szCs w:val="14"/>
                  <w:color w:val="0000FF"/>
                </w:rPr>
                <w:t>Form of common stock certificate.</w:t>
              </w:r>
            </w:hyperlink>
          </w:p>
        </w:tc>
        <w:tc>
          <w:tcPr>
            <w:tcW w:w="800" w:type="dxa"/>
            <w:vAlign w:val="bottom"/>
            <w:tcBorders>
              <w:top w:val="single" w:sz="8" w:color="0000FF"/>
            </w:tcBorders>
            <w:gridSpan w:val="2"/>
          </w:tcPr>
          <w:p>
            <w:pPr>
              <w:spacing w:after="0"/>
              <w:rPr>
                <w:sz w:val="24"/>
                <w:szCs w:val="24"/>
                <w:color w:val="auto"/>
              </w:rPr>
            </w:pPr>
          </w:p>
        </w:tc>
        <w:tc>
          <w:tcPr>
            <w:tcW w:w="1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10.1*</w:t>
            </w:r>
          </w:p>
        </w:tc>
        <w:tc>
          <w:tcPr>
            <w:tcW w:w="4000" w:type="dxa"/>
            <w:vAlign w:val="bottom"/>
            <w:tcBorders>
              <w:bottom w:val="single" w:sz="8" w:color="0000FF"/>
            </w:tcBorders>
            <w:gridSpan w:val="13"/>
          </w:tcPr>
          <w:p>
            <w:pPr>
              <w:spacing w:after="0"/>
              <w:rPr>
                <w:rFonts w:ascii="Arial" w:cs="Arial" w:eastAsia="Arial" w:hAnsi="Arial"/>
                <w:sz w:val="14"/>
                <w:szCs w:val="14"/>
                <w:color w:val="0000FF"/>
              </w:rPr>
            </w:pPr>
            <w:hyperlink r:id="rId17">
              <w:r>
                <w:rPr>
                  <w:rFonts w:ascii="Arial" w:cs="Arial" w:eastAsia="Arial" w:hAnsi="Arial"/>
                  <w:sz w:val="14"/>
                  <w:szCs w:val="14"/>
                  <w:color w:val="0000FF"/>
                </w:rPr>
                <w:t>2000 Equity Incentive Plan, as amended, and the form of stock</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80" w:type="dxa"/>
            <w:vAlign w:val="bottom"/>
            <w:vMerge w:val="continue"/>
          </w:tcPr>
          <w:p>
            <w:pPr>
              <w:spacing w:after="0"/>
              <w:rPr>
                <w:sz w:val="8"/>
                <w:szCs w:val="8"/>
                <w:color w:val="auto"/>
              </w:rPr>
            </w:pPr>
          </w:p>
        </w:tc>
        <w:tc>
          <w:tcPr>
            <w:tcW w:w="4140" w:type="dxa"/>
            <w:vAlign w:val="bottom"/>
            <w:gridSpan w:val="16"/>
            <w:vMerge w:val="restart"/>
          </w:tcPr>
          <w:p>
            <w:pPr>
              <w:spacing w:after="0" w:line="142" w:lineRule="exact"/>
              <w:rPr>
                <w:rFonts w:ascii="Arial" w:cs="Arial" w:eastAsia="Arial" w:hAnsi="Arial"/>
                <w:sz w:val="14"/>
                <w:szCs w:val="14"/>
                <w:color w:val="0000FF"/>
              </w:rPr>
            </w:pPr>
            <w:hyperlink r:id="rId17">
              <w:r>
                <w:rPr>
                  <w:rFonts w:ascii="Arial" w:cs="Arial" w:eastAsia="Arial" w:hAnsi="Arial"/>
                  <w:sz w:val="14"/>
                  <w:szCs w:val="14"/>
                  <w:color w:val="0000FF"/>
                </w:rPr>
                <w:t>option agreement thereunder.</w:t>
              </w:r>
            </w:hyperlink>
          </w:p>
        </w:tc>
        <w:tc>
          <w:tcPr>
            <w:tcW w:w="0" w:type="dxa"/>
            <w:vAlign w:val="bottom"/>
          </w:tcPr>
          <w:p>
            <w:pPr>
              <w:spacing w:after="0"/>
              <w:rPr>
                <w:sz w:val="1"/>
                <w:szCs w:val="1"/>
                <w:color w:val="auto"/>
              </w:rPr>
            </w:pPr>
          </w:p>
        </w:tc>
      </w:tr>
      <w:tr>
        <w:trPr>
          <w:trHeight w:val="49"/>
        </w:trPr>
        <w:tc>
          <w:tcPr>
            <w:tcW w:w="980" w:type="dxa"/>
            <w:vAlign w:val="bottom"/>
          </w:tcPr>
          <w:p>
            <w:pPr>
              <w:spacing w:after="0"/>
              <w:rPr>
                <w:sz w:val="4"/>
                <w:szCs w:val="4"/>
                <w:color w:val="auto"/>
              </w:rPr>
            </w:pPr>
          </w:p>
        </w:tc>
        <w:tc>
          <w:tcPr>
            <w:tcW w:w="414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tcPr>
          <w:p>
            <w:pPr>
              <w:jc w:val="center"/>
              <w:ind w:right="408"/>
              <w:spacing w:after="0"/>
              <w:rPr>
                <w:sz w:val="20"/>
                <w:szCs w:val="20"/>
                <w:color w:val="auto"/>
              </w:rPr>
            </w:pPr>
            <w:r>
              <w:rPr>
                <w:rFonts w:ascii="Arial" w:cs="Arial" w:eastAsia="Arial" w:hAnsi="Arial"/>
                <w:sz w:val="14"/>
                <w:szCs w:val="14"/>
                <w:color w:val="auto"/>
              </w:rPr>
              <w:t>10.2*</w:t>
            </w:r>
          </w:p>
        </w:tc>
        <w:tc>
          <w:tcPr>
            <w:tcW w:w="4140" w:type="dxa"/>
            <w:vAlign w:val="bottom"/>
            <w:gridSpan w:val="16"/>
          </w:tcPr>
          <w:p>
            <w:pPr>
              <w:spacing w:after="0"/>
              <w:rPr>
                <w:rFonts w:ascii="Arial" w:cs="Arial" w:eastAsia="Arial" w:hAnsi="Arial"/>
                <w:sz w:val="14"/>
                <w:szCs w:val="14"/>
                <w:color w:val="0000FF"/>
              </w:rPr>
            </w:pPr>
            <w:hyperlink r:id="rId18">
              <w:r>
                <w:rPr>
                  <w:rFonts w:ascii="Arial" w:cs="Arial" w:eastAsia="Arial" w:hAnsi="Arial"/>
                  <w:sz w:val="14"/>
                  <w:szCs w:val="14"/>
                  <w:color w:val="0000FF"/>
                </w:rPr>
                <w:t>2012 Equity Incentive Plan and forms of agreements thereunder.</w:t>
              </w:r>
            </w:hyperlink>
          </w:p>
        </w:tc>
        <w:tc>
          <w:tcPr>
            <w:tcW w:w="0" w:type="dxa"/>
            <w:vAlign w:val="bottom"/>
          </w:tcPr>
          <w:p>
            <w:pPr>
              <w:spacing w:after="0"/>
              <w:rPr>
                <w:sz w:val="1"/>
                <w:szCs w:val="1"/>
                <w:color w:val="auto"/>
              </w:rPr>
            </w:pPr>
          </w:p>
        </w:tc>
      </w:tr>
      <w:tr>
        <w:trPr>
          <w:trHeight w:val="493"/>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10.3*</w:t>
            </w:r>
          </w:p>
        </w:tc>
        <w:tc>
          <w:tcPr>
            <w:tcW w:w="4080" w:type="dxa"/>
            <w:vAlign w:val="bottom"/>
            <w:tcBorders>
              <w:top w:val="single" w:sz="8" w:color="0000FF"/>
              <w:bottom w:val="single" w:sz="8" w:color="0000FF"/>
            </w:tcBorders>
            <w:gridSpan w:val="14"/>
          </w:tcPr>
          <w:p>
            <w:pPr>
              <w:spacing w:after="0"/>
              <w:rPr>
                <w:rFonts w:ascii="Arial" w:cs="Arial" w:eastAsia="Arial" w:hAnsi="Arial"/>
                <w:sz w:val="14"/>
                <w:szCs w:val="14"/>
                <w:color w:val="0000FF"/>
              </w:rPr>
            </w:pPr>
            <w:hyperlink r:id="rId19">
              <w:r>
                <w:rPr>
                  <w:rFonts w:ascii="Arial" w:cs="Arial" w:eastAsia="Arial" w:hAnsi="Arial"/>
                  <w:sz w:val="14"/>
                  <w:szCs w:val="14"/>
                  <w:color w:val="0000FF"/>
                </w:rPr>
                <w:t>Offer Letter, between Qualys, Inc. and Philippe F. Courtot, dated</w:t>
              </w:r>
            </w:hyperlink>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80" w:type="dxa"/>
            <w:vAlign w:val="bottom"/>
            <w:vMerge w:val="continue"/>
          </w:tcPr>
          <w:p>
            <w:pPr>
              <w:spacing w:after="0"/>
              <w:rPr>
                <w:sz w:val="8"/>
                <w:szCs w:val="8"/>
                <w:color w:val="auto"/>
              </w:rPr>
            </w:pPr>
          </w:p>
        </w:tc>
        <w:tc>
          <w:tcPr>
            <w:tcW w:w="1220" w:type="dxa"/>
            <w:vAlign w:val="bottom"/>
            <w:gridSpan w:val="4"/>
            <w:vMerge w:val="restart"/>
          </w:tcPr>
          <w:p>
            <w:pPr>
              <w:spacing w:after="0" w:line="142" w:lineRule="exact"/>
              <w:rPr>
                <w:rFonts w:ascii="Arial" w:cs="Arial" w:eastAsia="Arial" w:hAnsi="Arial"/>
                <w:sz w:val="14"/>
                <w:szCs w:val="14"/>
                <w:color w:val="0000FF"/>
              </w:rPr>
            </w:pPr>
            <w:hyperlink r:id="rId19">
              <w:r>
                <w:rPr>
                  <w:rFonts w:ascii="Arial" w:cs="Arial" w:eastAsia="Arial" w:hAnsi="Arial"/>
                  <w:sz w:val="14"/>
                  <w:szCs w:val="14"/>
                  <w:color w:val="0000FF"/>
                </w:rPr>
                <w:t>December 7, 2000.</w:t>
              </w:r>
            </w:hyperlink>
          </w:p>
        </w:tc>
        <w:tc>
          <w:tcPr>
            <w:tcW w:w="2920" w:type="dxa"/>
            <w:vAlign w:val="bottom"/>
            <w:gridSpan w:val="1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1220" w:type="dxa"/>
            <w:vAlign w:val="bottom"/>
            <w:tcBorders>
              <w:bottom w:val="single" w:sz="8" w:color="0000FF"/>
            </w:tcBorders>
            <w:gridSpan w:val="4"/>
            <w:vMerge w:val="continue"/>
          </w:tcPr>
          <w:p>
            <w:pPr>
              <w:spacing w:after="0"/>
              <w:rPr>
                <w:sz w:val="4"/>
                <w:szCs w:val="4"/>
                <w:color w:val="auto"/>
              </w:rPr>
            </w:pPr>
          </w:p>
        </w:tc>
        <w:tc>
          <w:tcPr>
            <w:tcW w:w="292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10.4*</w:t>
            </w:r>
          </w:p>
        </w:tc>
        <w:tc>
          <w:tcPr>
            <w:tcW w:w="4140" w:type="dxa"/>
            <w:vAlign w:val="bottom"/>
            <w:gridSpan w:val="16"/>
          </w:tcPr>
          <w:p>
            <w:pPr>
              <w:spacing w:after="0"/>
              <w:rPr>
                <w:rFonts w:ascii="Arial" w:cs="Arial" w:eastAsia="Arial" w:hAnsi="Arial"/>
                <w:sz w:val="14"/>
                <w:szCs w:val="14"/>
                <w:color w:val="0000FF"/>
              </w:rPr>
            </w:pPr>
            <w:hyperlink r:id="rId20">
              <w:r>
                <w:rPr>
                  <w:rFonts w:ascii="Arial" w:cs="Arial" w:eastAsia="Arial" w:hAnsi="Arial"/>
                  <w:sz w:val="14"/>
                  <w:szCs w:val="14"/>
                  <w:color w:val="0000FF"/>
                </w:rPr>
                <w:t>Offer Letter, between Qualys, Inc. and Sumedh S. Thakar, dated</w:t>
              </w:r>
            </w:hyperlink>
          </w:p>
        </w:tc>
        <w:tc>
          <w:tcPr>
            <w:tcW w:w="0" w:type="dxa"/>
            <w:vAlign w:val="bottom"/>
          </w:tcPr>
          <w:p>
            <w:pPr>
              <w:spacing w:after="0"/>
              <w:rPr>
                <w:sz w:val="1"/>
                <w:szCs w:val="1"/>
                <w:color w:val="auto"/>
              </w:rPr>
            </w:pPr>
          </w:p>
        </w:tc>
      </w:tr>
      <w:tr>
        <w:trPr>
          <w:trHeight w:val="94"/>
        </w:trPr>
        <w:tc>
          <w:tcPr>
            <w:tcW w:w="980" w:type="dxa"/>
            <w:vAlign w:val="bottom"/>
            <w:vMerge w:val="continue"/>
          </w:tcPr>
          <w:p>
            <w:pPr>
              <w:spacing w:after="0"/>
              <w:rPr>
                <w:sz w:val="8"/>
                <w:szCs w:val="8"/>
                <w:color w:val="auto"/>
              </w:rPr>
            </w:pPr>
          </w:p>
        </w:tc>
        <w:tc>
          <w:tcPr>
            <w:tcW w:w="4080" w:type="dxa"/>
            <w:vAlign w:val="bottom"/>
            <w:tcBorders>
              <w:top w:val="single" w:sz="8" w:color="0000FF"/>
            </w:tcBorders>
            <w:gridSpan w:val="14"/>
            <w:vMerge w:val="restart"/>
          </w:tcPr>
          <w:p>
            <w:pPr>
              <w:spacing w:after="0" w:line="142" w:lineRule="exact"/>
              <w:rPr>
                <w:rFonts w:ascii="Arial" w:cs="Arial" w:eastAsia="Arial" w:hAnsi="Arial"/>
                <w:sz w:val="14"/>
                <w:szCs w:val="14"/>
                <w:color w:val="0000FF"/>
              </w:rPr>
            </w:pPr>
            <w:hyperlink r:id="rId20">
              <w:r>
                <w:rPr>
                  <w:rFonts w:ascii="Arial" w:cs="Arial" w:eastAsia="Arial" w:hAnsi="Arial"/>
                  <w:sz w:val="14"/>
                  <w:szCs w:val="14"/>
                  <w:color w:val="0000FF"/>
                </w:rPr>
                <w:t>January 20, 2003.</w:t>
              </w:r>
            </w:hyperlink>
          </w:p>
        </w:tc>
        <w:tc>
          <w:tcPr>
            <w:tcW w:w="6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980" w:type="dxa"/>
            <w:vAlign w:val="bottom"/>
          </w:tcPr>
          <w:p>
            <w:pPr>
              <w:spacing w:after="0"/>
              <w:rPr>
                <w:sz w:val="4"/>
                <w:szCs w:val="4"/>
                <w:color w:val="auto"/>
              </w:rPr>
            </w:pPr>
          </w:p>
        </w:tc>
        <w:tc>
          <w:tcPr>
            <w:tcW w:w="4080" w:type="dxa"/>
            <w:vAlign w:val="bottom"/>
            <w:gridSpan w:val="14"/>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10.5*</w:t>
            </w:r>
          </w:p>
        </w:tc>
        <w:tc>
          <w:tcPr>
            <w:tcW w:w="4000" w:type="dxa"/>
            <w:vAlign w:val="bottom"/>
            <w:tcBorders>
              <w:bottom w:val="single" w:sz="8" w:color="0000FF"/>
            </w:tcBorders>
            <w:gridSpan w:val="13"/>
          </w:tcPr>
          <w:p>
            <w:pPr>
              <w:spacing w:after="0"/>
              <w:rPr>
                <w:rFonts w:ascii="Arial" w:cs="Arial" w:eastAsia="Arial" w:hAnsi="Arial"/>
                <w:sz w:val="14"/>
                <w:szCs w:val="14"/>
                <w:color w:val="0000FF"/>
              </w:rPr>
            </w:pPr>
            <w:hyperlink r:id="rId21">
              <w:r>
                <w:rPr>
                  <w:rFonts w:ascii="Arial" w:cs="Arial" w:eastAsia="Arial" w:hAnsi="Arial"/>
                  <w:sz w:val="14"/>
                  <w:szCs w:val="14"/>
                  <w:color w:val="0000FF"/>
                </w:rPr>
                <w:t>Offer Letter, between Qualys, Inc. and Melissa B. Fisher, dated</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80" w:type="dxa"/>
            <w:vAlign w:val="bottom"/>
            <w:vMerge w:val="continue"/>
          </w:tcPr>
          <w:p>
            <w:pPr>
              <w:spacing w:after="0"/>
              <w:rPr>
                <w:sz w:val="8"/>
                <w:szCs w:val="8"/>
                <w:color w:val="auto"/>
              </w:rPr>
            </w:pPr>
          </w:p>
        </w:tc>
        <w:tc>
          <w:tcPr>
            <w:tcW w:w="4140" w:type="dxa"/>
            <w:vAlign w:val="bottom"/>
            <w:gridSpan w:val="16"/>
            <w:vMerge w:val="restart"/>
          </w:tcPr>
          <w:p>
            <w:pPr>
              <w:spacing w:after="0" w:line="142" w:lineRule="exact"/>
              <w:rPr>
                <w:rFonts w:ascii="Arial" w:cs="Arial" w:eastAsia="Arial" w:hAnsi="Arial"/>
                <w:sz w:val="14"/>
                <w:szCs w:val="14"/>
                <w:color w:val="0000FF"/>
              </w:rPr>
            </w:pPr>
            <w:hyperlink r:id="rId21">
              <w:r>
                <w:rPr>
                  <w:rFonts w:ascii="Arial" w:cs="Arial" w:eastAsia="Arial" w:hAnsi="Arial"/>
                  <w:sz w:val="14"/>
                  <w:szCs w:val="14"/>
                  <w:color w:val="0000FF"/>
                </w:rPr>
                <w:t>April 15, 2016</w:t>
              </w:r>
              <w:r>
                <w:rPr>
                  <w:rFonts w:ascii="Arial" w:cs="Arial" w:eastAsia="Arial" w:hAnsi="Arial"/>
                  <w:sz w:val="14"/>
                  <w:szCs w:val="14"/>
                  <w:color w:val="000000"/>
                </w:rPr>
                <w:t>.</w:t>
              </w:r>
            </w:hyperlink>
          </w:p>
        </w:tc>
        <w:tc>
          <w:tcPr>
            <w:tcW w:w="0" w:type="dxa"/>
            <w:vAlign w:val="bottom"/>
          </w:tcPr>
          <w:p>
            <w:pPr>
              <w:spacing w:after="0"/>
              <w:rPr>
                <w:sz w:val="1"/>
                <w:szCs w:val="1"/>
                <w:color w:val="auto"/>
              </w:rPr>
            </w:pPr>
          </w:p>
        </w:tc>
      </w:tr>
      <w:tr>
        <w:trPr>
          <w:trHeight w:val="49"/>
        </w:trPr>
        <w:tc>
          <w:tcPr>
            <w:tcW w:w="980" w:type="dxa"/>
            <w:vAlign w:val="bottom"/>
          </w:tcPr>
          <w:p>
            <w:pPr>
              <w:spacing w:after="0"/>
              <w:rPr>
                <w:sz w:val="4"/>
                <w:szCs w:val="4"/>
                <w:color w:val="auto"/>
              </w:rPr>
            </w:pPr>
          </w:p>
        </w:tc>
        <w:tc>
          <w:tcPr>
            <w:tcW w:w="414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580" w:type="dxa"/>
            <w:vAlign w:val="bottom"/>
            <w:tcBorders>
              <w:left w:val="single" w:sz="8" w:color="0000FF"/>
            </w:tcBorders>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10.6*</w:t>
            </w:r>
          </w:p>
        </w:tc>
        <w:tc>
          <w:tcPr>
            <w:tcW w:w="3880" w:type="dxa"/>
            <w:vAlign w:val="bottom"/>
            <w:tcBorders>
              <w:bottom w:val="single" w:sz="8" w:color="0000FF"/>
            </w:tcBorders>
            <w:gridSpan w:val="11"/>
          </w:tcPr>
          <w:p>
            <w:pPr>
              <w:spacing w:after="0"/>
              <w:rPr>
                <w:rFonts w:ascii="Arial" w:cs="Arial" w:eastAsia="Arial" w:hAnsi="Arial"/>
                <w:sz w:val="14"/>
                <w:szCs w:val="14"/>
                <w:color w:val="0000FF"/>
              </w:rPr>
            </w:pPr>
            <w:hyperlink r:id="rId22">
              <w:r>
                <w:rPr>
                  <w:rFonts w:ascii="Arial" w:cs="Arial" w:eastAsia="Arial" w:hAnsi="Arial"/>
                  <w:sz w:val="14"/>
                  <w:szCs w:val="14"/>
                  <w:color w:val="0000FF"/>
                </w:rPr>
                <w:t>Offer Letter, between Qualys, Inc. and Bruce K. Posey, dated</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80" w:type="dxa"/>
            <w:vAlign w:val="bottom"/>
            <w:vMerge w:val="continue"/>
          </w:tcPr>
          <w:p>
            <w:pPr>
              <w:spacing w:after="0"/>
              <w:rPr>
                <w:sz w:val="8"/>
                <w:szCs w:val="8"/>
                <w:color w:val="auto"/>
              </w:rPr>
            </w:pPr>
          </w:p>
        </w:tc>
        <w:tc>
          <w:tcPr>
            <w:tcW w:w="4140" w:type="dxa"/>
            <w:vAlign w:val="bottom"/>
            <w:gridSpan w:val="16"/>
            <w:vMerge w:val="restart"/>
          </w:tcPr>
          <w:p>
            <w:pPr>
              <w:spacing w:after="0" w:line="142" w:lineRule="exact"/>
              <w:rPr>
                <w:rFonts w:ascii="Arial" w:cs="Arial" w:eastAsia="Arial" w:hAnsi="Arial"/>
                <w:sz w:val="14"/>
                <w:szCs w:val="14"/>
                <w:color w:val="0000FF"/>
              </w:rPr>
            </w:pPr>
            <w:hyperlink r:id="rId22">
              <w:r>
                <w:rPr>
                  <w:rFonts w:ascii="Arial" w:cs="Arial" w:eastAsia="Arial" w:hAnsi="Arial"/>
                  <w:sz w:val="14"/>
                  <w:szCs w:val="14"/>
                  <w:color w:val="0000FF"/>
                </w:rPr>
                <w:t>May 8, 2012.</w:t>
              </w:r>
            </w:hyperlink>
          </w:p>
        </w:tc>
        <w:tc>
          <w:tcPr>
            <w:tcW w:w="0" w:type="dxa"/>
            <w:vAlign w:val="bottom"/>
          </w:tcPr>
          <w:p>
            <w:pPr>
              <w:spacing w:after="0"/>
              <w:rPr>
                <w:sz w:val="1"/>
                <w:szCs w:val="1"/>
                <w:color w:val="auto"/>
              </w:rPr>
            </w:pPr>
          </w:p>
        </w:tc>
      </w:tr>
      <w:tr>
        <w:trPr>
          <w:trHeight w:val="49"/>
        </w:trPr>
        <w:tc>
          <w:tcPr>
            <w:tcW w:w="980" w:type="dxa"/>
            <w:vAlign w:val="bottom"/>
          </w:tcPr>
          <w:p>
            <w:pPr>
              <w:spacing w:after="0"/>
              <w:rPr>
                <w:sz w:val="4"/>
                <w:szCs w:val="4"/>
                <w:color w:val="auto"/>
              </w:rPr>
            </w:pPr>
          </w:p>
        </w:tc>
        <w:tc>
          <w:tcPr>
            <w:tcW w:w="414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10.7*</w:t>
            </w: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980" w:type="dxa"/>
            <w:vAlign w:val="bottom"/>
            <w:vMerge w:val="continue"/>
          </w:tcPr>
          <w:p>
            <w:pPr>
              <w:spacing w:after="0"/>
              <w:rPr>
                <w:sz w:val="24"/>
                <w:szCs w:val="24"/>
                <w:color w:val="auto"/>
              </w:rPr>
            </w:pPr>
          </w:p>
        </w:tc>
        <w:tc>
          <w:tcPr>
            <w:tcW w:w="4140" w:type="dxa"/>
            <w:vAlign w:val="bottom"/>
            <w:gridSpan w:val="16"/>
            <w:vMerge w:val="restart"/>
          </w:tcPr>
          <w:p>
            <w:pPr>
              <w:spacing w:after="0"/>
              <w:rPr>
                <w:rFonts w:ascii="Arial" w:cs="Arial" w:eastAsia="Arial" w:hAnsi="Arial"/>
                <w:sz w:val="14"/>
                <w:szCs w:val="14"/>
                <w:color w:val="0000FF"/>
              </w:rPr>
            </w:pPr>
            <w:hyperlink r:id="rId23">
              <w:r>
                <w:rPr>
                  <w:rFonts w:ascii="Arial" w:cs="Arial" w:eastAsia="Arial" w:hAnsi="Arial"/>
                  <w:sz w:val="14"/>
                  <w:szCs w:val="14"/>
                  <w:color w:val="0000FF"/>
                </w:rPr>
                <w:t>Form of director and executive officer indemnification agreement.</w:t>
              </w:r>
            </w:hyperlink>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4140" w:type="dxa"/>
            <w:vAlign w:val="bottom"/>
            <w:tcBorders>
              <w:bottom w:val="single" w:sz="8" w:color="0000FF"/>
            </w:tcBorders>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7"/>
        </w:trPr>
        <w:tc>
          <w:tcPr>
            <w:tcW w:w="980" w:type="dxa"/>
            <w:vAlign w:val="bottom"/>
            <w:vMerge w:val="restart"/>
          </w:tcPr>
          <w:p>
            <w:pPr>
              <w:jc w:val="center"/>
              <w:ind w:right="388"/>
              <w:spacing w:after="0"/>
              <w:rPr>
                <w:sz w:val="20"/>
                <w:szCs w:val="20"/>
                <w:color w:val="auto"/>
              </w:rPr>
            </w:pPr>
            <w:r>
              <w:rPr>
                <w:rFonts w:ascii="Arial" w:cs="Arial" w:eastAsia="Arial" w:hAnsi="Arial"/>
                <w:sz w:val="14"/>
                <w:szCs w:val="14"/>
                <w:color w:val="auto"/>
              </w:rPr>
              <w:t>10.8</w:t>
            </w:r>
          </w:p>
        </w:tc>
        <w:tc>
          <w:tcPr>
            <w:tcW w:w="3780" w:type="dxa"/>
            <w:vAlign w:val="bottom"/>
            <w:tcBorders>
              <w:bottom w:val="single" w:sz="8" w:color="0000FF"/>
            </w:tcBorders>
            <w:gridSpan w:val="10"/>
          </w:tcPr>
          <w:p>
            <w:pPr>
              <w:spacing w:after="0"/>
              <w:rPr>
                <w:rFonts w:ascii="Arial" w:cs="Arial" w:eastAsia="Arial" w:hAnsi="Arial"/>
                <w:sz w:val="14"/>
                <w:szCs w:val="14"/>
                <w:color w:val="0000FF"/>
              </w:rPr>
            </w:pPr>
            <w:hyperlink r:id="rId24">
              <w:r>
                <w:rPr>
                  <w:rFonts w:ascii="Arial" w:cs="Arial" w:eastAsia="Arial" w:hAnsi="Arial"/>
                  <w:sz w:val="14"/>
                  <w:szCs w:val="14"/>
                  <w:color w:val="0000FF"/>
                </w:rPr>
                <w:t>Lease Agreement, between Qualys, Inc. and Hudson Metro</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80" w:type="dxa"/>
            <w:vAlign w:val="bottom"/>
            <w:vMerge w:val="continue"/>
          </w:tcPr>
          <w:p>
            <w:pPr>
              <w:spacing w:after="0"/>
              <w:rPr>
                <w:sz w:val="8"/>
                <w:szCs w:val="8"/>
                <w:color w:val="auto"/>
              </w:rPr>
            </w:pPr>
          </w:p>
        </w:tc>
        <w:tc>
          <w:tcPr>
            <w:tcW w:w="2400" w:type="dxa"/>
            <w:vAlign w:val="bottom"/>
            <w:gridSpan w:val="7"/>
            <w:vMerge w:val="restart"/>
          </w:tcPr>
          <w:p>
            <w:pPr>
              <w:spacing w:after="0" w:line="142" w:lineRule="exact"/>
              <w:rPr>
                <w:rFonts w:ascii="Arial" w:cs="Arial" w:eastAsia="Arial" w:hAnsi="Arial"/>
                <w:sz w:val="14"/>
                <w:szCs w:val="14"/>
                <w:color w:val="0000FF"/>
              </w:rPr>
            </w:pPr>
            <w:hyperlink r:id="rId24">
              <w:r>
                <w:rPr>
                  <w:rFonts w:ascii="Arial" w:cs="Arial" w:eastAsia="Arial" w:hAnsi="Arial"/>
                  <w:sz w:val="14"/>
                  <w:szCs w:val="14"/>
                  <w:color w:val="0000FF"/>
                </w:rPr>
                <w:t>Center, LLC, dated October 14, 2016.</w:t>
              </w:r>
            </w:hyperlink>
          </w:p>
        </w:tc>
        <w:tc>
          <w:tcPr>
            <w:tcW w:w="1740" w:type="dxa"/>
            <w:vAlign w:val="bottom"/>
            <w:gridSpan w:val="9"/>
            <w:vMerge w:val="restart"/>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2400" w:type="dxa"/>
            <w:vAlign w:val="bottom"/>
            <w:tcBorders>
              <w:bottom w:val="single" w:sz="8" w:color="0000FF"/>
            </w:tcBorders>
            <w:gridSpan w:val="7"/>
            <w:vMerge w:val="continue"/>
          </w:tcPr>
          <w:p>
            <w:pPr>
              <w:spacing w:after="0"/>
              <w:rPr>
                <w:sz w:val="4"/>
                <w:szCs w:val="4"/>
                <w:color w:val="auto"/>
              </w:rPr>
            </w:pPr>
          </w:p>
        </w:tc>
        <w:tc>
          <w:tcPr>
            <w:tcW w:w="174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7"/>
        </w:trPr>
        <w:tc>
          <w:tcPr>
            <w:tcW w:w="980" w:type="dxa"/>
            <w:vAlign w:val="bottom"/>
          </w:tcPr>
          <w:p>
            <w:pPr>
              <w:jc w:val="center"/>
              <w:ind w:right="408"/>
              <w:spacing w:after="0"/>
              <w:rPr>
                <w:sz w:val="20"/>
                <w:szCs w:val="20"/>
                <w:color w:val="auto"/>
              </w:rPr>
            </w:pPr>
            <w:r>
              <w:rPr>
                <w:rFonts w:ascii="Arial" w:cs="Arial" w:eastAsia="Arial" w:hAnsi="Arial"/>
                <w:sz w:val="14"/>
                <w:szCs w:val="14"/>
                <w:color w:val="auto"/>
              </w:rPr>
              <w:t>10.9*</w:t>
            </w:r>
          </w:p>
        </w:tc>
        <w:tc>
          <w:tcPr>
            <w:tcW w:w="3100" w:type="dxa"/>
            <w:vAlign w:val="bottom"/>
            <w:tcBorders>
              <w:bottom w:val="single" w:sz="8" w:color="0000FF"/>
            </w:tcBorders>
            <w:gridSpan w:val="9"/>
          </w:tcPr>
          <w:p>
            <w:pPr>
              <w:spacing w:after="0"/>
              <w:rPr>
                <w:rFonts w:ascii="Arial" w:cs="Arial" w:eastAsia="Arial" w:hAnsi="Arial"/>
                <w:sz w:val="14"/>
                <w:szCs w:val="14"/>
                <w:color w:val="0000FF"/>
              </w:rPr>
            </w:pPr>
            <w:hyperlink r:id="rId25">
              <w:r>
                <w:rPr>
                  <w:rFonts w:ascii="Arial" w:cs="Arial" w:eastAsia="Arial" w:hAnsi="Arial"/>
                  <w:sz w:val="14"/>
                  <w:szCs w:val="14"/>
                  <w:color w:val="0000FF"/>
                </w:rPr>
                <w:t>Qualys, Inc. Executive Performance Bonus Plan.</w:t>
              </w:r>
            </w:hyperlink>
          </w:p>
        </w:tc>
        <w:tc>
          <w:tcPr>
            <w:tcW w:w="10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40" w:type="dxa"/>
            <w:vAlign w:val="bottom"/>
            <w:gridSpan w:val="2"/>
          </w:tcPr>
          <w:p>
            <w:pPr>
              <w:jc w:val="right"/>
              <w:ind w:right="328"/>
              <w:spacing w:after="0"/>
              <w:rPr>
                <w:sz w:val="20"/>
                <w:szCs w:val="20"/>
                <w:color w:val="auto"/>
              </w:rPr>
            </w:pPr>
            <w:r>
              <w:rPr>
                <w:rFonts w:ascii="Arial" w:cs="Arial" w:eastAsia="Arial" w:hAnsi="Arial"/>
                <w:sz w:val="14"/>
                <w:szCs w:val="14"/>
                <w:color w:val="auto"/>
              </w:rPr>
              <w:t>Incorporated by Reference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700" w:type="dxa"/>
            <w:vAlign w:val="bottom"/>
          </w:tcPr>
          <w:p>
            <w:pPr>
              <w:jc w:val="center"/>
              <w:ind w:right="48"/>
              <w:spacing w:after="0"/>
              <w:rPr>
                <w:sz w:val="20"/>
                <w:szCs w:val="20"/>
                <w:color w:val="auto"/>
              </w:rPr>
            </w:pPr>
            <w:r>
              <w:rPr>
                <w:rFonts w:ascii="Arial" w:cs="Arial" w:eastAsia="Arial" w:hAnsi="Arial"/>
                <w:sz w:val="14"/>
                <w:szCs w:val="14"/>
                <w:color w:val="auto"/>
                <w:w w:val="98"/>
              </w:rPr>
              <w:t>Filed</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00" w:type="dxa"/>
            <w:vAlign w:val="bottom"/>
          </w:tcPr>
          <w:p>
            <w:pPr>
              <w:jc w:val="center"/>
              <w:ind w:right="48"/>
              <w:spacing w:after="0"/>
              <w:rPr>
                <w:sz w:val="20"/>
                <w:szCs w:val="20"/>
                <w:color w:val="auto"/>
              </w:rPr>
            </w:pPr>
            <w:r>
              <w:rPr>
                <w:rFonts w:ascii="Arial" w:cs="Arial" w:eastAsia="Arial" w:hAnsi="Arial"/>
                <w:sz w:val="14"/>
                <w:szCs w:val="14"/>
                <w:color w:val="auto"/>
              </w:rPr>
              <w:t>Herewith</w:t>
            </w:r>
          </w:p>
        </w:tc>
        <w:tc>
          <w:tcPr>
            <w:tcW w:w="1220" w:type="dxa"/>
            <w:vAlign w:val="bottom"/>
          </w:tcPr>
          <w:p>
            <w:pPr>
              <w:jc w:val="center"/>
              <w:spacing w:after="0"/>
              <w:rPr>
                <w:sz w:val="20"/>
                <w:szCs w:val="20"/>
                <w:color w:val="auto"/>
              </w:rPr>
            </w:pPr>
            <w:r>
              <w:rPr>
                <w:rFonts w:ascii="Arial" w:cs="Arial" w:eastAsia="Arial" w:hAnsi="Arial"/>
                <w:sz w:val="14"/>
                <w:szCs w:val="14"/>
                <w:color w:val="auto"/>
              </w:rPr>
              <w:t>Form</w:t>
            </w:r>
          </w:p>
        </w:tc>
        <w:tc>
          <w:tcPr>
            <w:tcW w:w="1200" w:type="dxa"/>
            <w:vAlign w:val="bottom"/>
          </w:tcPr>
          <w:p>
            <w:pPr>
              <w:ind w:left="380"/>
              <w:spacing w:after="0"/>
              <w:rPr>
                <w:sz w:val="20"/>
                <w:szCs w:val="20"/>
                <w:color w:val="auto"/>
              </w:rPr>
            </w:pPr>
            <w:r>
              <w:rPr>
                <w:rFonts w:ascii="Arial" w:cs="Arial" w:eastAsia="Arial" w:hAnsi="Arial"/>
                <w:sz w:val="14"/>
                <w:szCs w:val="14"/>
                <w:color w:val="auto"/>
              </w:rPr>
              <w:t>File No.</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Exhibit No.</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419"/>
        </w:trPr>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ind w:left="8"/>
              <w:spacing w:after="0"/>
              <w:rPr>
                <w:sz w:val="20"/>
                <w:szCs w:val="20"/>
                <w:color w:val="auto"/>
              </w:rPr>
            </w:pPr>
            <w:r>
              <w:rPr>
                <w:rFonts w:ascii="Arial" w:cs="Arial" w:eastAsia="Arial" w:hAnsi="Arial"/>
                <w:sz w:val="14"/>
                <w:szCs w:val="14"/>
                <w:color w:val="auto"/>
              </w:rPr>
              <w:t>333-182027</w:t>
            </w:r>
          </w:p>
        </w:tc>
        <w:tc>
          <w:tcPr>
            <w:tcW w:w="1040" w:type="dxa"/>
            <w:vAlign w:val="bottom"/>
          </w:tcPr>
          <w:p>
            <w:pPr>
              <w:jc w:val="center"/>
              <w:spacing w:after="0"/>
              <w:rPr>
                <w:sz w:val="20"/>
                <w:szCs w:val="20"/>
                <w:color w:val="auto"/>
              </w:rPr>
            </w:pPr>
            <w:r>
              <w:rPr>
                <w:rFonts w:ascii="Arial" w:cs="Arial" w:eastAsia="Arial" w:hAnsi="Arial"/>
                <w:sz w:val="14"/>
                <w:szCs w:val="14"/>
                <w:color w:val="auto"/>
              </w:rPr>
              <w:t>3.3</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rPr>
              <w:t>September 12, 2012</w:t>
            </w:r>
          </w:p>
        </w:tc>
        <w:tc>
          <w:tcPr>
            <w:tcW w:w="0" w:type="dxa"/>
            <w:vAlign w:val="bottom"/>
          </w:tcPr>
          <w:p>
            <w:pPr>
              <w:spacing w:after="0"/>
              <w:rPr>
                <w:sz w:val="1"/>
                <w:szCs w:val="1"/>
                <w:color w:val="auto"/>
              </w:rPr>
            </w:pPr>
          </w:p>
        </w:tc>
      </w:tr>
      <w:tr>
        <w:trPr>
          <w:trHeight w:val="594"/>
        </w:trPr>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ind w:left="8"/>
              <w:spacing w:after="0"/>
              <w:rPr>
                <w:sz w:val="20"/>
                <w:szCs w:val="20"/>
                <w:color w:val="auto"/>
              </w:rPr>
            </w:pPr>
            <w:r>
              <w:rPr>
                <w:rFonts w:ascii="Arial" w:cs="Arial" w:eastAsia="Arial" w:hAnsi="Arial"/>
                <w:sz w:val="14"/>
                <w:szCs w:val="14"/>
                <w:color w:val="auto"/>
              </w:rPr>
              <w:t>333-182027</w:t>
            </w:r>
          </w:p>
        </w:tc>
        <w:tc>
          <w:tcPr>
            <w:tcW w:w="1040" w:type="dxa"/>
            <w:vAlign w:val="bottom"/>
          </w:tcPr>
          <w:p>
            <w:pPr>
              <w:jc w:val="center"/>
              <w:spacing w:after="0"/>
              <w:rPr>
                <w:sz w:val="20"/>
                <w:szCs w:val="20"/>
                <w:color w:val="auto"/>
              </w:rPr>
            </w:pPr>
            <w:r>
              <w:rPr>
                <w:rFonts w:ascii="Arial" w:cs="Arial" w:eastAsia="Arial" w:hAnsi="Arial"/>
                <w:sz w:val="14"/>
                <w:szCs w:val="14"/>
                <w:color w:val="auto"/>
              </w:rPr>
              <w:t>3.5</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rPr>
              <w:t>September 12, 2012</w:t>
            </w:r>
          </w:p>
        </w:tc>
        <w:tc>
          <w:tcPr>
            <w:tcW w:w="0" w:type="dxa"/>
            <w:vAlign w:val="bottom"/>
          </w:tcPr>
          <w:p>
            <w:pPr>
              <w:spacing w:after="0"/>
              <w:rPr>
                <w:sz w:val="1"/>
                <w:szCs w:val="1"/>
                <w:color w:val="auto"/>
              </w:rPr>
            </w:pPr>
          </w:p>
        </w:tc>
      </w:tr>
      <w:tr>
        <w:trPr>
          <w:trHeight w:val="540"/>
        </w:trPr>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ind w:left="8"/>
              <w:spacing w:after="0"/>
              <w:rPr>
                <w:sz w:val="20"/>
                <w:szCs w:val="20"/>
                <w:color w:val="auto"/>
              </w:rPr>
            </w:pPr>
            <w:r>
              <w:rPr>
                <w:rFonts w:ascii="Arial" w:cs="Arial" w:eastAsia="Arial" w:hAnsi="Arial"/>
                <w:sz w:val="14"/>
                <w:szCs w:val="14"/>
                <w:color w:val="auto"/>
              </w:rPr>
              <w:t>333-182027</w:t>
            </w:r>
          </w:p>
        </w:tc>
        <w:tc>
          <w:tcPr>
            <w:tcW w:w="1040" w:type="dxa"/>
            <w:vAlign w:val="bottom"/>
          </w:tcPr>
          <w:p>
            <w:pPr>
              <w:jc w:val="center"/>
              <w:spacing w:after="0"/>
              <w:rPr>
                <w:sz w:val="20"/>
                <w:szCs w:val="20"/>
                <w:color w:val="auto"/>
              </w:rPr>
            </w:pPr>
            <w:r>
              <w:rPr>
                <w:rFonts w:ascii="Arial" w:cs="Arial" w:eastAsia="Arial" w:hAnsi="Arial"/>
                <w:sz w:val="14"/>
                <w:szCs w:val="14"/>
                <w:color w:val="auto"/>
              </w:rPr>
              <w:t>4.1</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rPr>
              <w:t>September 12, 2012</w:t>
            </w:r>
          </w:p>
        </w:tc>
        <w:tc>
          <w:tcPr>
            <w:tcW w:w="0" w:type="dxa"/>
            <w:vAlign w:val="bottom"/>
          </w:tcPr>
          <w:p>
            <w:pPr>
              <w:spacing w:after="0"/>
              <w:rPr>
                <w:sz w:val="1"/>
                <w:szCs w:val="1"/>
                <w:color w:val="auto"/>
              </w:rPr>
            </w:pPr>
          </w:p>
        </w:tc>
      </w:tr>
      <w:tr>
        <w:trPr>
          <w:trHeight w:val="594"/>
        </w:trPr>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S-1</w:t>
            </w:r>
          </w:p>
        </w:tc>
        <w:tc>
          <w:tcPr>
            <w:tcW w:w="1200" w:type="dxa"/>
            <w:vAlign w:val="bottom"/>
          </w:tcPr>
          <w:p>
            <w:pPr>
              <w:jc w:val="center"/>
              <w:ind w:left="8"/>
              <w:spacing w:after="0"/>
              <w:rPr>
                <w:sz w:val="20"/>
                <w:szCs w:val="20"/>
                <w:color w:val="auto"/>
              </w:rPr>
            </w:pPr>
            <w:r>
              <w:rPr>
                <w:rFonts w:ascii="Arial" w:cs="Arial" w:eastAsia="Arial" w:hAnsi="Arial"/>
                <w:sz w:val="14"/>
                <w:szCs w:val="14"/>
                <w:color w:val="auto"/>
              </w:rPr>
              <w:t>333-182027</w:t>
            </w:r>
          </w:p>
        </w:tc>
        <w:tc>
          <w:tcPr>
            <w:tcW w:w="1040" w:type="dxa"/>
            <w:vAlign w:val="bottom"/>
          </w:tcPr>
          <w:p>
            <w:pPr>
              <w:jc w:val="center"/>
              <w:spacing w:after="0"/>
              <w:rPr>
                <w:sz w:val="20"/>
                <w:szCs w:val="20"/>
                <w:color w:val="auto"/>
              </w:rPr>
            </w:pPr>
            <w:r>
              <w:rPr>
                <w:rFonts w:ascii="Arial" w:cs="Arial" w:eastAsia="Arial" w:hAnsi="Arial"/>
                <w:sz w:val="14"/>
                <w:szCs w:val="14"/>
                <w:color w:val="auto"/>
              </w:rPr>
              <w:t>10.1</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594"/>
        </w:trPr>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ind w:left="8"/>
              <w:spacing w:after="0"/>
              <w:rPr>
                <w:sz w:val="20"/>
                <w:szCs w:val="20"/>
                <w:color w:val="auto"/>
              </w:rPr>
            </w:pPr>
            <w:r>
              <w:rPr>
                <w:rFonts w:ascii="Arial" w:cs="Arial" w:eastAsia="Arial" w:hAnsi="Arial"/>
                <w:sz w:val="14"/>
                <w:szCs w:val="14"/>
                <w:color w:val="auto"/>
              </w:rPr>
              <w:t>333-182027</w:t>
            </w:r>
          </w:p>
        </w:tc>
        <w:tc>
          <w:tcPr>
            <w:tcW w:w="1040" w:type="dxa"/>
            <w:vAlign w:val="bottom"/>
          </w:tcPr>
          <w:p>
            <w:pPr>
              <w:jc w:val="center"/>
              <w:spacing w:after="0"/>
              <w:rPr>
                <w:sz w:val="20"/>
                <w:szCs w:val="20"/>
                <w:color w:val="auto"/>
              </w:rPr>
            </w:pPr>
            <w:r>
              <w:rPr>
                <w:rFonts w:ascii="Arial" w:cs="Arial" w:eastAsia="Arial" w:hAnsi="Arial"/>
                <w:sz w:val="14"/>
                <w:szCs w:val="14"/>
                <w:color w:val="auto"/>
              </w:rPr>
              <w:t>10.2</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rPr>
              <w:t>September 12, 2012</w:t>
            </w:r>
          </w:p>
        </w:tc>
        <w:tc>
          <w:tcPr>
            <w:tcW w:w="0" w:type="dxa"/>
            <w:vAlign w:val="bottom"/>
          </w:tcPr>
          <w:p>
            <w:pPr>
              <w:spacing w:after="0"/>
              <w:rPr>
                <w:sz w:val="1"/>
                <w:szCs w:val="1"/>
                <w:color w:val="auto"/>
              </w:rPr>
            </w:pPr>
          </w:p>
        </w:tc>
      </w:tr>
      <w:tr>
        <w:trPr>
          <w:trHeight w:val="594"/>
        </w:trPr>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S-1</w:t>
            </w:r>
          </w:p>
        </w:tc>
        <w:tc>
          <w:tcPr>
            <w:tcW w:w="1200" w:type="dxa"/>
            <w:vAlign w:val="bottom"/>
          </w:tcPr>
          <w:p>
            <w:pPr>
              <w:jc w:val="center"/>
              <w:ind w:left="8"/>
              <w:spacing w:after="0"/>
              <w:rPr>
                <w:sz w:val="20"/>
                <w:szCs w:val="20"/>
                <w:color w:val="auto"/>
              </w:rPr>
            </w:pPr>
            <w:r>
              <w:rPr>
                <w:rFonts w:ascii="Arial" w:cs="Arial" w:eastAsia="Arial" w:hAnsi="Arial"/>
                <w:sz w:val="14"/>
                <w:szCs w:val="14"/>
                <w:color w:val="auto"/>
              </w:rPr>
              <w:t>333-182027</w:t>
            </w:r>
          </w:p>
        </w:tc>
        <w:tc>
          <w:tcPr>
            <w:tcW w:w="1040" w:type="dxa"/>
            <w:vAlign w:val="bottom"/>
          </w:tcPr>
          <w:p>
            <w:pPr>
              <w:jc w:val="center"/>
              <w:spacing w:after="0"/>
              <w:rPr>
                <w:sz w:val="20"/>
                <w:szCs w:val="20"/>
                <w:color w:val="auto"/>
              </w:rPr>
            </w:pPr>
            <w:r>
              <w:rPr>
                <w:rFonts w:ascii="Arial" w:cs="Arial" w:eastAsia="Arial" w:hAnsi="Arial"/>
                <w:sz w:val="14"/>
                <w:szCs w:val="14"/>
                <w:color w:val="auto"/>
              </w:rPr>
              <w:t>10.3</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648"/>
        </w:trPr>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S-1</w:t>
            </w:r>
          </w:p>
        </w:tc>
        <w:tc>
          <w:tcPr>
            <w:tcW w:w="1200" w:type="dxa"/>
            <w:vAlign w:val="bottom"/>
          </w:tcPr>
          <w:p>
            <w:pPr>
              <w:jc w:val="center"/>
              <w:ind w:left="8"/>
              <w:spacing w:after="0"/>
              <w:rPr>
                <w:sz w:val="20"/>
                <w:szCs w:val="20"/>
                <w:color w:val="auto"/>
              </w:rPr>
            </w:pPr>
            <w:r>
              <w:rPr>
                <w:rFonts w:ascii="Arial" w:cs="Arial" w:eastAsia="Arial" w:hAnsi="Arial"/>
                <w:sz w:val="14"/>
                <w:szCs w:val="14"/>
                <w:color w:val="auto"/>
              </w:rPr>
              <w:t>333-182027</w:t>
            </w:r>
          </w:p>
        </w:tc>
        <w:tc>
          <w:tcPr>
            <w:tcW w:w="1040" w:type="dxa"/>
            <w:vAlign w:val="bottom"/>
          </w:tcPr>
          <w:p>
            <w:pPr>
              <w:jc w:val="center"/>
              <w:spacing w:after="0"/>
              <w:rPr>
                <w:sz w:val="20"/>
                <w:szCs w:val="20"/>
                <w:color w:val="auto"/>
              </w:rPr>
            </w:pPr>
            <w:r>
              <w:rPr>
                <w:rFonts w:ascii="Arial" w:cs="Arial" w:eastAsia="Arial" w:hAnsi="Arial"/>
                <w:sz w:val="14"/>
                <w:szCs w:val="14"/>
                <w:color w:val="auto"/>
              </w:rPr>
              <w:t>10.5</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648"/>
        </w:trPr>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8-K</w:t>
            </w:r>
          </w:p>
        </w:tc>
        <w:tc>
          <w:tcPr>
            <w:tcW w:w="1200" w:type="dxa"/>
            <w:vAlign w:val="bottom"/>
          </w:tcPr>
          <w:p>
            <w:pPr>
              <w:jc w:val="center"/>
              <w:ind w:left="8"/>
              <w:spacing w:after="0"/>
              <w:rPr>
                <w:sz w:val="20"/>
                <w:szCs w:val="20"/>
                <w:color w:val="auto"/>
              </w:rPr>
            </w:pPr>
            <w:r>
              <w:rPr>
                <w:rFonts w:ascii="Arial" w:cs="Arial" w:eastAsia="Arial" w:hAnsi="Arial"/>
                <w:sz w:val="14"/>
                <w:szCs w:val="14"/>
                <w:color w:val="auto"/>
              </w:rPr>
              <w:t>001-35662</w:t>
            </w:r>
          </w:p>
        </w:tc>
        <w:tc>
          <w:tcPr>
            <w:tcW w:w="1040" w:type="dxa"/>
            <w:vAlign w:val="bottom"/>
          </w:tcPr>
          <w:p>
            <w:pPr>
              <w:jc w:val="center"/>
              <w:spacing w:after="0"/>
              <w:rPr>
                <w:sz w:val="20"/>
                <w:szCs w:val="20"/>
                <w:color w:val="auto"/>
              </w:rPr>
            </w:pPr>
            <w:r>
              <w:rPr>
                <w:rFonts w:ascii="Arial" w:cs="Arial" w:eastAsia="Arial" w:hAnsi="Arial"/>
                <w:sz w:val="14"/>
                <w:szCs w:val="14"/>
                <w:color w:val="auto"/>
              </w:rPr>
              <w:t>10.1</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rPr>
              <w:t>May 2, 2016</w:t>
            </w:r>
          </w:p>
        </w:tc>
        <w:tc>
          <w:tcPr>
            <w:tcW w:w="0" w:type="dxa"/>
            <w:vAlign w:val="bottom"/>
          </w:tcPr>
          <w:p>
            <w:pPr>
              <w:spacing w:after="0"/>
              <w:rPr>
                <w:sz w:val="1"/>
                <w:szCs w:val="1"/>
                <w:color w:val="auto"/>
              </w:rPr>
            </w:pPr>
          </w:p>
        </w:tc>
      </w:tr>
      <w:tr>
        <w:trPr>
          <w:trHeight w:val="648"/>
        </w:trPr>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S-1</w:t>
            </w:r>
          </w:p>
        </w:tc>
        <w:tc>
          <w:tcPr>
            <w:tcW w:w="1200" w:type="dxa"/>
            <w:vAlign w:val="bottom"/>
          </w:tcPr>
          <w:p>
            <w:pPr>
              <w:jc w:val="center"/>
              <w:ind w:left="8"/>
              <w:spacing w:after="0"/>
              <w:rPr>
                <w:sz w:val="20"/>
                <w:szCs w:val="20"/>
                <w:color w:val="auto"/>
              </w:rPr>
            </w:pPr>
            <w:r>
              <w:rPr>
                <w:rFonts w:ascii="Arial" w:cs="Arial" w:eastAsia="Arial" w:hAnsi="Arial"/>
                <w:sz w:val="14"/>
                <w:szCs w:val="14"/>
                <w:color w:val="auto"/>
              </w:rPr>
              <w:t>333-182027</w:t>
            </w:r>
          </w:p>
        </w:tc>
        <w:tc>
          <w:tcPr>
            <w:tcW w:w="1040" w:type="dxa"/>
            <w:vAlign w:val="bottom"/>
          </w:tcPr>
          <w:p>
            <w:pPr>
              <w:jc w:val="center"/>
              <w:spacing w:after="0"/>
              <w:rPr>
                <w:sz w:val="20"/>
                <w:szCs w:val="20"/>
                <w:color w:val="auto"/>
              </w:rPr>
            </w:pPr>
            <w:r>
              <w:rPr>
                <w:rFonts w:ascii="Arial" w:cs="Arial" w:eastAsia="Arial" w:hAnsi="Arial"/>
                <w:sz w:val="14"/>
                <w:szCs w:val="14"/>
                <w:color w:val="auto"/>
              </w:rPr>
              <w:t>10.9</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567"/>
        </w:trPr>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ind w:left="8"/>
              <w:spacing w:after="0"/>
              <w:rPr>
                <w:sz w:val="20"/>
                <w:szCs w:val="20"/>
                <w:color w:val="auto"/>
              </w:rPr>
            </w:pPr>
            <w:r>
              <w:rPr>
                <w:rFonts w:ascii="Arial" w:cs="Arial" w:eastAsia="Arial" w:hAnsi="Arial"/>
                <w:sz w:val="14"/>
                <w:szCs w:val="14"/>
                <w:color w:val="auto"/>
              </w:rPr>
              <w:t>333-182027</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10.10</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rPr>
              <w:t>August 10, 2012</w:t>
            </w: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8"/>
        </w:trPr>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8-K</w:t>
            </w:r>
          </w:p>
        </w:tc>
        <w:tc>
          <w:tcPr>
            <w:tcW w:w="1200" w:type="dxa"/>
            <w:vAlign w:val="bottom"/>
          </w:tcPr>
          <w:p>
            <w:pPr>
              <w:jc w:val="center"/>
              <w:ind w:left="8"/>
              <w:spacing w:after="0"/>
              <w:rPr>
                <w:sz w:val="20"/>
                <w:szCs w:val="20"/>
                <w:color w:val="auto"/>
              </w:rPr>
            </w:pPr>
            <w:r>
              <w:rPr>
                <w:rFonts w:ascii="Arial" w:cs="Arial" w:eastAsia="Arial" w:hAnsi="Arial"/>
                <w:sz w:val="14"/>
                <w:szCs w:val="14"/>
                <w:color w:val="auto"/>
              </w:rPr>
              <w:t>001-35662</w:t>
            </w:r>
          </w:p>
        </w:tc>
        <w:tc>
          <w:tcPr>
            <w:tcW w:w="1040" w:type="dxa"/>
            <w:vAlign w:val="bottom"/>
          </w:tcPr>
          <w:p>
            <w:pPr>
              <w:jc w:val="center"/>
              <w:spacing w:after="0"/>
              <w:rPr>
                <w:sz w:val="20"/>
                <w:szCs w:val="20"/>
                <w:color w:val="auto"/>
              </w:rPr>
            </w:pPr>
            <w:r>
              <w:rPr>
                <w:rFonts w:ascii="Arial" w:cs="Arial" w:eastAsia="Arial" w:hAnsi="Arial"/>
                <w:sz w:val="14"/>
                <w:szCs w:val="14"/>
                <w:color w:val="auto"/>
              </w:rPr>
              <w:t>10.1</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rPr>
              <w:t>October 19, 2016</w:t>
            </w:r>
          </w:p>
        </w:tc>
        <w:tc>
          <w:tcPr>
            <w:tcW w:w="0" w:type="dxa"/>
            <w:vAlign w:val="bottom"/>
          </w:tcPr>
          <w:p>
            <w:pPr>
              <w:spacing w:after="0"/>
              <w:rPr>
                <w:sz w:val="1"/>
                <w:szCs w:val="1"/>
                <w:color w:val="auto"/>
              </w:rPr>
            </w:pPr>
          </w:p>
        </w:tc>
      </w:tr>
      <w:tr>
        <w:trPr>
          <w:trHeight w:val="535"/>
        </w:trPr>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Schedule 14A,</w:t>
            </w:r>
          </w:p>
        </w:tc>
        <w:tc>
          <w:tcPr>
            <w:tcW w:w="1200" w:type="dxa"/>
            <w:vAlign w:val="bottom"/>
            <w:vMerge w:val="restart"/>
          </w:tcPr>
          <w:p>
            <w:pPr>
              <w:jc w:val="center"/>
              <w:ind w:left="8"/>
              <w:spacing w:after="0"/>
              <w:rPr>
                <w:sz w:val="20"/>
                <w:szCs w:val="20"/>
                <w:color w:val="auto"/>
              </w:rPr>
            </w:pPr>
            <w:r>
              <w:rPr>
                <w:rFonts w:ascii="Arial" w:cs="Arial" w:eastAsia="Arial" w:hAnsi="Arial"/>
                <w:sz w:val="14"/>
                <w:szCs w:val="14"/>
                <w:color w:val="auto"/>
              </w:rPr>
              <w:t>001-35662</w:t>
            </w:r>
          </w:p>
        </w:tc>
        <w:tc>
          <w:tcPr>
            <w:tcW w:w="1040" w:type="dxa"/>
            <w:vAlign w:val="bottom"/>
            <w:vMerge w:val="restart"/>
          </w:tcPr>
          <w:p>
            <w:pPr>
              <w:jc w:val="right"/>
              <w:ind w:right="328"/>
              <w:spacing w:after="0"/>
              <w:rPr>
                <w:sz w:val="20"/>
                <w:szCs w:val="20"/>
                <w:color w:val="auto"/>
              </w:rPr>
            </w:pPr>
            <w:r>
              <w:rPr>
                <w:rFonts w:ascii="Arial" w:cs="Arial" w:eastAsia="Arial" w:hAnsi="Arial"/>
                <w:sz w:val="14"/>
                <w:szCs w:val="14"/>
                <w:color w:val="auto"/>
              </w:rPr>
              <w:t>N/A</w:t>
            </w:r>
          </w:p>
        </w:tc>
        <w:tc>
          <w:tcPr>
            <w:tcW w:w="1500" w:type="dxa"/>
            <w:vAlign w:val="bottom"/>
            <w:vMerge w:val="restart"/>
          </w:tcPr>
          <w:p>
            <w:pPr>
              <w:jc w:val="center"/>
              <w:ind w:left="108"/>
              <w:spacing w:after="0"/>
              <w:rPr>
                <w:sz w:val="20"/>
                <w:szCs w:val="20"/>
                <w:color w:val="auto"/>
              </w:rPr>
            </w:pPr>
            <w:r>
              <w:rPr>
                <w:rFonts w:ascii="Arial" w:cs="Arial" w:eastAsia="Arial" w:hAnsi="Arial"/>
                <w:sz w:val="14"/>
                <w:szCs w:val="14"/>
                <w:color w:val="auto"/>
              </w:rPr>
              <w:t>April 25, 2016</w:t>
            </w:r>
          </w:p>
        </w:tc>
        <w:tc>
          <w:tcPr>
            <w:tcW w:w="0" w:type="dxa"/>
            <w:vAlign w:val="bottom"/>
          </w:tcPr>
          <w:p>
            <w:pPr>
              <w:spacing w:after="0"/>
              <w:rPr>
                <w:sz w:val="1"/>
                <w:szCs w:val="1"/>
                <w:color w:val="auto"/>
              </w:rPr>
            </w:pPr>
          </w:p>
        </w:tc>
      </w:tr>
      <w:tr>
        <w:trPr>
          <w:trHeight w:val="113"/>
        </w:trPr>
        <w:tc>
          <w:tcPr>
            <w:tcW w:w="70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Appendix A</w:t>
            </w:r>
          </w:p>
        </w:tc>
        <w:tc>
          <w:tcPr>
            <w:tcW w:w="12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220" w:space="220"/>
            <w:col w:w="5840"/>
          </w:cols>
          <w:pgMar w:left="240" w:top="121" w:right="379" w:bottom="0" w:gutter="0" w:footer="0" w:header="0"/>
          <w:type w:val="continuous"/>
        </w:sectPr>
      </w:pPr>
    </w:p>
    <w:p>
      <w:pPr>
        <w:spacing w:after="0" w:line="119" w:lineRule="exact"/>
        <w:rPr>
          <w:sz w:val="20"/>
          <w:szCs w:val="20"/>
          <w:color w:val="auto"/>
        </w:rPr>
      </w:pPr>
    </w:p>
    <w:p>
      <w:pPr>
        <w:ind w:left="100"/>
        <w:spacing w:after="0"/>
        <w:tabs>
          <w:tab w:leader="none" w:pos="1060" w:val="left"/>
          <w:tab w:leader="none" w:pos="6560" w:val="left"/>
          <w:tab w:leader="none" w:pos="7640" w:val="left"/>
          <w:tab w:leader="none" w:pos="8920" w:val="left"/>
          <w:tab w:leader="none" w:pos="9940" w:val="left"/>
        </w:tabs>
        <w:rPr>
          <w:rFonts w:ascii="Arial" w:cs="Arial" w:eastAsia="Arial" w:hAnsi="Arial"/>
          <w:sz w:val="14"/>
          <w:szCs w:val="14"/>
          <w:u w:val="single" w:color="auto"/>
          <w:color w:val="0000FF"/>
        </w:rPr>
      </w:pPr>
      <w:r>
        <w:rPr>
          <w:rFonts w:ascii="Arial" w:cs="Arial" w:eastAsia="Arial" w:hAnsi="Arial"/>
          <w:sz w:val="14"/>
          <w:szCs w:val="14"/>
          <w:color w:val="auto"/>
        </w:rPr>
        <w:t>10.10*†</w:t>
      </w:r>
      <w:r>
        <w:rPr>
          <w:sz w:val="20"/>
          <w:szCs w:val="20"/>
          <w:color w:val="auto"/>
        </w:rPr>
        <w:tab/>
      </w:r>
      <w:hyperlink r:id="rId26">
        <w:r>
          <w:rPr>
            <w:rFonts w:ascii="Arial" w:cs="Arial" w:eastAsia="Arial" w:hAnsi="Arial"/>
            <w:sz w:val="14"/>
            <w:szCs w:val="14"/>
            <w:u w:val="single" w:color="auto"/>
            <w:color w:val="0000FF"/>
          </w:rPr>
          <w:t>Qualys, Inc. 2016 Corporate Bonus Plan, as amended.</w:t>
        </w:r>
      </w:hyperlink>
      <w:r>
        <w:rPr>
          <w:rFonts w:ascii="Arial" w:cs="Arial" w:eastAsia="Arial" w:hAnsi="Arial"/>
          <w:sz w:val="14"/>
          <w:szCs w:val="14"/>
          <w:u w:val="single" w:color="auto"/>
          <w:color w:val="0000FF"/>
        </w:rPr>
        <w:tab/>
        <w:t>10-Q</w:t>
        <w:tab/>
        <w:t>001-35662</w:t>
        <w:tab/>
        <w:t>10.3</w:t>
        <w:tab/>
        <w:t>August 4, 2016</w:t>
      </w:r>
    </w:p>
    <w:p>
      <w:pPr>
        <w:sectPr>
          <w:pgSz w:w="11900" w:h="16838" w:orient="portrait"/>
          <w:cols w:equalWidth="0" w:num="1">
            <w:col w:w="11280"/>
          </w:cols>
          <w:pgMar w:left="240" w:top="121" w:right="379"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62"/>
        </w:trPr>
        <w:tc>
          <w:tcPr>
            <w:tcW w:w="1020" w:type="dxa"/>
            <w:vAlign w:val="bottom"/>
            <w:vMerge w:val="restart"/>
          </w:tcPr>
          <w:p>
            <w:pPr>
              <w:jc w:val="center"/>
              <w:ind w:right="368"/>
              <w:spacing w:after="0"/>
              <w:rPr>
                <w:sz w:val="20"/>
                <w:szCs w:val="20"/>
                <w:color w:val="auto"/>
              </w:rPr>
            </w:pPr>
            <w:r>
              <w:rPr>
                <w:rFonts w:ascii="Arial" w:cs="Arial" w:eastAsia="Arial" w:hAnsi="Arial"/>
                <w:sz w:val="14"/>
                <w:szCs w:val="14"/>
                <w:color w:val="auto"/>
                <w:w w:val="96"/>
              </w:rPr>
              <w:t>10.11</w:t>
            </w:r>
          </w:p>
        </w:tc>
        <w:tc>
          <w:tcPr>
            <w:tcW w:w="3940" w:type="dxa"/>
            <w:vAlign w:val="bottom"/>
            <w:tcBorders>
              <w:bottom w:val="single" w:sz="8" w:color="0000FF"/>
            </w:tcBorders>
            <w:gridSpan w:val="17"/>
          </w:tcPr>
          <w:p>
            <w:pPr>
              <w:spacing w:after="0"/>
              <w:rPr>
                <w:rFonts w:ascii="Arial" w:cs="Arial" w:eastAsia="Arial" w:hAnsi="Arial"/>
                <w:sz w:val="14"/>
                <w:szCs w:val="14"/>
                <w:color w:val="0000FF"/>
              </w:rPr>
            </w:pPr>
            <w:hyperlink r:id="rId27">
              <w:r>
                <w:rPr>
                  <w:rFonts w:ascii="Arial" w:cs="Arial" w:eastAsia="Arial" w:hAnsi="Arial"/>
                  <w:sz w:val="14"/>
                  <w:szCs w:val="14"/>
                  <w:color w:val="0000FF"/>
                </w:rPr>
                <w:t>Master Services Agreement, between Qualys, Inc. and Savvis</w:t>
              </w:r>
            </w:hyperlink>
          </w:p>
        </w:tc>
        <w:tc>
          <w:tcPr>
            <w:tcW w:w="2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020" w:type="dxa"/>
            <w:vAlign w:val="bottom"/>
            <w:vMerge w:val="continue"/>
          </w:tcPr>
          <w:p>
            <w:pPr>
              <w:spacing w:after="0"/>
              <w:rPr>
                <w:sz w:val="8"/>
                <w:szCs w:val="8"/>
                <w:color w:val="auto"/>
              </w:rPr>
            </w:pPr>
          </w:p>
        </w:tc>
        <w:tc>
          <w:tcPr>
            <w:tcW w:w="3300" w:type="dxa"/>
            <w:vAlign w:val="bottom"/>
            <w:gridSpan w:val="12"/>
            <w:vMerge w:val="restart"/>
          </w:tcPr>
          <w:p>
            <w:pPr>
              <w:spacing w:after="0" w:line="142" w:lineRule="exact"/>
              <w:rPr>
                <w:rFonts w:ascii="Arial" w:cs="Arial" w:eastAsia="Arial" w:hAnsi="Arial"/>
                <w:sz w:val="14"/>
                <w:szCs w:val="14"/>
                <w:color w:val="0000FF"/>
              </w:rPr>
            </w:pPr>
            <w:hyperlink r:id="rId27">
              <w:r>
                <w:rPr>
                  <w:rFonts w:ascii="Arial" w:cs="Arial" w:eastAsia="Arial" w:hAnsi="Arial"/>
                  <w:sz w:val="14"/>
                  <w:szCs w:val="14"/>
                  <w:color w:val="0000FF"/>
                </w:rPr>
                <w:t>Communications Corporation, dated June 22, 2010.</w:t>
              </w:r>
            </w:hyperlink>
          </w:p>
        </w:tc>
        <w:tc>
          <w:tcPr>
            <w:tcW w:w="860" w:type="dxa"/>
            <w:vAlign w:val="bottom"/>
            <w:gridSpan w:val="14"/>
            <w:vMerge w:val="restart"/>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3300" w:type="dxa"/>
            <w:vAlign w:val="bottom"/>
            <w:tcBorders>
              <w:bottom w:val="single" w:sz="8" w:color="0000FF"/>
            </w:tcBorders>
            <w:gridSpan w:val="12"/>
            <w:vMerge w:val="continue"/>
          </w:tcPr>
          <w:p>
            <w:pPr>
              <w:spacing w:after="0"/>
              <w:rPr>
                <w:sz w:val="4"/>
                <w:szCs w:val="4"/>
                <w:color w:val="auto"/>
              </w:rPr>
            </w:pPr>
          </w:p>
        </w:tc>
        <w:tc>
          <w:tcPr>
            <w:tcW w:w="860" w:type="dxa"/>
            <w:vAlign w:val="bottom"/>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10.12†</w:t>
            </w:r>
          </w:p>
        </w:tc>
        <w:tc>
          <w:tcPr>
            <w:tcW w:w="3500" w:type="dxa"/>
            <w:vAlign w:val="bottom"/>
            <w:tcBorders>
              <w:bottom w:val="single" w:sz="8" w:color="0000FF"/>
            </w:tcBorders>
            <w:gridSpan w:val="13"/>
          </w:tcPr>
          <w:p>
            <w:pPr>
              <w:spacing w:after="0"/>
              <w:rPr>
                <w:rFonts w:ascii="Arial" w:cs="Arial" w:eastAsia="Arial" w:hAnsi="Arial"/>
                <w:sz w:val="14"/>
                <w:szCs w:val="14"/>
                <w:color w:val="0000FF"/>
              </w:rPr>
            </w:pPr>
            <w:hyperlink r:id="rId28">
              <w:r>
                <w:rPr>
                  <w:rFonts w:ascii="Arial" w:cs="Arial" w:eastAsia="Arial" w:hAnsi="Arial"/>
                  <w:sz w:val="14"/>
                  <w:szCs w:val="14"/>
                  <w:color w:val="0000FF"/>
                </w:rPr>
                <w:t>Master Agreement, between Qualys, Inc. and Interoute</w:t>
              </w:r>
            </w:hyperlink>
          </w:p>
        </w:tc>
        <w:tc>
          <w:tcPr>
            <w:tcW w:w="6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20" w:type="dxa"/>
            <w:vAlign w:val="bottom"/>
            <w:vMerge w:val="continue"/>
          </w:tcPr>
          <w:p>
            <w:pPr>
              <w:spacing w:after="0"/>
              <w:rPr>
                <w:sz w:val="8"/>
                <w:szCs w:val="8"/>
                <w:color w:val="auto"/>
              </w:rPr>
            </w:pPr>
          </w:p>
        </w:tc>
        <w:tc>
          <w:tcPr>
            <w:tcW w:w="3100" w:type="dxa"/>
            <w:vAlign w:val="bottom"/>
            <w:gridSpan w:val="11"/>
            <w:vMerge w:val="restart"/>
          </w:tcPr>
          <w:p>
            <w:pPr>
              <w:spacing w:after="0" w:line="142" w:lineRule="exact"/>
              <w:rPr>
                <w:rFonts w:ascii="Arial" w:cs="Arial" w:eastAsia="Arial" w:hAnsi="Arial"/>
                <w:sz w:val="14"/>
                <w:szCs w:val="14"/>
                <w:color w:val="0000FF"/>
              </w:rPr>
            </w:pPr>
            <w:hyperlink r:id="rId28">
              <w:r>
                <w:rPr>
                  <w:rFonts w:ascii="Arial" w:cs="Arial" w:eastAsia="Arial" w:hAnsi="Arial"/>
                  <w:sz w:val="14"/>
                  <w:szCs w:val="14"/>
                  <w:color w:val="0000FF"/>
                </w:rPr>
                <w:t>Communications Limited, dated March 31, 2008.</w:t>
              </w:r>
            </w:hyperlink>
          </w:p>
        </w:tc>
        <w:tc>
          <w:tcPr>
            <w:tcW w:w="1060" w:type="dxa"/>
            <w:vAlign w:val="bottom"/>
            <w:gridSpan w:val="15"/>
            <w:vMerge w:val="restart"/>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3100" w:type="dxa"/>
            <w:vAlign w:val="bottom"/>
            <w:tcBorders>
              <w:bottom w:val="single" w:sz="8" w:color="0000FF"/>
            </w:tcBorders>
            <w:gridSpan w:val="11"/>
            <w:vMerge w:val="continue"/>
          </w:tcPr>
          <w:p>
            <w:pPr>
              <w:spacing w:after="0"/>
              <w:rPr>
                <w:sz w:val="4"/>
                <w:szCs w:val="4"/>
                <w:color w:val="auto"/>
              </w:rPr>
            </w:pPr>
          </w:p>
        </w:tc>
        <w:tc>
          <w:tcPr>
            <w:tcW w:w="106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10.13†</w:t>
            </w:r>
          </w:p>
        </w:tc>
        <w:tc>
          <w:tcPr>
            <w:tcW w:w="4160" w:type="dxa"/>
            <w:vAlign w:val="bottom"/>
            <w:gridSpan w:val="26"/>
          </w:tcPr>
          <w:p>
            <w:pPr>
              <w:spacing w:after="0"/>
              <w:rPr>
                <w:rFonts w:ascii="Arial" w:cs="Arial" w:eastAsia="Arial" w:hAnsi="Arial"/>
                <w:sz w:val="14"/>
                <w:szCs w:val="14"/>
                <w:color w:val="0000FF"/>
              </w:rPr>
            </w:pPr>
            <w:hyperlink r:id="rId29">
              <w:r>
                <w:rPr>
                  <w:rFonts w:ascii="Arial" w:cs="Arial" w:eastAsia="Arial" w:hAnsi="Arial"/>
                  <w:sz w:val="14"/>
                  <w:szCs w:val="14"/>
                  <w:color w:val="0000FF"/>
                </w:rPr>
                <w:t>Manufacturing Services Agreement, between Qualys, Inc. and</w:t>
              </w:r>
            </w:hyperlink>
          </w:p>
        </w:tc>
        <w:tc>
          <w:tcPr>
            <w:tcW w:w="0" w:type="dxa"/>
            <w:vAlign w:val="bottom"/>
          </w:tcPr>
          <w:p>
            <w:pPr>
              <w:spacing w:after="0"/>
              <w:rPr>
                <w:sz w:val="1"/>
                <w:szCs w:val="1"/>
                <w:color w:val="auto"/>
              </w:rPr>
            </w:pPr>
          </w:p>
        </w:tc>
      </w:tr>
      <w:tr>
        <w:trPr>
          <w:trHeight w:val="94"/>
        </w:trPr>
        <w:tc>
          <w:tcPr>
            <w:tcW w:w="1020" w:type="dxa"/>
            <w:vAlign w:val="bottom"/>
            <w:vMerge w:val="continue"/>
          </w:tcPr>
          <w:p>
            <w:pPr>
              <w:spacing w:after="0"/>
              <w:rPr>
                <w:sz w:val="8"/>
                <w:szCs w:val="8"/>
                <w:color w:val="auto"/>
              </w:rPr>
            </w:pPr>
          </w:p>
        </w:tc>
        <w:tc>
          <w:tcPr>
            <w:tcW w:w="2700" w:type="dxa"/>
            <w:vAlign w:val="bottom"/>
            <w:tcBorders>
              <w:top w:val="single" w:sz="8" w:color="0000FF"/>
            </w:tcBorders>
            <w:gridSpan w:val="10"/>
            <w:vMerge w:val="restart"/>
          </w:tcPr>
          <w:p>
            <w:pPr>
              <w:spacing w:after="0" w:line="142" w:lineRule="exact"/>
              <w:rPr>
                <w:rFonts w:ascii="Arial" w:cs="Arial" w:eastAsia="Arial" w:hAnsi="Arial"/>
                <w:sz w:val="14"/>
                <w:szCs w:val="14"/>
                <w:color w:val="0000FF"/>
              </w:rPr>
            </w:pPr>
            <w:hyperlink r:id="rId29">
              <w:r>
                <w:rPr>
                  <w:rFonts w:ascii="Arial" w:cs="Arial" w:eastAsia="Arial" w:hAnsi="Arial"/>
                  <w:sz w:val="14"/>
                  <w:szCs w:val="14"/>
                  <w:color w:val="0000FF"/>
                </w:rPr>
                <w:t>Synnex Corporation, dated March 1, 2011.</w:t>
              </w:r>
            </w:hyperlink>
          </w:p>
        </w:tc>
        <w:tc>
          <w:tcPr>
            <w:tcW w:w="1240" w:type="dxa"/>
            <w:vAlign w:val="bottom"/>
            <w:tcBorders>
              <w:top w:val="single" w:sz="8" w:color="0000FF"/>
            </w:tcBorders>
            <w:gridSpan w:val="7"/>
            <w:vMerge w:val="restart"/>
          </w:tcPr>
          <w:p>
            <w:pPr>
              <w:spacing w:after="0"/>
              <w:rPr>
                <w:sz w:val="8"/>
                <w:szCs w:val="8"/>
                <w:color w:val="auto"/>
              </w:rPr>
            </w:pPr>
          </w:p>
        </w:tc>
        <w:tc>
          <w:tcPr>
            <w:tcW w:w="220" w:type="dxa"/>
            <w:vAlign w:val="bottom"/>
            <w:gridSpan w:val="9"/>
            <w:vMerge w:val="restart"/>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2700" w:type="dxa"/>
            <w:vAlign w:val="bottom"/>
            <w:tcBorders>
              <w:bottom w:val="single" w:sz="8" w:color="0000FF"/>
            </w:tcBorders>
            <w:gridSpan w:val="10"/>
            <w:vMerge w:val="continue"/>
          </w:tcPr>
          <w:p>
            <w:pPr>
              <w:spacing w:after="0"/>
              <w:rPr>
                <w:sz w:val="4"/>
                <w:szCs w:val="4"/>
                <w:color w:val="auto"/>
              </w:rPr>
            </w:pPr>
          </w:p>
        </w:tc>
        <w:tc>
          <w:tcPr>
            <w:tcW w:w="1240" w:type="dxa"/>
            <w:vAlign w:val="bottom"/>
            <w:gridSpan w:val="7"/>
            <w:vMerge w:val="continue"/>
          </w:tcPr>
          <w:p>
            <w:pPr>
              <w:spacing w:after="0"/>
              <w:rPr>
                <w:sz w:val="4"/>
                <w:szCs w:val="4"/>
                <w:color w:val="auto"/>
              </w:rPr>
            </w:pPr>
          </w:p>
        </w:tc>
        <w:tc>
          <w:tcPr>
            <w:tcW w:w="2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020" w:type="dxa"/>
            <w:vAlign w:val="bottom"/>
            <w:vMerge w:val="restart"/>
          </w:tcPr>
          <w:p>
            <w:pPr>
              <w:jc w:val="center"/>
              <w:ind w:right="368"/>
              <w:spacing w:after="0"/>
              <w:rPr>
                <w:sz w:val="20"/>
                <w:szCs w:val="20"/>
                <w:color w:val="auto"/>
              </w:rPr>
            </w:pPr>
            <w:r>
              <w:rPr>
                <w:rFonts w:ascii="Arial" w:cs="Arial" w:eastAsia="Arial" w:hAnsi="Arial"/>
                <w:sz w:val="14"/>
                <w:szCs w:val="14"/>
                <w:color w:val="auto"/>
              </w:rPr>
              <w:t>10.14*</w:t>
            </w:r>
          </w:p>
        </w:tc>
        <w:tc>
          <w:tcPr>
            <w:tcW w:w="3860" w:type="dxa"/>
            <w:vAlign w:val="bottom"/>
            <w:tcBorders>
              <w:bottom w:val="single" w:sz="8" w:color="0000FF"/>
            </w:tcBorders>
            <w:gridSpan w:val="15"/>
          </w:tcPr>
          <w:p>
            <w:pPr>
              <w:spacing w:after="0"/>
              <w:rPr>
                <w:rFonts w:ascii="Arial" w:cs="Arial" w:eastAsia="Arial" w:hAnsi="Arial"/>
                <w:sz w:val="14"/>
                <w:szCs w:val="14"/>
                <w:color w:val="0000FF"/>
              </w:rPr>
            </w:pPr>
            <w:hyperlink r:id="rId30">
              <w:r>
                <w:rPr>
                  <w:rFonts w:ascii="Arial" w:cs="Arial" w:eastAsia="Arial" w:hAnsi="Arial"/>
                  <w:sz w:val="14"/>
                  <w:szCs w:val="14"/>
                  <w:color w:val="0000FF"/>
                </w:rPr>
                <w:t>Offer Letter, between Qualys, Inc. and Sheila Cheung, dated</w:t>
              </w:r>
            </w:hyperlink>
          </w:p>
        </w:tc>
        <w:tc>
          <w:tcPr>
            <w:tcW w:w="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20" w:type="dxa"/>
            <w:vAlign w:val="bottom"/>
            <w:vMerge w:val="continue"/>
          </w:tcPr>
          <w:p>
            <w:pPr>
              <w:spacing w:after="0"/>
              <w:rPr>
                <w:sz w:val="8"/>
                <w:szCs w:val="8"/>
                <w:color w:val="auto"/>
              </w:rPr>
            </w:pPr>
          </w:p>
        </w:tc>
        <w:tc>
          <w:tcPr>
            <w:tcW w:w="920" w:type="dxa"/>
            <w:vAlign w:val="bottom"/>
            <w:gridSpan w:val="3"/>
            <w:vMerge w:val="restart"/>
          </w:tcPr>
          <w:p>
            <w:pPr>
              <w:spacing w:after="0" w:line="142" w:lineRule="exact"/>
              <w:rPr>
                <w:rFonts w:ascii="Arial" w:cs="Arial" w:eastAsia="Arial" w:hAnsi="Arial"/>
                <w:sz w:val="14"/>
                <w:szCs w:val="14"/>
                <w:color w:val="0000FF"/>
              </w:rPr>
            </w:pPr>
            <w:hyperlink r:id="rId30">
              <w:r>
                <w:rPr>
                  <w:rFonts w:ascii="Arial" w:cs="Arial" w:eastAsia="Arial" w:hAnsi="Arial"/>
                  <w:sz w:val="14"/>
                  <w:szCs w:val="14"/>
                  <w:color w:val="0000FF"/>
                </w:rPr>
                <w:t>March 8, 2018</w:t>
              </w:r>
            </w:hyperlink>
          </w:p>
        </w:tc>
        <w:tc>
          <w:tcPr>
            <w:tcW w:w="3240" w:type="dxa"/>
            <w:vAlign w:val="bottom"/>
            <w:gridSpan w:val="23"/>
            <w:vMerge w:val="restart"/>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920" w:type="dxa"/>
            <w:vAlign w:val="bottom"/>
            <w:tcBorders>
              <w:bottom w:val="single" w:sz="8" w:color="0000FF"/>
            </w:tcBorders>
            <w:gridSpan w:val="3"/>
            <w:vMerge w:val="continue"/>
          </w:tcPr>
          <w:p>
            <w:pPr>
              <w:spacing w:after="0"/>
              <w:rPr>
                <w:sz w:val="4"/>
                <w:szCs w:val="4"/>
                <w:color w:val="auto"/>
              </w:rPr>
            </w:pPr>
          </w:p>
        </w:tc>
        <w:tc>
          <w:tcPr>
            <w:tcW w:w="3240" w:type="dxa"/>
            <w:vAlign w:val="bottom"/>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3"/>
        </w:trPr>
        <w:tc>
          <w:tcPr>
            <w:tcW w:w="1020" w:type="dxa"/>
            <w:vAlign w:val="bottom"/>
          </w:tcPr>
          <w:p>
            <w:pPr>
              <w:jc w:val="center"/>
              <w:ind w:right="348"/>
              <w:spacing w:after="0"/>
              <w:rPr>
                <w:sz w:val="20"/>
                <w:szCs w:val="20"/>
                <w:color w:val="auto"/>
              </w:rPr>
            </w:pPr>
            <w:r>
              <w:rPr>
                <w:rFonts w:ascii="Arial" w:cs="Arial" w:eastAsia="Arial" w:hAnsi="Arial"/>
                <w:sz w:val="14"/>
                <w:szCs w:val="14"/>
                <w:color w:val="auto"/>
              </w:rPr>
              <w:t>21.1</w:t>
            </w:r>
          </w:p>
        </w:tc>
        <w:tc>
          <w:tcPr>
            <w:tcW w:w="2140" w:type="dxa"/>
            <w:vAlign w:val="bottom"/>
            <w:tcBorders>
              <w:bottom w:val="single" w:sz="8" w:color="0000FF"/>
            </w:tcBorders>
            <w:gridSpan w:val="6"/>
          </w:tcPr>
          <w:p>
            <w:pPr>
              <w:spacing w:after="0"/>
              <w:rPr>
                <w:rFonts w:ascii="Arial" w:cs="Arial" w:eastAsia="Arial" w:hAnsi="Arial"/>
                <w:sz w:val="14"/>
                <w:szCs w:val="14"/>
                <w:color w:val="0000FF"/>
              </w:rPr>
            </w:pPr>
            <w:hyperlink w:anchor="page103">
              <w:r>
                <w:rPr>
                  <w:rFonts w:ascii="Arial" w:cs="Arial" w:eastAsia="Arial" w:hAnsi="Arial"/>
                  <w:sz w:val="14"/>
                  <w:szCs w:val="14"/>
                  <w:color w:val="0000FF"/>
                </w:rPr>
                <w:t>List of subsidiaries of Qualys, Inc.</w:t>
              </w:r>
            </w:hyperlink>
          </w:p>
        </w:tc>
        <w:tc>
          <w:tcPr>
            <w:tcW w:w="20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23.1</w:t>
            </w:r>
          </w:p>
        </w:tc>
        <w:tc>
          <w:tcPr>
            <w:tcW w:w="3960" w:type="dxa"/>
            <w:vAlign w:val="bottom"/>
            <w:tcBorders>
              <w:bottom w:val="single" w:sz="8" w:color="0000FF"/>
            </w:tcBorders>
            <w:gridSpan w:val="18"/>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Consent of Grant Thornton LLP, independent registered public</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20" w:type="dxa"/>
            <w:vAlign w:val="bottom"/>
            <w:vMerge w:val="continue"/>
          </w:tcPr>
          <w:p>
            <w:pPr>
              <w:spacing w:after="0"/>
              <w:rPr>
                <w:sz w:val="8"/>
                <w:szCs w:val="8"/>
                <w:color w:val="auto"/>
              </w:rPr>
            </w:pPr>
          </w:p>
        </w:tc>
        <w:tc>
          <w:tcPr>
            <w:tcW w:w="1020" w:type="dxa"/>
            <w:vAlign w:val="bottom"/>
            <w:gridSpan w:val="4"/>
            <w:vMerge w:val="restart"/>
          </w:tcPr>
          <w:p>
            <w:pPr>
              <w:spacing w:after="0" w:line="142" w:lineRule="exact"/>
              <w:rPr>
                <w:rFonts w:ascii="Arial" w:cs="Arial" w:eastAsia="Arial" w:hAnsi="Arial"/>
                <w:sz w:val="14"/>
                <w:szCs w:val="14"/>
                <w:color w:val="0000FF"/>
              </w:rPr>
            </w:pPr>
            <w:hyperlink w:anchor="page104">
              <w:r>
                <w:rPr>
                  <w:rFonts w:ascii="Arial" w:cs="Arial" w:eastAsia="Arial" w:hAnsi="Arial"/>
                  <w:sz w:val="14"/>
                  <w:szCs w:val="14"/>
                  <w:color w:val="0000FF"/>
                </w:rPr>
                <w:t>accounting firm.</w:t>
              </w:r>
            </w:hyperlink>
          </w:p>
        </w:tc>
        <w:tc>
          <w:tcPr>
            <w:tcW w:w="3140" w:type="dxa"/>
            <w:vAlign w:val="bottom"/>
            <w:gridSpan w:val="2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1020" w:type="dxa"/>
            <w:vAlign w:val="bottom"/>
            <w:tcBorders>
              <w:bottom w:val="single" w:sz="8" w:color="0000FF"/>
            </w:tcBorders>
            <w:gridSpan w:val="4"/>
            <w:vMerge w:val="continue"/>
          </w:tcPr>
          <w:p>
            <w:pPr>
              <w:spacing w:after="0"/>
              <w:rPr>
                <w:sz w:val="4"/>
                <w:szCs w:val="4"/>
                <w:color w:val="auto"/>
              </w:rPr>
            </w:pPr>
          </w:p>
        </w:tc>
        <w:tc>
          <w:tcPr>
            <w:tcW w:w="3140" w:type="dxa"/>
            <w:vAlign w:val="bottom"/>
            <w:gridSpan w:val="2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4"/>
                <w:szCs w:val="24"/>
                <w:color w:val="auto"/>
              </w:rPr>
            </w:pPr>
          </w:p>
        </w:tc>
        <w:tc>
          <w:tcPr>
            <w:tcW w:w="3840" w:type="dxa"/>
            <w:vAlign w:val="bottom"/>
            <w:tcBorders>
              <w:bottom w:val="single" w:sz="8" w:color="0000FF"/>
            </w:tcBorders>
            <w:gridSpan w:val="14"/>
          </w:tcPr>
          <w:p>
            <w:pPr>
              <w:spacing w:after="0"/>
              <w:rPr>
                <w:rFonts w:ascii="Arial" w:cs="Arial" w:eastAsia="Arial" w:hAnsi="Arial"/>
                <w:sz w:val="14"/>
                <w:szCs w:val="14"/>
                <w:color w:val="0000FF"/>
              </w:rPr>
            </w:pPr>
            <w:hyperlink w:anchor="page105">
              <w:r>
                <w:rPr>
                  <w:rFonts w:ascii="Arial" w:cs="Arial" w:eastAsia="Arial" w:hAnsi="Arial"/>
                  <w:sz w:val="14"/>
                  <w:szCs w:val="14"/>
                  <w:color w:val="0000FF"/>
                </w:rPr>
                <w:t>Certification of Chief Executive Officer pursuant to Rule 13a-</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31.1</w:t>
            </w:r>
          </w:p>
        </w:tc>
        <w:tc>
          <w:tcPr>
            <w:tcW w:w="4060" w:type="dxa"/>
            <w:vAlign w:val="bottom"/>
            <w:tcBorders>
              <w:bottom w:val="single" w:sz="8" w:color="0000FF"/>
            </w:tcBorders>
            <w:gridSpan w:val="22"/>
          </w:tcPr>
          <w:p>
            <w:pPr>
              <w:spacing w:after="0" w:line="142" w:lineRule="exact"/>
              <w:rPr>
                <w:rFonts w:ascii="Arial" w:cs="Arial" w:eastAsia="Arial" w:hAnsi="Arial"/>
                <w:sz w:val="14"/>
                <w:szCs w:val="14"/>
                <w:color w:val="0000FF"/>
              </w:rPr>
            </w:pPr>
            <w:hyperlink w:anchor="page105">
              <w:r>
                <w:rPr>
                  <w:rFonts w:ascii="Arial" w:cs="Arial" w:eastAsia="Arial" w:hAnsi="Arial"/>
                  <w:sz w:val="14"/>
                  <w:szCs w:val="14"/>
                  <w:color w:val="0000FF"/>
                </w:rPr>
                <w:t>14(a) or Rule 15d-14(a) of the Securities Exchange Act of 1934,</w:t>
              </w:r>
            </w:hyperlink>
          </w:p>
        </w:tc>
        <w:tc>
          <w:tcPr>
            <w:tcW w:w="1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020" w:type="dxa"/>
            <w:vAlign w:val="bottom"/>
            <w:vMerge w:val="continue"/>
          </w:tcPr>
          <w:p>
            <w:pPr>
              <w:spacing w:after="0"/>
              <w:rPr>
                <w:sz w:val="8"/>
                <w:szCs w:val="8"/>
                <w:color w:val="auto"/>
              </w:rPr>
            </w:pPr>
          </w:p>
        </w:tc>
        <w:tc>
          <w:tcPr>
            <w:tcW w:w="4160" w:type="dxa"/>
            <w:vAlign w:val="bottom"/>
            <w:gridSpan w:val="26"/>
            <w:vMerge w:val="restart"/>
          </w:tcPr>
          <w:p>
            <w:pPr>
              <w:spacing w:after="0" w:line="142" w:lineRule="exact"/>
              <w:rPr>
                <w:rFonts w:ascii="Arial" w:cs="Arial" w:eastAsia="Arial" w:hAnsi="Arial"/>
                <w:sz w:val="14"/>
                <w:szCs w:val="14"/>
                <w:color w:val="0000FF"/>
              </w:rPr>
            </w:pPr>
            <w:hyperlink w:anchor="page105">
              <w:r>
                <w:rPr>
                  <w:rFonts w:ascii="Arial" w:cs="Arial" w:eastAsia="Arial" w:hAnsi="Arial"/>
                  <w:sz w:val="14"/>
                  <w:szCs w:val="14"/>
                  <w:color w:val="0000FF"/>
                </w:rPr>
                <w:t>as adopted pursuant to Section 302 of The Sarbanes-Oxley Act</w:t>
              </w:r>
            </w:hyperlink>
          </w:p>
        </w:tc>
        <w:tc>
          <w:tcPr>
            <w:tcW w:w="0" w:type="dxa"/>
            <w:vAlign w:val="bottom"/>
          </w:tcPr>
          <w:p>
            <w:pPr>
              <w:spacing w:after="0"/>
              <w:rPr>
                <w:sz w:val="1"/>
                <w:szCs w:val="1"/>
                <w:color w:val="auto"/>
              </w:rPr>
            </w:pPr>
          </w:p>
        </w:tc>
      </w:tr>
      <w:tr>
        <w:trPr>
          <w:trHeight w:val="49"/>
        </w:trPr>
        <w:tc>
          <w:tcPr>
            <w:tcW w:w="1020" w:type="dxa"/>
            <w:vAlign w:val="bottom"/>
          </w:tcPr>
          <w:p>
            <w:pPr>
              <w:spacing w:after="0"/>
              <w:rPr>
                <w:sz w:val="4"/>
                <w:szCs w:val="4"/>
                <w:color w:val="auto"/>
              </w:rPr>
            </w:pPr>
          </w:p>
        </w:tc>
        <w:tc>
          <w:tcPr>
            <w:tcW w:w="4160" w:type="dxa"/>
            <w:vAlign w:val="bottom"/>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20" w:type="dxa"/>
            <w:vAlign w:val="bottom"/>
            <w:tcBorders>
              <w:top w:val="single" w:sz="8" w:color="0000FF"/>
              <w:bottom w:val="single" w:sz="8" w:color="0000FF"/>
            </w:tcBorders>
            <w:gridSpan w:val="2"/>
          </w:tcPr>
          <w:p>
            <w:pPr>
              <w:spacing w:after="0" w:line="142" w:lineRule="exact"/>
              <w:rPr>
                <w:rFonts w:ascii="Arial" w:cs="Arial" w:eastAsia="Arial" w:hAnsi="Arial"/>
                <w:sz w:val="14"/>
                <w:szCs w:val="14"/>
                <w:color w:val="0000FF"/>
                <w:w w:val="98"/>
              </w:rPr>
            </w:pPr>
            <w:hyperlink w:anchor="page105">
              <w:r>
                <w:rPr>
                  <w:rFonts w:ascii="Arial" w:cs="Arial" w:eastAsia="Arial" w:hAnsi="Arial"/>
                  <w:sz w:val="14"/>
                  <w:szCs w:val="14"/>
                  <w:color w:val="0000FF"/>
                  <w:w w:val="98"/>
                </w:rPr>
                <w:t>of 2002.</w:t>
              </w:r>
            </w:hyperlink>
          </w:p>
        </w:tc>
        <w:tc>
          <w:tcPr>
            <w:tcW w:w="352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4"/>
                <w:szCs w:val="24"/>
                <w:color w:val="auto"/>
              </w:rPr>
            </w:pPr>
          </w:p>
        </w:tc>
        <w:tc>
          <w:tcPr>
            <w:tcW w:w="4160" w:type="dxa"/>
            <w:vAlign w:val="bottom"/>
            <w:gridSpan w:val="26"/>
          </w:tcPr>
          <w:p>
            <w:pPr>
              <w:spacing w:after="0"/>
              <w:rPr>
                <w:rFonts w:ascii="Arial" w:cs="Arial" w:eastAsia="Arial" w:hAnsi="Arial"/>
                <w:sz w:val="14"/>
                <w:szCs w:val="14"/>
                <w:color w:val="0000FF"/>
              </w:rPr>
            </w:pPr>
            <w:hyperlink w:anchor="page106">
              <w:r>
                <w:rPr>
                  <w:rFonts w:ascii="Arial" w:cs="Arial" w:eastAsia="Arial" w:hAnsi="Arial"/>
                  <w:sz w:val="14"/>
                  <w:szCs w:val="14"/>
                  <w:color w:val="0000FF"/>
                </w:rPr>
                <w:t>Certification of Chief Financial Officer pursuant to Rule 13a-14(a)</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31.2</w:t>
            </w:r>
          </w:p>
        </w:tc>
        <w:tc>
          <w:tcPr>
            <w:tcW w:w="3880" w:type="dxa"/>
            <w:vAlign w:val="bottom"/>
            <w:tcBorders>
              <w:top w:val="single" w:sz="8" w:color="0000FF"/>
              <w:bottom w:val="single" w:sz="8" w:color="0000FF"/>
            </w:tcBorders>
            <w:gridSpan w:val="16"/>
          </w:tcPr>
          <w:p>
            <w:pPr>
              <w:spacing w:after="0" w:line="142" w:lineRule="exact"/>
              <w:rPr>
                <w:rFonts w:ascii="Arial" w:cs="Arial" w:eastAsia="Arial" w:hAnsi="Arial"/>
                <w:sz w:val="14"/>
                <w:szCs w:val="14"/>
                <w:color w:val="0000FF"/>
              </w:rPr>
            </w:pPr>
            <w:hyperlink w:anchor="page106">
              <w:r>
                <w:rPr>
                  <w:rFonts w:ascii="Arial" w:cs="Arial" w:eastAsia="Arial" w:hAnsi="Arial"/>
                  <w:sz w:val="14"/>
                  <w:szCs w:val="14"/>
                  <w:color w:val="0000FF"/>
                </w:rPr>
                <w:t>or Rule 15d-14(a) of the Securities Exchange Act of 1934, as</w:t>
              </w:r>
            </w:hyperlink>
          </w:p>
        </w:tc>
        <w:tc>
          <w:tcPr>
            <w:tcW w:w="24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020" w:type="dxa"/>
            <w:vAlign w:val="bottom"/>
            <w:vMerge w:val="continue"/>
          </w:tcPr>
          <w:p>
            <w:pPr>
              <w:spacing w:after="0"/>
              <w:rPr>
                <w:sz w:val="8"/>
                <w:szCs w:val="8"/>
                <w:color w:val="auto"/>
              </w:rPr>
            </w:pPr>
          </w:p>
        </w:tc>
        <w:tc>
          <w:tcPr>
            <w:tcW w:w="4160" w:type="dxa"/>
            <w:vAlign w:val="bottom"/>
            <w:gridSpan w:val="26"/>
            <w:vMerge w:val="restart"/>
          </w:tcPr>
          <w:p>
            <w:pPr>
              <w:spacing w:after="0" w:line="142" w:lineRule="exact"/>
              <w:rPr>
                <w:rFonts w:ascii="Arial" w:cs="Arial" w:eastAsia="Arial" w:hAnsi="Arial"/>
                <w:sz w:val="14"/>
                <w:szCs w:val="14"/>
                <w:color w:val="0000FF"/>
              </w:rPr>
            </w:pPr>
            <w:hyperlink w:anchor="page106">
              <w:r>
                <w:rPr>
                  <w:rFonts w:ascii="Arial" w:cs="Arial" w:eastAsia="Arial" w:hAnsi="Arial"/>
                  <w:sz w:val="14"/>
                  <w:szCs w:val="14"/>
                  <w:color w:val="0000FF"/>
                </w:rPr>
                <w:t>adopted pursuant to Section 302 of The Sarbanes-Oxley Act of</w:t>
              </w:r>
            </w:hyperlink>
          </w:p>
        </w:tc>
        <w:tc>
          <w:tcPr>
            <w:tcW w:w="0" w:type="dxa"/>
            <w:vAlign w:val="bottom"/>
          </w:tcPr>
          <w:p>
            <w:pPr>
              <w:spacing w:after="0"/>
              <w:rPr>
                <w:sz w:val="1"/>
                <w:szCs w:val="1"/>
                <w:color w:val="auto"/>
              </w:rPr>
            </w:pPr>
          </w:p>
        </w:tc>
      </w:tr>
      <w:tr>
        <w:trPr>
          <w:trHeight w:val="49"/>
        </w:trPr>
        <w:tc>
          <w:tcPr>
            <w:tcW w:w="1020" w:type="dxa"/>
            <w:vAlign w:val="bottom"/>
          </w:tcPr>
          <w:p>
            <w:pPr>
              <w:spacing w:after="0"/>
              <w:rPr>
                <w:sz w:val="4"/>
                <w:szCs w:val="4"/>
                <w:color w:val="auto"/>
              </w:rPr>
            </w:pPr>
          </w:p>
        </w:tc>
        <w:tc>
          <w:tcPr>
            <w:tcW w:w="4160" w:type="dxa"/>
            <w:vAlign w:val="bottom"/>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96"/>
              </w:rPr>
            </w:pPr>
            <w:hyperlink w:anchor="page106">
              <w:r>
                <w:rPr>
                  <w:rFonts w:ascii="Arial" w:cs="Arial" w:eastAsia="Arial" w:hAnsi="Arial"/>
                  <w:sz w:val="14"/>
                  <w:szCs w:val="14"/>
                  <w:color w:val="0000FF"/>
                  <w:w w:val="96"/>
                </w:rPr>
                <w:t>2002.</w:t>
              </w:r>
            </w:hyperlink>
          </w:p>
        </w:tc>
        <w:tc>
          <w:tcPr>
            <w:tcW w:w="1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4"/>
                <w:szCs w:val="24"/>
                <w:color w:val="auto"/>
              </w:rPr>
            </w:pPr>
          </w:p>
        </w:tc>
        <w:tc>
          <w:tcPr>
            <w:tcW w:w="4160" w:type="dxa"/>
            <w:vAlign w:val="bottom"/>
            <w:gridSpan w:val="26"/>
          </w:tcPr>
          <w:p>
            <w:pPr>
              <w:spacing w:after="0"/>
              <w:rPr>
                <w:rFonts w:ascii="Arial" w:cs="Arial" w:eastAsia="Arial" w:hAnsi="Arial"/>
                <w:sz w:val="14"/>
                <w:szCs w:val="14"/>
                <w:color w:val="0000FF"/>
              </w:rPr>
            </w:pPr>
            <w:hyperlink w:anchor="page107">
              <w:r>
                <w:rPr>
                  <w:rFonts w:ascii="Arial" w:cs="Arial" w:eastAsia="Arial" w:hAnsi="Arial"/>
                  <w:sz w:val="14"/>
                  <w:szCs w:val="14"/>
                  <w:color w:val="0000FF"/>
                </w:rPr>
                <w:t>Certification of Principal Accounting Officer pursuant to Rule 13a-</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31.3</w:t>
            </w:r>
          </w:p>
        </w:tc>
        <w:tc>
          <w:tcPr>
            <w:tcW w:w="4020" w:type="dxa"/>
            <w:vAlign w:val="bottom"/>
            <w:tcBorders>
              <w:top w:val="single" w:sz="8" w:color="0000FF"/>
              <w:bottom w:val="single" w:sz="8" w:color="0000FF"/>
            </w:tcBorders>
            <w:gridSpan w:val="20"/>
          </w:tcPr>
          <w:p>
            <w:pPr>
              <w:spacing w:after="0" w:line="142" w:lineRule="exact"/>
              <w:rPr>
                <w:rFonts w:ascii="Arial" w:cs="Arial" w:eastAsia="Arial" w:hAnsi="Arial"/>
                <w:sz w:val="14"/>
                <w:szCs w:val="14"/>
                <w:color w:val="0000FF"/>
              </w:rPr>
            </w:pPr>
            <w:hyperlink w:anchor="page107">
              <w:r>
                <w:rPr>
                  <w:rFonts w:ascii="Arial" w:cs="Arial" w:eastAsia="Arial" w:hAnsi="Arial"/>
                  <w:sz w:val="14"/>
                  <w:szCs w:val="14"/>
                  <w:color w:val="0000FF"/>
                </w:rPr>
                <w:t>14(b) or Rule 15d-14(b) of the Securities Exchange Act of 1934</w:t>
              </w:r>
            </w:hyperlink>
          </w:p>
        </w:tc>
        <w:tc>
          <w:tcPr>
            <w:tcW w:w="1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020" w:type="dxa"/>
            <w:vAlign w:val="bottom"/>
            <w:vMerge w:val="continue"/>
          </w:tcPr>
          <w:p>
            <w:pPr>
              <w:spacing w:after="0"/>
              <w:rPr>
                <w:sz w:val="8"/>
                <w:szCs w:val="8"/>
                <w:color w:val="auto"/>
              </w:rPr>
            </w:pPr>
          </w:p>
        </w:tc>
        <w:tc>
          <w:tcPr>
            <w:tcW w:w="4160" w:type="dxa"/>
            <w:vAlign w:val="bottom"/>
            <w:gridSpan w:val="26"/>
            <w:vMerge w:val="restart"/>
          </w:tcPr>
          <w:p>
            <w:pPr>
              <w:spacing w:after="0" w:line="142" w:lineRule="exact"/>
              <w:rPr>
                <w:rFonts w:ascii="Arial" w:cs="Arial" w:eastAsia="Arial" w:hAnsi="Arial"/>
                <w:sz w:val="14"/>
                <w:szCs w:val="14"/>
                <w:color w:val="0000FF"/>
              </w:rPr>
            </w:pPr>
            <w:hyperlink w:anchor="page107">
              <w:r>
                <w:rPr>
                  <w:rFonts w:ascii="Arial" w:cs="Arial" w:eastAsia="Arial" w:hAnsi="Arial"/>
                  <w:sz w:val="14"/>
                  <w:szCs w:val="14"/>
                  <w:color w:val="0000FF"/>
                </w:rPr>
                <w:t>and 18 U.S.C. Section 1350 as adopted pursuant to Section 906</w:t>
              </w:r>
            </w:hyperlink>
          </w:p>
        </w:tc>
        <w:tc>
          <w:tcPr>
            <w:tcW w:w="0" w:type="dxa"/>
            <w:vAlign w:val="bottom"/>
          </w:tcPr>
          <w:p>
            <w:pPr>
              <w:spacing w:after="0"/>
              <w:rPr>
                <w:sz w:val="1"/>
                <w:szCs w:val="1"/>
                <w:color w:val="auto"/>
              </w:rPr>
            </w:pPr>
          </w:p>
        </w:tc>
      </w:tr>
      <w:tr>
        <w:trPr>
          <w:trHeight w:val="49"/>
        </w:trPr>
        <w:tc>
          <w:tcPr>
            <w:tcW w:w="1020" w:type="dxa"/>
            <w:vAlign w:val="bottom"/>
          </w:tcPr>
          <w:p>
            <w:pPr>
              <w:spacing w:after="0"/>
              <w:rPr>
                <w:sz w:val="4"/>
                <w:szCs w:val="4"/>
                <w:color w:val="auto"/>
              </w:rPr>
            </w:pPr>
          </w:p>
        </w:tc>
        <w:tc>
          <w:tcPr>
            <w:tcW w:w="4160" w:type="dxa"/>
            <w:vAlign w:val="bottom"/>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220" w:type="dxa"/>
            <w:vAlign w:val="bottom"/>
            <w:tcBorders>
              <w:top w:val="single" w:sz="8" w:color="0000FF"/>
              <w:bottom w:val="single" w:sz="8" w:color="0000FF"/>
            </w:tcBorders>
            <w:gridSpan w:val="8"/>
          </w:tcPr>
          <w:p>
            <w:pPr>
              <w:spacing w:after="0" w:line="142" w:lineRule="exact"/>
              <w:rPr>
                <w:rFonts w:ascii="Arial" w:cs="Arial" w:eastAsia="Arial" w:hAnsi="Arial"/>
                <w:sz w:val="14"/>
                <w:szCs w:val="14"/>
                <w:color w:val="0000FF"/>
              </w:rPr>
            </w:pPr>
            <w:hyperlink w:anchor="page107">
              <w:r>
                <w:rPr>
                  <w:rFonts w:ascii="Arial" w:cs="Arial" w:eastAsia="Arial" w:hAnsi="Arial"/>
                  <w:sz w:val="14"/>
                  <w:szCs w:val="14"/>
                  <w:color w:val="0000FF"/>
                </w:rPr>
                <w:t>of the Sarbanes-Oxley Act of 2002</w:t>
              </w:r>
            </w:hyperlink>
          </w:p>
        </w:tc>
        <w:tc>
          <w:tcPr>
            <w:tcW w:w="188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4"/>
                <w:szCs w:val="24"/>
                <w:color w:val="auto"/>
              </w:rPr>
            </w:pPr>
          </w:p>
        </w:tc>
        <w:tc>
          <w:tcPr>
            <w:tcW w:w="3840" w:type="dxa"/>
            <w:vAlign w:val="bottom"/>
            <w:tcBorders>
              <w:bottom w:val="single" w:sz="8" w:color="0000FF"/>
            </w:tcBorders>
            <w:gridSpan w:val="14"/>
          </w:tcPr>
          <w:p>
            <w:pPr>
              <w:spacing w:after="0"/>
              <w:rPr>
                <w:rFonts w:ascii="Arial" w:cs="Arial" w:eastAsia="Arial" w:hAnsi="Arial"/>
                <w:sz w:val="14"/>
                <w:szCs w:val="14"/>
                <w:color w:val="0000FF"/>
              </w:rPr>
            </w:pPr>
            <w:hyperlink w:anchor="page108">
              <w:r>
                <w:rPr>
                  <w:rFonts w:ascii="Arial" w:cs="Arial" w:eastAsia="Arial" w:hAnsi="Arial"/>
                  <w:sz w:val="14"/>
                  <w:szCs w:val="14"/>
                  <w:color w:val="0000FF"/>
                </w:rPr>
                <w:t>Certification of Chief Executive Officer pursuant to Rule 13a-</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32.1</w:t>
            </w:r>
          </w:p>
        </w:tc>
        <w:tc>
          <w:tcPr>
            <w:tcW w:w="4020" w:type="dxa"/>
            <w:vAlign w:val="bottom"/>
            <w:tcBorders>
              <w:bottom w:val="single" w:sz="8" w:color="0000FF"/>
            </w:tcBorders>
            <w:gridSpan w:val="20"/>
          </w:tcPr>
          <w:p>
            <w:pPr>
              <w:spacing w:after="0" w:line="142" w:lineRule="exact"/>
              <w:rPr>
                <w:rFonts w:ascii="Arial" w:cs="Arial" w:eastAsia="Arial" w:hAnsi="Arial"/>
                <w:sz w:val="14"/>
                <w:szCs w:val="14"/>
                <w:color w:val="0000FF"/>
              </w:rPr>
            </w:pPr>
            <w:hyperlink w:anchor="page108">
              <w:r>
                <w:rPr>
                  <w:rFonts w:ascii="Arial" w:cs="Arial" w:eastAsia="Arial" w:hAnsi="Arial"/>
                  <w:sz w:val="14"/>
                  <w:szCs w:val="14"/>
                  <w:color w:val="0000FF"/>
                </w:rPr>
                <w:t>14(b) or Rule 15d-14(b) of the Securities Exchange Act of 1934</w:t>
              </w:r>
            </w:hyperlink>
          </w:p>
        </w:tc>
        <w:tc>
          <w:tcPr>
            <w:tcW w:w="1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020" w:type="dxa"/>
            <w:vAlign w:val="bottom"/>
            <w:vMerge w:val="continue"/>
          </w:tcPr>
          <w:p>
            <w:pPr>
              <w:spacing w:after="0"/>
              <w:rPr>
                <w:sz w:val="8"/>
                <w:szCs w:val="8"/>
                <w:color w:val="auto"/>
              </w:rPr>
            </w:pPr>
          </w:p>
        </w:tc>
        <w:tc>
          <w:tcPr>
            <w:tcW w:w="4160" w:type="dxa"/>
            <w:vAlign w:val="bottom"/>
            <w:gridSpan w:val="26"/>
            <w:vMerge w:val="restart"/>
          </w:tcPr>
          <w:p>
            <w:pPr>
              <w:spacing w:after="0" w:line="142" w:lineRule="exact"/>
              <w:rPr>
                <w:rFonts w:ascii="Arial" w:cs="Arial" w:eastAsia="Arial" w:hAnsi="Arial"/>
                <w:sz w:val="14"/>
                <w:szCs w:val="14"/>
                <w:color w:val="0000FF"/>
              </w:rPr>
            </w:pPr>
            <w:hyperlink w:anchor="page108">
              <w:r>
                <w:rPr>
                  <w:rFonts w:ascii="Arial" w:cs="Arial" w:eastAsia="Arial" w:hAnsi="Arial"/>
                  <w:sz w:val="14"/>
                  <w:szCs w:val="14"/>
                  <w:color w:val="0000FF"/>
                </w:rPr>
                <w:t>and 18 U.S.C. Section 1350 as adopted pursuant to Section 906</w:t>
              </w:r>
            </w:hyperlink>
          </w:p>
        </w:tc>
        <w:tc>
          <w:tcPr>
            <w:tcW w:w="0" w:type="dxa"/>
            <w:vAlign w:val="bottom"/>
          </w:tcPr>
          <w:p>
            <w:pPr>
              <w:spacing w:after="0"/>
              <w:rPr>
                <w:sz w:val="1"/>
                <w:szCs w:val="1"/>
                <w:color w:val="auto"/>
              </w:rPr>
            </w:pPr>
          </w:p>
        </w:tc>
      </w:tr>
      <w:tr>
        <w:trPr>
          <w:trHeight w:val="49"/>
        </w:trPr>
        <w:tc>
          <w:tcPr>
            <w:tcW w:w="1020" w:type="dxa"/>
            <w:vAlign w:val="bottom"/>
          </w:tcPr>
          <w:p>
            <w:pPr>
              <w:spacing w:after="0"/>
              <w:rPr>
                <w:sz w:val="4"/>
                <w:szCs w:val="4"/>
                <w:color w:val="auto"/>
              </w:rPr>
            </w:pPr>
          </w:p>
        </w:tc>
        <w:tc>
          <w:tcPr>
            <w:tcW w:w="4160" w:type="dxa"/>
            <w:vAlign w:val="bottom"/>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100" w:type="dxa"/>
            <w:vAlign w:val="bottom"/>
            <w:tcBorders>
              <w:top w:val="single" w:sz="8" w:color="0000FF"/>
            </w:tcBorders>
            <w:gridSpan w:val="23"/>
          </w:tcPr>
          <w:p>
            <w:pPr>
              <w:spacing w:after="0" w:line="142" w:lineRule="exact"/>
              <w:rPr>
                <w:rFonts w:ascii="Arial" w:cs="Arial" w:eastAsia="Arial" w:hAnsi="Arial"/>
                <w:sz w:val="14"/>
                <w:szCs w:val="14"/>
                <w:color w:val="0000FF"/>
              </w:rPr>
            </w:pPr>
            <w:hyperlink w:anchor="page108">
              <w:r>
                <w:rPr>
                  <w:rFonts w:ascii="Arial" w:cs="Arial" w:eastAsia="Arial" w:hAnsi="Arial"/>
                  <w:sz w:val="14"/>
                  <w:szCs w:val="14"/>
                  <w:color w:val="0000FF"/>
                </w:rPr>
                <w:t>of The Sarbanes-Oxley Act of 2002.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78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20" w:type="dxa"/>
            <w:vAlign w:val="bottom"/>
          </w:tcPr>
          <w:p>
            <w:pPr>
              <w:spacing w:after="0"/>
              <w:rPr>
                <w:sz w:val="24"/>
                <w:szCs w:val="24"/>
                <w:color w:val="auto"/>
              </w:rPr>
            </w:pPr>
          </w:p>
        </w:tc>
        <w:tc>
          <w:tcPr>
            <w:tcW w:w="4160" w:type="dxa"/>
            <w:vAlign w:val="bottom"/>
            <w:gridSpan w:val="26"/>
          </w:tcPr>
          <w:p>
            <w:pPr>
              <w:spacing w:after="0"/>
              <w:rPr>
                <w:rFonts w:ascii="Arial" w:cs="Arial" w:eastAsia="Arial" w:hAnsi="Arial"/>
                <w:sz w:val="14"/>
                <w:szCs w:val="14"/>
                <w:color w:val="0000FF"/>
              </w:rPr>
            </w:pPr>
            <w:hyperlink w:anchor="page109">
              <w:r>
                <w:rPr>
                  <w:rFonts w:ascii="Arial" w:cs="Arial" w:eastAsia="Arial" w:hAnsi="Arial"/>
                  <w:sz w:val="14"/>
                  <w:szCs w:val="14"/>
                  <w:color w:val="0000FF"/>
                </w:rPr>
                <w:t>Certification of Chief Financial Officer pursuant to Rule 13a-14(b)</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32.2</w:t>
            </w:r>
          </w:p>
        </w:tc>
        <w:tc>
          <w:tcPr>
            <w:tcW w:w="4120" w:type="dxa"/>
            <w:vAlign w:val="bottom"/>
            <w:tcBorders>
              <w:top w:val="single" w:sz="8" w:color="0000FF"/>
              <w:bottom w:val="single" w:sz="8" w:color="0000FF"/>
            </w:tcBorders>
            <w:gridSpan w:val="24"/>
          </w:tcPr>
          <w:p>
            <w:pPr>
              <w:spacing w:after="0" w:line="142" w:lineRule="exact"/>
              <w:rPr>
                <w:rFonts w:ascii="Arial" w:cs="Arial" w:eastAsia="Arial" w:hAnsi="Arial"/>
                <w:sz w:val="14"/>
                <w:szCs w:val="14"/>
                <w:color w:val="0000FF"/>
              </w:rPr>
            </w:pPr>
            <w:hyperlink w:anchor="page109">
              <w:r>
                <w:rPr>
                  <w:rFonts w:ascii="Arial" w:cs="Arial" w:eastAsia="Arial" w:hAnsi="Arial"/>
                  <w:sz w:val="14"/>
                  <w:szCs w:val="14"/>
                  <w:color w:val="0000FF"/>
                </w:rPr>
                <w:t>or Rule 15d-14(b) of the Securities Exchange Act of 1934 and 18</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020" w:type="dxa"/>
            <w:vAlign w:val="bottom"/>
            <w:vMerge w:val="continue"/>
          </w:tcPr>
          <w:p>
            <w:pPr>
              <w:spacing w:after="0"/>
              <w:rPr>
                <w:sz w:val="8"/>
                <w:szCs w:val="8"/>
                <w:color w:val="auto"/>
              </w:rPr>
            </w:pPr>
          </w:p>
        </w:tc>
        <w:tc>
          <w:tcPr>
            <w:tcW w:w="4160" w:type="dxa"/>
            <w:vAlign w:val="bottom"/>
            <w:gridSpan w:val="26"/>
            <w:vMerge w:val="restart"/>
          </w:tcPr>
          <w:p>
            <w:pPr>
              <w:spacing w:after="0" w:line="142" w:lineRule="exact"/>
              <w:rPr>
                <w:rFonts w:ascii="Arial" w:cs="Arial" w:eastAsia="Arial" w:hAnsi="Arial"/>
                <w:sz w:val="14"/>
                <w:szCs w:val="14"/>
                <w:color w:val="0000FF"/>
              </w:rPr>
            </w:pPr>
            <w:hyperlink w:anchor="page109">
              <w:r>
                <w:rPr>
                  <w:rFonts w:ascii="Arial" w:cs="Arial" w:eastAsia="Arial" w:hAnsi="Arial"/>
                  <w:sz w:val="14"/>
                  <w:szCs w:val="14"/>
                  <w:color w:val="0000FF"/>
                </w:rPr>
                <w:t>U.S.C. Section 1350 as adopted pursuant to Section 906 of The</w:t>
              </w:r>
            </w:hyperlink>
          </w:p>
        </w:tc>
        <w:tc>
          <w:tcPr>
            <w:tcW w:w="0" w:type="dxa"/>
            <w:vAlign w:val="bottom"/>
          </w:tcPr>
          <w:p>
            <w:pPr>
              <w:spacing w:after="0"/>
              <w:rPr>
                <w:sz w:val="1"/>
                <w:szCs w:val="1"/>
                <w:color w:val="auto"/>
              </w:rPr>
            </w:pPr>
          </w:p>
        </w:tc>
      </w:tr>
      <w:tr>
        <w:trPr>
          <w:trHeight w:val="49"/>
        </w:trPr>
        <w:tc>
          <w:tcPr>
            <w:tcW w:w="1020" w:type="dxa"/>
            <w:vAlign w:val="bottom"/>
          </w:tcPr>
          <w:p>
            <w:pPr>
              <w:spacing w:after="0"/>
              <w:rPr>
                <w:sz w:val="4"/>
                <w:szCs w:val="4"/>
                <w:color w:val="auto"/>
              </w:rPr>
            </w:pPr>
          </w:p>
        </w:tc>
        <w:tc>
          <w:tcPr>
            <w:tcW w:w="4160" w:type="dxa"/>
            <w:vAlign w:val="bottom"/>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840" w:type="dxa"/>
            <w:vAlign w:val="bottom"/>
            <w:tcBorders>
              <w:top w:val="single" w:sz="8" w:color="0000FF"/>
              <w:bottom w:val="single" w:sz="8" w:color="0000FF"/>
            </w:tcBorders>
            <w:gridSpan w:val="5"/>
          </w:tcPr>
          <w:p>
            <w:pPr>
              <w:spacing w:after="0" w:line="142" w:lineRule="exact"/>
              <w:rPr>
                <w:rFonts w:ascii="Arial" w:cs="Arial" w:eastAsia="Arial" w:hAnsi="Arial"/>
                <w:sz w:val="14"/>
                <w:szCs w:val="14"/>
                <w:color w:val="0000FF"/>
              </w:rPr>
            </w:pPr>
            <w:hyperlink w:anchor="page109">
              <w:r>
                <w:rPr>
                  <w:rFonts w:ascii="Arial" w:cs="Arial" w:eastAsia="Arial" w:hAnsi="Arial"/>
                  <w:sz w:val="14"/>
                  <w:szCs w:val="14"/>
                  <w:color w:val="0000FF"/>
                </w:rPr>
                <w:t>Sarbanes-Oxley Act of 2002.</w:t>
              </w:r>
            </w:hyperlink>
          </w:p>
        </w:tc>
        <w:tc>
          <w:tcPr>
            <w:tcW w:w="2220" w:type="dxa"/>
            <w:vAlign w:val="bottom"/>
            <w:tcBorders>
              <w:top w:val="single" w:sz="8" w:color="0000FF"/>
            </w:tcBorders>
            <w:gridSpan w:val="17"/>
          </w:tcPr>
          <w:p>
            <w:pPr>
              <w:spacing w:after="0"/>
              <w:rPr>
                <w:sz w:val="12"/>
                <w:szCs w:val="12"/>
                <w:color w:val="auto"/>
              </w:rPr>
            </w:pPr>
          </w:p>
        </w:tc>
        <w:tc>
          <w:tcPr>
            <w:tcW w:w="1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4"/>
                <w:szCs w:val="24"/>
                <w:color w:val="auto"/>
              </w:rPr>
            </w:pPr>
          </w:p>
        </w:tc>
        <w:tc>
          <w:tcPr>
            <w:tcW w:w="4160" w:type="dxa"/>
            <w:vAlign w:val="bottom"/>
            <w:gridSpan w:val="26"/>
          </w:tcPr>
          <w:p>
            <w:pPr>
              <w:spacing w:after="0"/>
              <w:rPr>
                <w:rFonts w:ascii="Arial" w:cs="Arial" w:eastAsia="Arial" w:hAnsi="Arial"/>
                <w:sz w:val="14"/>
                <w:szCs w:val="14"/>
                <w:color w:val="0000FF"/>
              </w:rPr>
            </w:pPr>
            <w:hyperlink w:anchor="page110">
              <w:r>
                <w:rPr>
                  <w:rFonts w:ascii="Arial" w:cs="Arial" w:eastAsia="Arial" w:hAnsi="Arial"/>
                  <w:sz w:val="14"/>
                  <w:szCs w:val="14"/>
                  <w:color w:val="0000FF"/>
                </w:rPr>
                <w:t>Certification of Principal Accounting Officer pursuant to Rule 13a-</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32.3</w:t>
            </w:r>
          </w:p>
        </w:tc>
        <w:tc>
          <w:tcPr>
            <w:tcW w:w="4020" w:type="dxa"/>
            <w:vAlign w:val="bottom"/>
            <w:tcBorders>
              <w:top w:val="single" w:sz="8" w:color="0000FF"/>
              <w:bottom w:val="single" w:sz="8" w:color="0000FF"/>
            </w:tcBorders>
            <w:gridSpan w:val="20"/>
          </w:tcPr>
          <w:p>
            <w:pPr>
              <w:spacing w:after="0" w:line="142" w:lineRule="exact"/>
              <w:rPr>
                <w:rFonts w:ascii="Arial" w:cs="Arial" w:eastAsia="Arial" w:hAnsi="Arial"/>
                <w:sz w:val="14"/>
                <w:szCs w:val="14"/>
                <w:color w:val="0000FF"/>
              </w:rPr>
            </w:pPr>
            <w:hyperlink w:anchor="page110">
              <w:r>
                <w:rPr>
                  <w:rFonts w:ascii="Arial" w:cs="Arial" w:eastAsia="Arial" w:hAnsi="Arial"/>
                  <w:sz w:val="14"/>
                  <w:szCs w:val="14"/>
                  <w:color w:val="0000FF"/>
                </w:rPr>
                <w:t>14(b) or Rule 15d-14(b) of the Securities Exchange Act of 1934</w:t>
              </w:r>
            </w:hyperlink>
          </w:p>
        </w:tc>
        <w:tc>
          <w:tcPr>
            <w:tcW w:w="1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020" w:type="dxa"/>
            <w:vAlign w:val="bottom"/>
            <w:vMerge w:val="continue"/>
          </w:tcPr>
          <w:p>
            <w:pPr>
              <w:spacing w:after="0"/>
              <w:rPr>
                <w:sz w:val="8"/>
                <w:szCs w:val="8"/>
                <w:color w:val="auto"/>
              </w:rPr>
            </w:pPr>
          </w:p>
        </w:tc>
        <w:tc>
          <w:tcPr>
            <w:tcW w:w="4160" w:type="dxa"/>
            <w:vAlign w:val="bottom"/>
            <w:gridSpan w:val="26"/>
            <w:vMerge w:val="restart"/>
          </w:tcPr>
          <w:p>
            <w:pPr>
              <w:spacing w:after="0" w:line="142" w:lineRule="exact"/>
              <w:rPr>
                <w:rFonts w:ascii="Arial" w:cs="Arial" w:eastAsia="Arial" w:hAnsi="Arial"/>
                <w:sz w:val="14"/>
                <w:szCs w:val="14"/>
                <w:color w:val="0000FF"/>
              </w:rPr>
            </w:pPr>
            <w:hyperlink w:anchor="page110">
              <w:r>
                <w:rPr>
                  <w:rFonts w:ascii="Arial" w:cs="Arial" w:eastAsia="Arial" w:hAnsi="Arial"/>
                  <w:sz w:val="14"/>
                  <w:szCs w:val="14"/>
                  <w:color w:val="0000FF"/>
                </w:rPr>
                <w:t>and 18 U.S.C. Section 1350 as adopted pursuant to Section 906</w:t>
              </w:r>
            </w:hyperlink>
          </w:p>
        </w:tc>
        <w:tc>
          <w:tcPr>
            <w:tcW w:w="0" w:type="dxa"/>
            <w:vAlign w:val="bottom"/>
          </w:tcPr>
          <w:p>
            <w:pPr>
              <w:spacing w:after="0"/>
              <w:rPr>
                <w:sz w:val="1"/>
                <w:szCs w:val="1"/>
                <w:color w:val="auto"/>
              </w:rPr>
            </w:pPr>
          </w:p>
        </w:tc>
      </w:tr>
      <w:tr>
        <w:trPr>
          <w:trHeight w:val="49"/>
        </w:trPr>
        <w:tc>
          <w:tcPr>
            <w:tcW w:w="1020" w:type="dxa"/>
            <w:vAlign w:val="bottom"/>
          </w:tcPr>
          <w:p>
            <w:pPr>
              <w:spacing w:after="0"/>
              <w:rPr>
                <w:sz w:val="4"/>
                <w:szCs w:val="4"/>
                <w:color w:val="auto"/>
              </w:rPr>
            </w:pPr>
          </w:p>
        </w:tc>
        <w:tc>
          <w:tcPr>
            <w:tcW w:w="4160" w:type="dxa"/>
            <w:vAlign w:val="bottom"/>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200" w:type="dxa"/>
            <w:vAlign w:val="bottom"/>
            <w:tcBorders>
              <w:top w:val="single" w:sz="8" w:color="0000FF"/>
              <w:bottom w:val="single" w:sz="8" w:color="0000FF"/>
            </w:tcBorders>
            <w:gridSpan w:val="7"/>
          </w:tcPr>
          <w:p>
            <w:pPr>
              <w:spacing w:after="0" w:line="142" w:lineRule="exact"/>
              <w:rPr>
                <w:rFonts w:ascii="Arial" w:cs="Arial" w:eastAsia="Arial" w:hAnsi="Arial"/>
                <w:sz w:val="14"/>
                <w:szCs w:val="14"/>
                <w:color w:val="0000FF"/>
              </w:rPr>
            </w:pPr>
            <w:hyperlink w:anchor="page110">
              <w:r>
                <w:rPr>
                  <w:rFonts w:ascii="Arial" w:cs="Arial" w:eastAsia="Arial" w:hAnsi="Arial"/>
                  <w:sz w:val="14"/>
                  <w:szCs w:val="14"/>
                  <w:color w:val="0000FF"/>
                </w:rPr>
                <w:t>of the Sarbanes-Oxley Act of 2002</w:t>
              </w:r>
            </w:hyperlink>
          </w:p>
        </w:tc>
        <w:tc>
          <w:tcPr>
            <w:tcW w:w="1900" w:type="dxa"/>
            <w:vAlign w:val="bottom"/>
            <w:tcBorders>
              <w:top w:val="single" w:sz="8" w:color="0000FF"/>
            </w:tcBorders>
            <w:gridSpan w:val="16"/>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580"/>
        </w:trPr>
        <w:tc>
          <w:tcPr>
            <w:tcW w:w="1020" w:type="dxa"/>
            <w:vAlign w:val="bottom"/>
          </w:tcPr>
          <w:p>
            <w:pPr>
              <w:jc w:val="center"/>
              <w:ind w:right="348"/>
              <w:spacing w:after="0"/>
              <w:rPr>
                <w:sz w:val="20"/>
                <w:szCs w:val="20"/>
                <w:color w:val="auto"/>
              </w:rPr>
            </w:pPr>
            <w:r>
              <w:rPr>
                <w:rFonts w:ascii="Arial" w:cs="Arial" w:eastAsia="Arial" w:hAnsi="Arial"/>
                <w:sz w:val="14"/>
                <w:szCs w:val="14"/>
                <w:color w:val="auto"/>
              </w:rPr>
              <w:t>101.INS</w:t>
            </w:r>
          </w:p>
        </w:tc>
        <w:tc>
          <w:tcPr>
            <w:tcW w:w="4160" w:type="dxa"/>
            <w:vAlign w:val="bottom"/>
            <w:gridSpan w:val="26"/>
          </w:tcPr>
          <w:p>
            <w:pPr>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594"/>
        </w:trPr>
        <w:tc>
          <w:tcPr>
            <w:tcW w:w="1020" w:type="dxa"/>
            <w:vAlign w:val="bottom"/>
          </w:tcPr>
          <w:p>
            <w:pPr>
              <w:jc w:val="center"/>
              <w:ind w:right="368"/>
              <w:spacing w:after="0"/>
              <w:rPr>
                <w:sz w:val="20"/>
                <w:szCs w:val="20"/>
                <w:color w:val="auto"/>
              </w:rPr>
            </w:pPr>
            <w:r>
              <w:rPr>
                <w:rFonts w:ascii="Arial" w:cs="Arial" w:eastAsia="Arial" w:hAnsi="Arial"/>
                <w:sz w:val="14"/>
                <w:szCs w:val="14"/>
                <w:color w:val="auto"/>
              </w:rPr>
              <w:t>101.SCH</w:t>
            </w:r>
          </w:p>
        </w:tc>
        <w:tc>
          <w:tcPr>
            <w:tcW w:w="4160" w:type="dxa"/>
            <w:vAlign w:val="bottom"/>
            <w:gridSpan w:val="26"/>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594"/>
        </w:trPr>
        <w:tc>
          <w:tcPr>
            <w:tcW w:w="1020" w:type="dxa"/>
            <w:vAlign w:val="bottom"/>
          </w:tcPr>
          <w:p>
            <w:pPr>
              <w:jc w:val="center"/>
              <w:ind w:right="348"/>
              <w:spacing w:after="0"/>
              <w:rPr>
                <w:sz w:val="20"/>
                <w:szCs w:val="20"/>
                <w:color w:val="auto"/>
              </w:rPr>
            </w:pPr>
            <w:r>
              <w:rPr>
                <w:rFonts w:ascii="Arial" w:cs="Arial" w:eastAsia="Arial" w:hAnsi="Arial"/>
                <w:sz w:val="14"/>
                <w:szCs w:val="14"/>
                <w:color w:val="auto"/>
              </w:rPr>
              <w:t>101.CAL</w:t>
            </w:r>
          </w:p>
        </w:tc>
        <w:tc>
          <w:tcPr>
            <w:tcW w:w="4160" w:type="dxa"/>
            <w:vAlign w:val="bottom"/>
            <w:gridSpan w:val="26"/>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594"/>
        </w:trPr>
        <w:tc>
          <w:tcPr>
            <w:tcW w:w="1020" w:type="dxa"/>
            <w:vAlign w:val="bottom"/>
          </w:tcPr>
          <w:p>
            <w:pPr>
              <w:jc w:val="center"/>
              <w:ind w:right="368"/>
              <w:spacing w:after="0"/>
              <w:rPr>
                <w:sz w:val="20"/>
                <w:szCs w:val="20"/>
                <w:color w:val="auto"/>
              </w:rPr>
            </w:pPr>
            <w:r>
              <w:rPr>
                <w:rFonts w:ascii="Arial" w:cs="Arial" w:eastAsia="Arial" w:hAnsi="Arial"/>
                <w:sz w:val="14"/>
                <w:szCs w:val="14"/>
                <w:color w:val="auto"/>
              </w:rPr>
              <w:t>101.DEF</w:t>
            </w:r>
          </w:p>
        </w:tc>
        <w:tc>
          <w:tcPr>
            <w:tcW w:w="4160" w:type="dxa"/>
            <w:vAlign w:val="bottom"/>
            <w:gridSpan w:val="26"/>
          </w:tcPr>
          <w:p>
            <w:pPr>
              <w:spacing w:after="0"/>
              <w:rPr>
                <w:sz w:val="20"/>
                <w:szCs w:val="20"/>
                <w:color w:val="auto"/>
              </w:rPr>
            </w:pPr>
            <w:r>
              <w:rPr>
                <w:rFonts w:ascii="Arial" w:cs="Arial" w:eastAsia="Arial" w:hAnsi="Arial"/>
                <w:sz w:val="14"/>
                <w:szCs w:val="14"/>
                <w:color w:val="auto"/>
              </w:rPr>
              <w:t>XBRL Taxonomy Extension Definition Linkbase</w:t>
            </w:r>
          </w:p>
        </w:tc>
        <w:tc>
          <w:tcPr>
            <w:tcW w:w="0" w:type="dxa"/>
            <w:vAlign w:val="bottom"/>
          </w:tcPr>
          <w:p>
            <w:pPr>
              <w:spacing w:after="0"/>
              <w:rPr>
                <w:sz w:val="1"/>
                <w:szCs w:val="1"/>
                <w:color w:val="auto"/>
              </w:rPr>
            </w:pPr>
          </w:p>
        </w:tc>
      </w:tr>
      <w:tr>
        <w:trPr>
          <w:trHeight w:val="594"/>
        </w:trPr>
        <w:tc>
          <w:tcPr>
            <w:tcW w:w="1020" w:type="dxa"/>
            <w:vAlign w:val="bottom"/>
          </w:tcPr>
          <w:p>
            <w:pPr>
              <w:jc w:val="center"/>
              <w:ind w:right="368"/>
              <w:spacing w:after="0"/>
              <w:rPr>
                <w:sz w:val="20"/>
                <w:szCs w:val="20"/>
                <w:color w:val="auto"/>
              </w:rPr>
            </w:pPr>
            <w:r>
              <w:rPr>
                <w:rFonts w:ascii="Arial" w:cs="Arial" w:eastAsia="Arial" w:hAnsi="Arial"/>
                <w:sz w:val="14"/>
                <w:szCs w:val="14"/>
                <w:color w:val="auto"/>
              </w:rPr>
              <w:t>101.LAB</w:t>
            </w:r>
          </w:p>
        </w:tc>
        <w:tc>
          <w:tcPr>
            <w:tcW w:w="4160" w:type="dxa"/>
            <w:vAlign w:val="bottom"/>
            <w:gridSpan w:val="26"/>
          </w:tcPr>
          <w:p>
            <w:pPr>
              <w:spacing w:after="0"/>
              <w:rPr>
                <w:sz w:val="20"/>
                <w:szCs w:val="20"/>
                <w:color w:val="auto"/>
              </w:rPr>
            </w:pPr>
            <w:r>
              <w:rPr>
                <w:rFonts w:ascii="Arial" w:cs="Arial" w:eastAsia="Arial" w:hAnsi="Arial"/>
                <w:sz w:val="14"/>
                <w:szCs w:val="14"/>
                <w:color w:val="auto"/>
              </w:rPr>
              <w:t>XBRL Taxonomy Extension Labels Linkbase Document</w:t>
            </w:r>
          </w:p>
        </w:tc>
        <w:tc>
          <w:tcPr>
            <w:tcW w:w="0" w:type="dxa"/>
            <w:vAlign w:val="bottom"/>
          </w:tcPr>
          <w:p>
            <w:pPr>
              <w:spacing w:after="0"/>
              <w:rPr>
                <w:sz w:val="1"/>
                <w:szCs w:val="1"/>
                <w:color w:val="auto"/>
              </w:rPr>
            </w:pPr>
          </w:p>
        </w:tc>
      </w:tr>
      <w:tr>
        <w:trPr>
          <w:trHeight w:val="594"/>
        </w:trPr>
        <w:tc>
          <w:tcPr>
            <w:tcW w:w="1020" w:type="dxa"/>
            <w:vAlign w:val="bottom"/>
          </w:tcPr>
          <w:p>
            <w:pPr>
              <w:jc w:val="center"/>
              <w:ind w:right="368"/>
              <w:spacing w:after="0"/>
              <w:rPr>
                <w:sz w:val="20"/>
                <w:szCs w:val="20"/>
                <w:color w:val="auto"/>
              </w:rPr>
            </w:pPr>
            <w:r>
              <w:rPr>
                <w:rFonts w:ascii="Arial" w:cs="Arial" w:eastAsia="Arial" w:hAnsi="Arial"/>
                <w:sz w:val="14"/>
                <w:szCs w:val="14"/>
                <w:color w:val="auto"/>
              </w:rPr>
              <w:t>101.PRE</w:t>
            </w:r>
          </w:p>
        </w:tc>
        <w:tc>
          <w:tcPr>
            <w:tcW w:w="4160" w:type="dxa"/>
            <w:vAlign w:val="bottom"/>
            <w:gridSpan w:val="26"/>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1020" w:right="420" w:hanging="356"/>
        <w:spacing w:after="0" w:line="281" w:lineRule="auto"/>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1" w:lineRule="exact"/>
        <w:rPr>
          <w:sz w:val="20"/>
          <w:szCs w:val="20"/>
          <w:color w:val="auto"/>
        </w:rPr>
      </w:pPr>
    </w:p>
    <w:p>
      <w:pPr>
        <w:jc w:val="both"/>
        <w:ind w:left="1020" w:right="40" w:hanging="356"/>
        <w:spacing w:after="0" w:line="266" w:lineRule="auto"/>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Portions of this exhibit have been omitted due to a determination by the Securities and Exchange Commission that these portions should be granted confidential treatment.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700" w:type="dxa"/>
            <w:vAlign w:val="bottom"/>
          </w:tcPr>
          <w:p>
            <w:pPr>
              <w:jc w:val="center"/>
              <w:ind w:right="268"/>
              <w:spacing w:after="0"/>
              <w:rPr>
                <w:sz w:val="20"/>
                <w:szCs w:val="20"/>
                <w:color w:val="auto"/>
              </w:rPr>
            </w:pPr>
            <w:r>
              <w:rPr>
                <w:rFonts w:ascii="Arial" w:cs="Arial" w:eastAsia="Arial" w:hAnsi="Arial"/>
                <w:sz w:val="14"/>
                <w:szCs w:val="14"/>
                <w:color w:val="auto"/>
              </w:rPr>
              <w:t>S-1/A</w:t>
            </w:r>
          </w:p>
        </w:tc>
        <w:tc>
          <w:tcPr>
            <w:tcW w:w="138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880" w:type="dxa"/>
            <w:vAlign w:val="bottom"/>
          </w:tcPr>
          <w:p>
            <w:pPr>
              <w:jc w:val="center"/>
              <w:spacing w:after="0"/>
              <w:rPr>
                <w:sz w:val="20"/>
                <w:szCs w:val="20"/>
                <w:color w:val="auto"/>
              </w:rPr>
            </w:pPr>
            <w:r>
              <w:rPr>
                <w:rFonts w:ascii="Arial" w:cs="Arial" w:eastAsia="Arial" w:hAnsi="Arial"/>
                <w:sz w:val="14"/>
                <w:szCs w:val="14"/>
                <w:color w:val="auto"/>
              </w:rPr>
              <w:t>10.14</w:t>
            </w:r>
          </w:p>
        </w:tc>
        <w:tc>
          <w:tcPr>
            <w:tcW w:w="1580" w:type="dxa"/>
            <w:vAlign w:val="bottom"/>
          </w:tcPr>
          <w:p>
            <w:pPr>
              <w:jc w:val="center"/>
              <w:ind w:left="188"/>
              <w:spacing w:after="0"/>
              <w:rPr>
                <w:sz w:val="20"/>
                <w:szCs w:val="20"/>
                <w:color w:val="auto"/>
              </w:rPr>
            </w:pPr>
            <w:r>
              <w:rPr>
                <w:rFonts w:ascii="Arial" w:cs="Arial" w:eastAsia="Arial" w:hAnsi="Arial"/>
                <w:sz w:val="14"/>
                <w:szCs w:val="14"/>
                <w:color w:val="auto"/>
              </w:rPr>
              <w:t>September 12, 2012</w:t>
            </w:r>
          </w:p>
        </w:tc>
      </w:tr>
      <w:tr>
        <w:trPr>
          <w:trHeight w:val="648"/>
        </w:trPr>
        <w:tc>
          <w:tcPr>
            <w:tcW w:w="700" w:type="dxa"/>
            <w:vAlign w:val="bottom"/>
          </w:tcPr>
          <w:p>
            <w:pPr>
              <w:jc w:val="center"/>
              <w:ind w:right="268"/>
              <w:spacing w:after="0"/>
              <w:rPr>
                <w:sz w:val="20"/>
                <w:szCs w:val="20"/>
                <w:color w:val="auto"/>
              </w:rPr>
            </w:pPr>
            <w:r>
              <w:rPr>
                <w:rFonts w:ascii="Arial" w:cs="Arial" w:eastAsia="Arial" w:hAnsi="Arial"/>
                <w:sz w:val="14"/>
                <w:szCs w:val="14"/>
                <w:color w:val="auto"/>
              </w:rPr>
              <w:t>S-1/A</w:t>
            </w:r>
          </w:p>
        </w:tc>
        <w:tc>
          <w:tcPr>
            <w:tcW w:w="138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880" w:type="dxa"/>
            <w:vAlign w:val="bottom"/>
          </w:tcPr>
          <w:p>
            <w:pPr>
              <w:jc w:val="center"/>
              <w:spacing w:after="0"/>
              <w:rPr>
                <w:sz w:val="20"/>
                <w:szCs w:val="20"/>
                <w:color w:val="auto"/>
              </w:rPr>
            </w:pPr>
            <w:r>
              <w:rPr>
                <w:rFonts w:ascii="Arial" w:cs="Arial" w:eastAsia="Arial" w:hAnsi="Arial"/>
                <w:sz w:val="14"/>
                <w:szCs w:val="14"/>
                <w:color w:val="auto"/>
              </w:rPr>
              <w:t>10.15</w:t>
            </w:r>
          </w:p>
        </w:tc>
        <w:tc>
          <w:tcPr>
            <w:tcW w:w="1580" w:type="dxa"/>
            <w:vAlign w:val="bottom"/>
          </w:tcPr>
          <w:p>
            <w:pPr>
              <w:jc w:val="center"/>
              <w:ind w:left="188"/>
              <w:spacing w:after="0"/>
              <w:rPr>
                <w:sz w:val="20"/>
                <w:szCs w:val="20"/>
                <w:color w:val="auto"/>
              </w:rPr>
            </w:pPr>
            <w:r>
              <w:rPr>
                <w:rFonts w:ascii="Arial" w:cs="Arial" w:eastAsia="Arial" w:hAnsi="Arial"/>
                <w:sz w:val="14"/>
                <w:szCs w:val="14"/>
                <w:color w:val="auto"/>
              </w:rPr>
              <w:t>September 12, 2012</w:t>
            </w:r>
          </w:p>
        </w:tc>
      </w:tr>
      <w:tr>
        <w:trPr>
          <w:trHeight w:val="648"/>
        </w:trPr>
        <w:tc>
          <w:tcPr>
            <w:tcW w:w="700" w:type="dxa"/>
            <w:vAlign w:val="bottom"/>
          </w:tcPr>
          <w:p>
            <w:pPr>
              <w:jc w:val="center"/>
              <w:ind w:right="268"/>
              <w:spacing w:after="0"/>
              <w:rPr>
                <w:sz w:val="20"/>
                <w:szCs w:val="20"/>
                <w:color w:val="auto"/>
              </w:rPr>
            </w:pPr>
            <w:r>
              <w:rPr>
                <w:rFonts w:ascii="Arial" w:cs="Arial" w:eastAsia="Arial" w:hAnsi="Arial"/>
                <w:sz w:val="14"/>
                <w:szCs w:val="14"/>
                <w:color w:val="auto"/>
              </w:rPr>
              <w:t>S-1/A</w:t>
            </w:r>
          </w:p>
        </w:tc>
        <w:tc>
          <w:tcPr>
            <w:tcW w:w="138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880" w:type="dxa"/>
            <w:vAlign w:val="bottom"/>
          </w:tcPr>
          <w:p>
            <w:pPr>
              <w:jc w:val="center"/>
              <w:spacing w:after="0"/>
              <w:rPr>
                <w:sz w:val="20"/>
                <w:szCs w:val="20"/>
                <w:color w:val="auto"/>
              </w:rPr>
            </w:pPr>
            <w:r>
              <w:rPr>
                <w:rFonts w:ascii="Arial" w:cs="Arial" w:eastAsia="Arial" w:hAnsi="Arial"/>
                <w:sz w:val="14"/>
                <w:szCs w:val="14"/>
                <w:color w:val="auto"/>
              </w:rPr>
              <w:t>10.16</w:t>
            </w:r>
          </w:p>
        </w:tc>
        <w:tc>
          <w:tcPr>
            <w:tcW w:w="1580" w:type="dxa"/>
            <w:vAlign w:val="bottom"/>
          </w:tcPr>
          <w:p>
            <w:pPr>
              <w:jc w:val="center"/>
              <w:ind w:left="188"/>
              <w:spacing w:after="0"/>
              <w:rPr>
                <w:sz w:val="20"/>
                <w:szCs w:val="20"/>
                <w:color w:val="auto"/>
              </w:rPr>
            </w:pPr>
            <w:r>
              <w:rPr>
                <w:rFonts w:ascii="Arial" w:cs="Arial" w:eastAsia="Arial" w:hAnsi="Arial"/>
                <w:sz w:val="14"/>
                <w:szCs w:val="14"/>
                <w:color w:val="auto"/>
              </w:rPr>
              <w:t>September 12, 2012</w:t>
            </w:r>
          </w:p>
        </w:tc>
      </w:tr>
      <w:tr>
        <w:trPr>
          <w:trHeight w:val="648"/>
        </w:trPr>
        <w:tc>
          <w:tcPr>
            <w:tcW w:w="700" w:type="dxa"/>
            <w:vAlign w:val="bottom"/>
          </w:tcPr>
          <w:p>
            <w:pPr>
              <w:jc w:val="center"/>
              <w:ind w:right="248"/>
              <w:spacing w:after="0"/>
              <w:rPr>
                <w:sz w:val="20"/>
                <w:szCs w:val="20"/>
                <w:color w:val="auto"/>
              </w:rPr>
            </w:pPr>
            <w:r>
              <w:rPr>
                <w:rFonts w:ascii="Arial" w:cs="Arial" w:eastAsia="Arial" w:hAnsi="Arial"/>
                <w:sz w:val="14"/>
                <w:szCs w:val="14"/>
                <w:color w:val="auto"/>
              </w:rPr>
              <w:t>8-K</w:t>
            </w:r>
          </w:p>
        </w:tc>
        <w:tc>
          <w:tcPr>
            <w:tcW w:w="1380" w:type="dxa"/>
            <w:vAlign w:val="bottom"/>
          </w:tcPr>
          <w:p>
            <w:pPr>
              <w:jc w:val="center"/>
              <w:ind w:left="28"/>
              <w:spacing w:after="0"/>
              <w:rPr>
                <w:sz w:val="20"/>
                <w:szCs w:val="20"/>
                <w:color w:val="auto"/>
              </w:rPr>
            </w:pPr>
            <w:r>
              <w:rPr>
                <w:rFonts w:ascii="Arial" w:cs="Arial" w:eastAsia="Arial" w:hAnsi="Arial"/>
                <w:sz w:val="14"/>
                <w:szCs w:val="14"/>
                <w:color w:val="auto"/>
              </w:rPr>
              <w:t>001-35662</w:t>
            </w:r>
          </w:p>
        </w:tc>
        <w:tc>
          <w:tcPr>
            <w:tcW w:w="880" w:type="dxa"/>
            <w:vAlign w:val="bottom"/>
          </w:tcPr>
          <w:p>
            <w:pPr>
              <w:jc w:val="center"/>
              <w:spacing w:after="0"/>
              <w:rPr>
                <w:sz w:val="20"/>
                <w:szCs w:val="20"/>
                <w:color w:val="auto"/>
              </w:rPr>
            </w:pPr>
            <w:r>
              <w:rPr>
                <w:rFonts w:ascii="Arial" w:cs="Arial" w:eastAsia="Arial" w:hAnsi="Arial"/>
                <w:sz w:val="14"/>
                <w:szCs w:val="14"/>
                <w:color w:val="auto"/>
              </w:rPr>
              <w:t>10.1</w:t>
            </w:r>
          </w:p>
        </w:tc>
        <w:tc>
          <w:tcPr>
            <w:tcW w:w="1580" w:type="dxa"/>
            <w:vAlign w:val="bottom"/>
          </w:tcPr>
          <w:p>
            <w:pPr>
              <w:jc w:val="center"/>
              <w:ind w:left="188"/>
              <w:spacing w:after="0"/>
              <w:rPr>
                <w:sz w:val="20"/>
                <w:szCs w:val="20"/>
                <w:color w:val="auto"/>
              </w:rPr>
            </w:pPr>
            <w:r>
              <w:rPr>
                <w:rFonts w:ascii="Arial" w:cs="Arial" w:eastAsia="Arial" w:hAnsi="Arial"/>
                <w:sz w:val="14"/>
                <w:szCs w:val="14"/>
                <w:color w:val="auto"/>
              </w:rPr>
              <w:t>July 31, 2018</w:t>
            </w:r>
          </w:p>
        </w:tc>
      </w:tr>
    </w:tbl>
    <w:p>
      <w:pPr>
        <w:spacing w:after="0" w:line="12506" w:lineRule="exact"/>
        <w:rPr>
          <w:sz w:val="20"/>
          <w:szCs w:val="20"/>
          <w:color w:val="auto"/>
        </w:rPr>
      </w:pPr>
    </w:p>
    <w:p>
      <w:pPr>
        <w:sectPr>
          <w:pgSz w:w="11900" w:h="16838" w:orient="portrait"/>
          <w:cols w:equalWidth="0" w:num="3">
            <w:col w:w="5160" w:space="460"/>
            <w:col w:w="160" w:space="720"/>
            <w:col w:w="4540"/>
          </w:cols>
          <w:pgMar w:left="300" w:top="329" w:right="5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040"/>
          </w:cols>
          <w:pgMar w:left="300" w:top="329" w:right="559" w:bottom="0" w:gutter="0" w:footer="0" w:header="0"/>
          <w:type w:val="continuous"/>
        </w:sectPr>
      </w:pPr>
    </w:p>
    <w:bookmarkStart w:id="100" w:name="page101"/>
    <w:bookmarkEnd w:id="10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in the City of Foster City, State of California on February 27, 2019.</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QUALYS, INC.</w:t>
      </w:r>
    </w:p>
    <w:p>
      <w:pPr>
        <w:spacing w:after="0" w:line="185" w:lineRule="exact"/>
        <w:rPr>
          <w:sz w:val="20"/>
          <w:szCs w:val="20"/>
          <w:color w:val="auto"/>
        </w:rPr>
      </w:pPr>
    </w:p>
    <w:p>
      <w:pPr>
        <w:ind w:left="7660"/>
        <w:spacing w:after="0"/>
        <w:tabs>
          <w:tab w:leader="none" w:pos="8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PHILIPPE F. COURTOT</w:t>
      </w:r>
    </w:p>
    <w:p>
      <w:pPr>
        <w:spacing w:after="0" w:line="63"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Philippe F. Courtot</w:t>
      </w:r>
    </w:p>
    <w:p>
      <w:pPr>
        <w:spacing w:after="0" w:line="63"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Chairman, President and Chief</w:t>
      </w:r>
    </w:p>
    <w:p>
      <w:pPr>
        <w:spacing w:after="0" w:line="27"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45"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00"/>
          </w:cols>
          <w:pgMar w:left="240" w:top="121" w:right="35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pacing w:after="0" w:line="324"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Title</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r>
      <w:tr>
        <w:trPr>
          <w:trHeight w:val="522"/>
        </w:trPr>
        <w:tc>
          <w:tcPr>
            <w:tcW w:w="2300" w:type="dxa"/>
            <w:vAlign w:val="bottom"/>
          </w:tcPr>
          <w:p>
            <w:pPr>
              <w:spacing w:after="0"/>
              <w:rPr>
                <w:sz w:val="24"/>
                <w:szCs w:val="24"/>
                <w:color w:val="auto"/>
              </w:rPr>
            </w:pP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Chairman, President and Chief</w:t>
            </w:r>
          </w:p>
        </w:tc>
        <w:tc>
          <w:tcPr>
            <w:tcW w:w="136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Executive Officer (principal</w:t>
            </w:r>
          </w:p>
        </w:tc>
        <w:tc>
          <w:tcPr>
            <w:tcW w:w="1360" w:type="dxa"/>
            <w:vAlign w:val="bottom"/>
          </w:tcPr>
          <w:p>
            <w:pPr>
              <w:spacing w:after="0"/>
              <w:rPr>
                <w:sz w:val="18"/>
                <w:szCs w:val="18"/>
                <w:color w:val="auto"/>
              </w:rPr>
            </w:pPr>
          </w:p>
        </w:tc>
      </w:tr>
      <w:tr>
        <w:trPr>
          <w:trHeight w:val="23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PHILIPPE F. COURTOT</w:t>
            </w: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executive officer)</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February 27, 2019</w:t>
            </w:r>
          </w:p>
        </w:tc>
      </w:tr>
      <w:tr>
        <w:trPr>
          <w:trHeight w:val="27"/>
        </w:trPr>
        <w:tc>
          <w:tcPr>
            <w:tcW w:w="230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Philippe F. Courtot</w:t>
            </w:r>
          </w:p>
        </w:tc>
        <w:tc>
          <w:tcPr>
            <w:tcW w:w="4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22"/>
        </w:trPr>
        <w:tc>
          <w:tcPr>
            <w:tcW w:w="2300" w:type="dxa"/>
            <w:vAlign w:val="bottom"/>
          </w:tcPr>
          <w:p>
            <w:pPr>
              <w:spacing w:after="0"/>
              <w:rPr>
                <w:sz w:val="24"/>
                <w:szCs w:val="24"/>
                <w:color w:val="auto"/>
              </w:rPr>
            </w:pP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36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(principal financial and</w:t>
            </w:r>
          </w:p>
        </w:tc>
        <w:tc>
          <w:tcPr>
            <w:tcW w:w="1360" w:type="dxa"/>
            <w:vAlign w:val="bottom"/>
          </w:tcPr>
          <w:p>
            <w:pPr>
              <w:spacing w:after="0"/>
              <w:rPr>
                <w:sz w:val="18"/>
                <w:szCs w:val="18"/>
                <w:color w:val="auto"/>
              </w:rPr>
            </w:pPr>
          </w:p>
        </w:tc>
      </w:tr>
      <w:tr>
        <w:trPr>
          <w:trHeight w:val="23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MELISSA B. FISHER</w:t>
            </w: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accounting officer)</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February 27, 2019</w:t>
            </w:r>
          </w:p>
        </w:tc>
      </w:tr>
      <w:tr>
        <w:trPr>
          <w:trHeight w:val="27"/>
        </w:trPr>
        <w:tc>
          <w:tcPr>
            <w:tcW w:w="230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Melissa B. Fisher</w:t>
            </w:r>
          </w:p>
        </w:tc>
        <w:tc>
          <w:tcPr>
            <w:tcW w:w="4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22"/>
        </w:trPr>
        <w:tc>
          <w:tcPr>
            <w:tcW w:w="2300" w:type="dxa"/>
            <w:vAlign w:val="bottom"/>
          </w:tcPr>
          <w:p>
            <w:pPr>
              <w:spacing w:after="0"/>
              <w:rPr>
                <w:sz w:val="24"/>
                <w:szCs w:val="24"/>
                <w:color w:val="auto"/>
              </w:rPr>
            </w:pP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Vice President of Finance;</w:t>
            </w:r>
          </w:p>
        </w:tc>
        <w:tc>
          <w:tcPr>
            <w:tcW w:w="136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Corporate Controller (Principle</w:t>
            </w:r>
          </w:p>
        </w:tc>
        <w:tc>
          <w:tcPr>
            <w:tcW w:w="1360" w:type="dxa"/>
            <w:vAlign w:val="bottom"/>
          </w:tcPr>
          <w:p>
            <w:pPr>
              <w:spacing w:after="0"/>
              <w:rPr>
                <w:sz w:val="18"/>
                <w:szCs w:val="18"/>
                <w:color w:val="auto"/>
              </w:rPr>
            </w:pPr>
          </w:p>
        </w:tc>
      </w:tr>
      <w:tr>
        <w:trPr>
          <w:trHeight w:val="23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SHEILA W. CHEUNG</w:t>
            </w: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Accounting Officer)</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February 27, 2019</w:t>
            </w:r>
          </w:p>
        </w:tc>
      </w:tr>
      <w:tr>
        <w:trPr>
          <w:trHeight w:val="27"/>
        </w:trPr>
        <w:tc>
          <w:tcPr>
            <w:tcW w:w="230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W. Cheung</w:t>
            </w:r>
          </w:p>
        </w:tc>
        <w:tc>
          <w:tcPr>
            <w:tcW w:w="4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4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SANDRA E. BERGERON</w:t>
            </w: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Director</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February 27, 2019</w:t>
            </w:r>
          </w:p>
        </w:tc>
      </w:tr>
      <w:tr>
        <w:trPr>
          <w:trHeight w:val="27"/>
        </w:trPr>
        <w:tc>
          <w:tcPr>
            <w:tcW w:w="230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Sandra Bergeron</w:t>
            </w:r>
          </w:p>
        </w:tc>
        <w:tc>
          <w:tcPr>
            <w:tcW w:w="4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67"/>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JEFFREY P. HANK</w:t>
            </w: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Director</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February 27, 2019</w:t>
            </w:r>
          </w:p>
        </w:tc>
      </w:tr>
      <w:tr>
        <w:trPr>
          <w:trHeight w:val="27"/>
        </w:trPr>
        <w:tc>
          <w:tcPr>
            <w:tcW w:w="230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P. Hank</w:t>
            </w:r>
          </w:p>
        </w:tc>
        <w:tc>
          <w:tcPr>
            <w:tcW w:w="4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4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GENERAL PETER PACE</w:t>
            </w: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Director</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February 27, 2019</w:t>
            </w:r>
          </w:p>
        </w:tc>
      </w:tr>
      <w:tr>
        <w:trPr>
          <w:trHeight w:val="27"/>
        </w:trPr>
        <w:tc>
          <w:tcPr>
            <w:tcW w:w="230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Peter Pace</w:t>
            </w:r>
          </w:p>
        </w:tc>
        <w:tc>
          <w:tcPr>
            <w:tcW w:w="4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4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KRISTI M. ROGERS</w:t>
            </w: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Director</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February 27, 2019</w:t>
            </w:r>
          </w:p>
        </w:tc>
      </w:tr>
      <w:tr>
        <w:trPr>
          <w:trHeight w:val="27"/>
        </w:trPr>
        <w:tc>
          <w:tcPr>
            <w:tcW w:w="230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 M. Rogers</w:t>
            </w:r>
          </w:p>
        </w:tc>
        <w:tc>
          <w:tcPr>
            <w:tcW w:w="4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67"/>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PATRICIA HATTER</w:t>
            </w: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Director</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February 27, 2019</w:t>
            </w:r>
          </w:p>
        </w:tc>
      </w:tr>
      <w:tr>
        <w:trPr>
          <w:trHeight w:val="27"/>
        </w:trPr>
        <w:tc>
          <w:tcPr>
            <w:tcW w:w="230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Hatter</w:t>
            </w:r>
          </w:p>
        </w:tc>
        <w:tc>
          <w:tcPr>
            <w:tcW w:w="4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67"/>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JASON REAM</w:t>
            </w:r>
          </w:p>
        </w:tc>
        <w:tc>
          <w:tcPr>
            <w:tcW w:w="46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Director</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February 27, 2019</w:t>
            </w:r>
          </w:p>
        </w:tc>
      </w:tr>
      <w:tr>
        <w:trPr>
          <w:trHeight w:val="27"/>
        </w:trPr>
        <w:tc>
          <w:tcPr>
            <w:tcW w:w="230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Ream</w:t>
            </w:r>
          </w:p>
        </w:tc>
        <w:tc>
          <w:tcPr>
            <w:tcW w:w="4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706"/>
        </w:trPr>
        <w:tc>
          <w:tcPr>
            <w:tcW w:w="2300" w:type="dxa"/>
            <w:vAlign w:val="bottom"/>
          </w:tcPr>
          <w:p>
            <w:pPr>
              <w:spacing w:after="0"/>
              <w:rPr>
                <w:sz w:val="24"/>
                <w:szCs w:val="24"/>
                <w:color w:val="auto"/>
              </w:rPr>
            </w:pPr>
          </w:p>
        </w:tc>
        <w:tc>
          <w:tcPr>
            <w:tcW w:w="4620" w:type="dxa"/>
            <w:vAlign w:val="bottom"/>
          </w:tcPr>
          <w:p>
            <w:pPr>
              <w:ind w:left="2160"/>
              <w:spacing w:after="0"/>
              <w:rPr>
                <w:sz w:val="20"/>
                <w:szCs w:val="20"/>
                <w:color w:val="auto"/>
              </w:rPr>
            </w:pPr>
            <w:r>
              <w:rPr>
                <w:rFonts w:ascii="Arial" w:cs="Arial" w:eastAsia="Arial" w:hAnsi="Arial"/>
                <w:sz w:val="18"/>
                <w:szCs w:val="18"/>
                <w:color w:val="auto"/>
              </w:rPr>
              <w:t>100</w:t>
            </w:r>
          </w:p>
        </w:tc>
        <w:tc>
          <w:tcPr>
            <w:tcW w:w="1360" w:type="dxa"/>
            <w:vAlign w:val="bottom"/>
          </w:tcPr>
          <w:p>
            <w:pPr>
              <w:spacing w:after="0"/>
              <w:rPr>
                <w:sz w:val="24"/>
                <w:szCs w:val="24"/>
                <w:color w:val="auto"/>
              </w:rPr>
            </w:pPr>
          </w:p>
        </w:tc>
      </w:tr>
    </w:tbl>
    <w:p>
      <w:pPr>
        <w:sectPr>
          <w:pgSz w:w="11900" w:h="16838" w:orient="portrait"/>
          <w:cols w:equalWidth="0" w:num="1">
            <w:col w:w="11240"/>
          </w:cols>
          <w:pgMar w:left="240" w:top="121" w:right="41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tcPr>
          <w:p>
            <w:pPr>
              <w:spacing w:after="0"/>
              <w:rPr>
                <w:sz w:val="21"/>
                <w:szCs w:val="21"/>
                <w:color w:val="auto"/>
              </w:rPr>
            </w:pPr>
          </w:p>
        </w:tc>
        <w:tc>
          <w:tcPr>
            <w:tcW w:w="5920" w:type="dxa"/>
            <w:vAlign w:val="bottom"/>
            <w:gridSpan w:val="2"/>
          </w:tcPr>
          <w:p>
            <w:pPr>
              <w:ind w:left="60"/>
              <w:spacing w:after="0"/>
              <w:rPr>
                <w:sz w:val="20"/>
                <w:szCs w:val="20"/>
                <w:color w:val="auto"/>
              </w:rPr>
            </w:pPr>
            <w:r>
              <w:rPr>
                <w:rFonts w:ascii="Arial" w:cs="Arial" w:eastAsia="Arial" w:hAnsi="Arial"/>
                <w:sz w:val="18"/>
                <w:szCs w:val="18"/>
                <w:color w:val="auto"/>
              </w:rPr>
              <w:t>Exhibit 21.1</w:t>
            </w:r>
          </w:p>
        </w:tc>
        <w:tc>
          <w:tcPr>
            <w:tcW w:w="0" w:type="dxa"/>
            <w:vAlign w:val="bottom"/>
          </w:tcPr>
          <w:p>
            <w:pPr>
              <w:spacing w:after="0"/>
              <w:rPr>
                <w:sz w:val="1"/>
                <w:szCs w:val="1"/>
                <w:color w:val="auto"/>
              </w:rPr>
            </w:pPr>
          </w:p>
        </w:tc>
      </w:tr>
      <w:tr>
        <w:trPr>
          <w:trHeight w:val="648"/>
        </w:trPr>
        <w:tc>
          <w:tcPr>
            <w:tcW w:w="5500" w:type="dxa"/>
            <w:vAlign w:val="bottom"/>
          </w:tcPr>
          <w:p>
            <w:pPr>
              <w:ind w:left="660"/>
              <w:spacing w:after="0"/>
              <w:rPr>
                <w:sz w:val="20"/>
                <w:szCs w:val="20"/>
                <w:color w:val="auto"/>
              </w:rPr>
            </w:pPr>
            <w:r>
              <w:rPr>
                <w:rFonts w:ascii="Arial" w:cs="Arial" w:eastAsia="Arial" w:hAnsi="Arial"/>
                <w:sz w:val="18"/>
                <w:szCs w:val="18"/>
                <w:color w:val="auto"/>
              </w:rPr>
              <w:t>List of subsidiaries of Qualys, Inc.</w:t>
            </w:r>
          </w:p>
        </w:tc>
        <w:tc>
          <w:tcPr>
            <w:tcW w:w="3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6"/>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2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International, Inc.</w:t>
            </w:r>
          </w:p>
        </w:tc>
        <w:tc>
          <w:tcPr>
            <w:tcW w:w="3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52"/>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Brazil Desenvolvimento de Produtos e Consultoria de Tecnologias</w:t>
            </w:r>
          </w:p>
        </w:tc>
        <w:tc>
          <w:tcPr>
            <w:tcW w:w="320" w:type="dxa"/>
            <w:vAlign w:val="bottom"/>
          </w:tcPr>
          <w:p>
            <w:pPr>
              <w:spacing w:after="0"/>
              <w:rPr>
                <w:sz w:val="21"/>
                <w:szCs w:val="21"/>
                <w:color w:val="auto"/>
              </w:rPr>
            </w:pPr>
          </w:p>
        </w:tc>
        <w:tc>
          <w:tcPr>
            <w:tcW w:w="56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126"/>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 Seguranca LTDA.</w:t>
            </w:r>
          </w:p>
        </w:tc>
        <w:tc>
          <w:tcPr>
            <w:tcW w:w="320" w:type="dxa"/>
            <w:vAlign w:val="bottom"/>
          </w:tcPr>
          <w:p>
            <w:pPr>
              <w:spacing w:after="0"/>
              <w:rPr>
                <w:sz w:val="10"/>
                <w:szCs w:val="10"/>
                <w:color w:val="auto"/>
              </w:rPr>
            </w:pPr>
          </w:p>
        </w:tc>
        <w:tc>
          <w:tcPr>
            <w:tcW w:w="5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Canada, Ltd.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Technologies, S.A.</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GmbH</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Hong Kong Limited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Security TechServices Private Ltd.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Japan K.K.</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Singapore Pte. Ltd.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Middle East FZE</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Ltd.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Australia Pty Ltd.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Switzerland Sarl</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Colombia S.A.S.</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South Africa Proprietary Limited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Qualys Netherlands B.V.</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08"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issued our reports dated February 27, 2019 with respect to the consolidated financial statements, schedule and internal control over financial reporting included in the Annual Report of Qualys, Inc. on Form 10-K for the year ended December 31, 2018. We consent to the incorporation by reference of said reports in the Registration Statements of Qualys, Inc. on Forms S-8 (File Nos. 333-184394, 333-193576, 333-202587, 333- 209735, 333-216232, and 333-223192).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ectPr>
          <w:pgSz w:w="11900" w:h="16838" w:orient="portrait"/>
          <w:cols w:equalWidth="0" w:num="1">
            <w:col w:w="11340"/>
          </w:cols>
          <w:pgMar w:left="320" w:top="1249"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33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980" w:hanging="324"/>
        <w:spacing w:after="0" w:line="271" w:lineRule="auto"/>
        <w:tabs>
          <w:tab w:leader="none" w:pos="93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2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980" w:right="20" w:hanging="324"/>
        <w:spacing w:after="0" w:line="271" w:lineRule="auto"/>
        <w:tabs>
          <w:tab w:leader="none" w:pos="9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Arial" w:cs="Arial" w:eastAsia="Arial" w:hAnsi="Arial"/>
          <w:sz w:val="18"/>
          <w:szCs w:val="18"/>
          <w:color w:val="auto"/>
        </w:rPr>
      </w:pPr>
    </w:p>
    <w:p>
      <w:pPr>
        <w:ind w:left="980" w:hanging="324"/>
        <w:spacing w:after="0" w:line="292" w:lineRule="auto"/>
        <w:tabs>
          <w:tab w:leader="none" w:pos="93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980" w:right="20" w:hanging="324"/>
        <w:spacing w:after="0" w:line="292" w:lineRule="auto"/>
        <w:tabs>
          <w:tab w:leader="none" w:pos="9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27, 2019</w:t>
      </w:r>
    </w:p>
    <w:p>
      <w:pPr>
        <w:spacing w:after="0" w:line="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33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980" w:hanging="324"/>
        <w:spacing w:after="0" w:line="271" w:lineRule="auto"/>
        <w:tabs>
          <w:tab w:leader="none" w:pos="93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2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44"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980" w:right="20" w:hanging="324"/>
        <w:spacing w:after="0" w:line="271" w:lineRule="auto"/>
        <w:tabs>
          <w:tab w:leader="none" w:pos="94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Arial" w:cs="Arial" w:eastAsia="Arial" w:hAnsi="Arial"/>
          <w:sz w:val="18"/>
          <w:szCs w:val="18"/>
          <w:color w:val="auto"/>
        </w:rPr>
      </w:pPr>
    </w:p>
    <w:p>
      <w:pPr>
        <w:ind w:left="980" w:hanging="324"/>
        <w:spacing w:after="0" w:line="292" w:lineRule="auto"/>
        <w:tabs>
          <w:tab w:leader="none" w:pos="93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980" w:right="20" w:hanging="324"/>
        <w:spacing w:after="0" w:line="292" w:lineRule="auto"/>
        <w:tabs>
          <w:tab w:leader="none" w:pos="94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27, 2019</w:t>
      </w:r>
    </w:p>
    <w:p>
      <w:pPr>
        <w:spacing w:after="0" w:line="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31.3</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Sheila W. Cheung, certify that:</w:t>
      </w:r>
    </w:p>
    <w:p>
      <w:pPr>
        <w:spacing w:after="0" w:line="33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980" w:hanging="324"/>
        <w:spacing w:after="0" w:line="271" w:lineRule="auto"/>
        <w:tabs>
          <w:tab w:leader="none" w:pos="93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2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980" w:right="20" w:hanging="324"/>
        <w:spacing w:after="0" w:line="271" w:lineRule="auto"/>
        <w:tabs>
          <w:tab w:leader="none" w:pos="94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Arial" w:cs="Arial" w:eastAsia="Arial" w:hAnsi="Arial"/>
          <w:sz w:val="18"/>
          <w:szCs w:val="18"/>
          <w:color w:val="auto"/>
        </w:rPr>
      </w:pPr>
    </w:p>
    <w:p>
      <w:pPr>
        <w:ind w:left="980" w:hanging="324"/>
        <w:spacing w:after="0" w:line="292" w:lineRule="auto"/>
        <w:tabs>
          <w:tab w:leader="none" w:pos="93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980" w:right="20" w:hanging="324"/>
        <w:spacing w:after="0" w:line="292" w:lineRule="auto"/>
        <w:tabs>
          <w:tab w:leader="none" w:pos="94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27, 2019</w:t>
      </w:r>
    </w:p>
    <w:p>
      <w:pPr>
        <w:spacing w:after="0" w:line="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SHEILA W.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Sheila W. Cheung</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Principle Accounting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ind w:left="260" w:right="2400"/>
        <w:spacing w:after="0" w:line="277"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2018,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70" w:lineRule="exact"/>
        <w:rPr>
          <w:sz w:val="20"/>
          <w:szCs w:val="20"/>
          <w:color w:val="auto"/>
        </w:rPr>
      </w:pPr>
    </w:p>
    <w:p>
      <w:pPr>
        <w:ind w:left="780" w:hanging="272"/>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92" w:lineRule="auto"/>
        <w:tabs>
          <w:tab w:leader="none" w:pos="789"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27, 2019</w:t>
      </w:r>
    </w:p>
    <w:p>
      <w:pPr>
        <w:spacing w:after="0" w:line="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77"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3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2018,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36" w:lineRule="exact"/>
        <w:rPr>
          <w:sz w:val="20"/>
          <w:szCs w:val="20"/>
          <w:color w:val="auto"/>
        </w:rPr>
      </w:pPr>
    </w:p>
    <w:p>
      <w:pPr>
        <w:ind w:left="780" w:hanging="272"/>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92" w:lineRule="auto"/>
        <w:tabs>
          <w:tab w:leader="none" w:pos="789"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27, 2019</w:t>
      </w:r>
    </w:p>
    <w:p>
      <w:pPr>
        <w:spacing w:after="0" w:line="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32.3</w:t>
      </w:r>
    </w:p>
    <w:p>
      <w:pPr>
        <w:spacing w:after="0" w:line="239" w:lineRule="exact"/>
        <w:rPr>
          <w:sz w:val="20"/>
          <w:szCs w:val="20"/>
          <w:color w:val="auto"/>
        </w:rPr>
      </w:pPr>
    </w:p>
    <w:p>
      <w:pPr>
        <w:jc w:val="center"/>
        <w:ind w:left="260" w:right="2400"/>
        <w:spacing w:after="0" w:line="277"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3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2018, as filed with the Securities and Exchange Commission on the date hereof (the “Report”), I, Sheila W. Cheung, Principle Accounting Officer of the Company, certify, pursuant to 18 U.S.C. § 1350, as adopted pursuant to § 906 of the Sarbanes-Oxley Act of 2002, that, to the best of my knowledge:</w:t>
      </w:r>
    </w:p>
    <w:p>
      <w:pPr>
        <w:spacing w:after="0" w:line="136" w:lineRule="exact"/>
        <w:rPr>
          <w:sz w:val="20"/>
          <w:szCs w:val="20"/>
          <w:color w:val="auto"/>
        </w:rPr>
      </w:pPr>
    </w:p>
    <w:p>
      <w:pPr>
        <w:ind w:left="780" w:hanging="272"/>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92" w:lineRule="auto"/>
        <w:tabs>
          <w:tab w:leader="none" w:pos="7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27, 2019</w:t>
      </w:r>
    </w:p>
    <w:p>
      <w:pPr>
        <w:spacing w:after="0" w:line="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SHEILA W.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Sheila W. Cheung</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Principle Accounting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amp;"/>
      <w:numFmt w:val="bullet"/>
      <w:start w:val="1"/>
    </w:lvl>
  </w:abstractNum>
  <w:abstractNum w:abstractNumId="25">
    <w:nsid w:val="6CEAF087"/>
    <w:multiLevelType w:val="hybridMultilevel"/>
    <w:lvl w:ilvl="0">
      <w:lvlJc w:val="left"/>
      <w:lvlText w:val="&amp;"/>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606"/>
    </w:lvl>
  </w:abstractNum>
  <w:abstractNum w:abstractNumId="28">
    <w:nsid w:val="3006C83E"/>
    <w:multiLevelType w:val="hybridMultilevel"/>
    <w:lvl w:ilvl="0">
      <w:lvlJc w:val="left"/>
      <w:lvlText w:val="(%1)"/>
      <w:numFmt w:val="lowerLetter"/>
      <w:start w:val="2"/>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decimal"/>
      <w:start w:val="2"/>
    </w:lvl>
  </w:abstractNum>
  <w:abstractNum w:abstractNumId="36">
    <w:nsid w:val="7724C67E"/>
    <w:multiLevelType w:val="hybridMultilevel"/>
    <w:lvl w:ilvl="0">
      <w:lvlJc w:val="left"/>
      <w:lvlText w:val="(%1)"/>
      <w:numFmt w:val="decimal"/>
      <w:start w:val="1"/>
    </w:lvl>
    <w:lvl w:ilvl="1">
      <w:lvlJc w:val="left"/>
      <w:lvlText w:val="(%2)"/>
      <w:numFmt w:val="decimal"/>
      <w:start w:val="2"/>
    </w:lvl>
  </w:abstractNum>
  <w:abstractNum w:abstractNumId="37">
    <w:nsid w:val="5C482A97"/>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31"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14" Type="http://schemas.openxmlformats.org/officeDocument/2006/relationships/hyperlink" Target="http://www.sec.gov/Archives/edgar/data/1107843/000119312512388433/d355355dex33.htm" TargetMode="External"/><Relationship Id="rId15" Type="http://schemas.openxmlformats.org/officeDocument/2006/relationships/hyperlink" Target="http://www.sec.gov/Archives/edgar/data/1107843/000119312512388433/d355355dex35.htm" TargetMode="External"/><Relationship Id="rId16" Type="http://schemas.openxmlformats.org/officeDocument/2006/relationships/hyperlink" Target="http://www.sec.gov/Archives/edgar/data/1107843/000119312512388433/d355355dex41.htm" TargetMode="External"/><Relationship Id="rId17" Type="http://schemas.openxmlformats.org/officeDocument/2006/relationships/hyperlink" Target="http://www.sec.gov/Archives/edgar/data/1107843/000119312512265366/d355355dex101.htm" TargetMode="External"/><Relationship Id="rId18" Type="http://schemas.openxmlformats.org/officeDocument/2006/relationships/hyperlink" Target="http://www.sec.gov/Archives/edgar/data/1107843/000119312512388433/d355355dex102.htm" TargetMode="External"/><Relationship Id="rId19" Type="http://schemas.openxmlformats.org/officeDocument/2006/relationships/hyperlink" Target="http://www.sec.gov/Archives/edgar/data/1107843/000119312512265366/d355355dex103.htm" TargetMode="External"/><Relationship Id="rId20" Type="http://schemas.openxmlformats.org/officeDocument/2006/relationships/hyperlink" Target="http://www.sec.gov/Archives/edgar/data/1107843/000119312512265366/d355355dex105.htm" TargetMode="External"/><Relationship Id="rId21" Type="http://schemas.openxmlformats.org/officeDocument/2006/relationships/hyperlink" Target="http://www.sec.gov/Archives/edgar/data/1107843/000119312516572647/d166115dex101.htm" TargetMode="External"/><Relationship Id="rId22" Type="http://schemas.openxmlformats.org/officeDocument/2006/relationships/hyperlink" Target="http://www.sec.gov/Archives/edgar/data/1107843/000119312512265366/d355355dex109.htm" TargetMode="External"/><Relationship Id="rId23" Type="http://schemas.openxmlformats.org/officeDocument/2006/relationships/hyperlink" Target="http://www.sec.gov/Archives/edgar/data/1107843/000119312512350036/d355355dex1010.htm" TargetMode="External"/><Relationship Id="rId24" Type="http://schemas.openxmlformats.org/officeDocument/2006/relationships/hyperlink" Target="http://www.sec.gov/Archives/edgar/data/1107843/000119312516741827/d270006dex101.htm" TargetMode="External"/><Relationship Id="rId25" Type="http://schemas.openxmlformats.org/officeDocument/2006/relationships/hyperlink" Target="http://www.sec.gov/Archives/edgar/data/1107843/000119312516554340/d85159ddef14a.htm" TargetMode="External"/><Relationship Id="rId26" Type="http://schemas.openxmlformats.org/officeDocument/2006/relationships/hyperlink" Target="http://www.sec.gov/Archives/edgar/data/1107843/000110784316000030/qlys-201663010qxexhbit103.htm" TargetMode="External"/><Relationship Id="rId27" Type="http://schemas.openxmlformats.org/officeDocument/2006/relationships/hyperlink" Target="http://www.sec.gov/Archives/edgar/data/1107843/000119312512388433/d355355dex1014.htm" TargetMode="External"/><Relationship Id="rId28" Type="http://schemas.openxmlformats.org/officeDocument/2006/relationships/hyperlink" Target="http://www.sec.gov/Archives/edgar/data/1107843/000119312512388433/d355355dex1015.htm" TargetMode="External"/><Relationship Id="rId29" Type="http://schemas.openxmlformats.org/officeDocument/2006/relationships/hyperlink" Target="http://www.sec.gov/Archives/edgar/data/1107843/000119312512388433/d355355dex1016.htm" TargetMode="External"/><Relationship Id="rId30" Type="http://schemas.openxmlformats.org/officeDocument/2006/relationships/hyperlink" Target="http://www.sec.gov/Archives/edgar/data/1107843/000119312518233288/d58973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2019-12-28T15:38:43Z</dcterms:created>
  <dcterms:modified xsi:type="dcterms:W3CDTF">2019-12-28T15:38:43Z</dcterms:modified>
</cp:coreProperties>
</file>