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3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6"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6"/>
          <w:szCs w:val="16"/>
          <w:b w:val="1"/>
          <w:bCs w:val="1"/>
          <w:color w:val="auto"/>
        </w:rPr>
        <w:t>For the Quarterly Period Ended September 30, 2015</w:t>
      </w:r>
    </w:p>
    <w:p>
      <w:pPr>
        <w:spacing w:after="0" w:line="365"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4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85"/>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49" w:right="319" w:bottom="1440" w:gutter="0" w:footer="0" w:header="0"/>
          <w:type w:val="continuous"/>
        </w:sectPr>
      </w:pPr>
    </w:p>
    <w:p>
      <w:pPr>
        <w:spacing w:after="0" w:line="236"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4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9" w:lineRule="exact"/>
        <w:rPr>
          <w:sz w:val="24"/>
          <w:szCs w:val="24"/>
          <w:color w:val="auto"/>
        </w:rPr>
      </w:pPr>
    </w:p>
    <w:p>
      <w:pPr>
        <w:sectPr>
          <w:pgSz w:w="11900" w:h="16838" w:orient="portrait"/>
          <w:cols w:equalWidth="0" w:num="3">
            <w:col w:w="8780" w:space="160"/>
            <w:col w:w="200" w:space="80"/>
            <w:col w:w="2120"/>
          </w:cols>
          <w:pgMar w:left="240" w:top="24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October 30, 2015 was 34,194,842.</w:t>
      </w:r>
    </w:p>
    <w:p>
      <w:pPr>
        <w:sectPr>
          <w:pgSz w:w="11900" w:h="16838" w:orient="portrait"/>
          <w:cols w:equalWidth="0" w:num="1">
            <w:col w:w="1134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540" w:type="dxa"/>
            <w:vAlign w:val="bottom"/>
            <w:gridSpan w:val="9"/>
          </w:tcPr>
          <w:p>
            <w:pPr>
              <w:ind w:left="100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 as of September 30, 2015 and December 31, 2014</w:t>
              </w:r>
            </w:hyperlink>
          </w:p>
        </w:tc>
        <w:tc>
          <w:tcPr>
            <w:tcW w:w="80" w:type="dxa"/>
            <w:vAlign w:val="bottom"/>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600" w:type="dxa"/>
            <w:vAlign w:val="bottom"/>
            <w:tcBorders>
              <w:bottom w:val="single" w:sz="8" w:color="0000EE"/>
            </w:tcBorders>
            <w:gridSpan w:val="16"/>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Statements of Operations for the three and nine months ended September 30, 2015 and 2014</w:t>
              </w:r>
            </w:hyperlink>
          </w:p>
        </w:tc>
        <w:tc>
          <w:tcPr>
            <w:tcW w:w="1200" w:type="dxa"/>
            <w:vAlign w:val="bottom"/>
            <w:gridSpan w:val="2"/>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Comprehensive Income for the three and nine months ended September 30, 2015 and 2014</w:t>
              </w:r>
            </w:hyperlink>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792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Cash Flows for the nine months ended September 30, 2015 and 2014</w:t>
              </w:r>
            </w:hyperlink>
          </w:p>
        </w:tc>
        <w:tc>
          <w:tcPr>
            <w:tcW w:w="1580" w:type="dxa"/>
            <w:vAlign w:val="bottom"/>
            <w:tcBorders>
              <w:top w:val="single" w:sz="8" w:color="0000EE"/>
            </w:tcBorders>
            <w:gridSpan w:val="2"/>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Borders>
              <w:top w:val="single" w:sz="8" w:color="0000EE"/>
              <w:bottom w:val="single" w:sz="8" w:color="0000EE"/>
            </w:tcBorders>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80" w:type="dxa"/>
            <w:vAlign w:val="bottom"/>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8"/>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24</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tcBorders>
              <w:top w:val="single" w:sz="8" w:color="0000EE"/>
              <w:bottom w:val="single" w:sz="8" w:color="0000FF"/>
            </w:tcBorders>
            <w:gridSpan w:val="11"/>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Quantitative and Qualitative Disclosures About Market Risk</w:t>
              </w:r>
            </w:hyperlink>
          </w:p>
        </w:tc>
        <w:tc>
          <w:tcPr>
            <w:tcW w:w="2120" w:type="dxa"/>
            <w:vAlign w:val="bottom"/>
            <w:tcBorders>
              <w:top w:val="single" w:sz="8" w:color="0000EE"/>
            </w:tcBorders>
            <w:gridSpan w:val="2"/>
          </w:tcPr>
          <w:p>
            <w:pPr>
              <w:spacing w:after="0"/>
              <w:rPr>
                <w:sz w:val="19"/>
                <w:szCs w:val="19"/>
                <w:color w:val="auto"/>
              </w:rPr>
            </w:pPr>
          </w:p>
        </w:tc>
        <w:tc>
          <w:tcPr>
            <w:tcW w:w="3440" w:type="dxa"/>
            <w:vAlign w:val="bottom"/>
            <w:gridSpan w:val="5"/>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40</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8"/>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41</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7540" w:type="dxa"/>
            <w:vAlign w:val="bottom"/>
            <w:gridSpan w:val="9"/>
          </w:tcPr>
          <w:p>
            <w:pPr>
              <w:ind w:left="122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42">
              <w:r>
                <w:rPr>
                  <w:rFonts w:ascii="Arial" w:cs="Arial" w:eastAsia="Arial" w:hAnsi="Arial"/>
                  <w:sz w:val="16"/>
                  <w:szCs w:val="16"/>
                  <w:color w:val="0000FF"/>
                  <w:w w:val="99"/>
                </w:rPr>
                <w:t>Legal Proceedings</w:t>
              </w:r>
            </w:hyperlink>
          </w:p>
        </w:tc>
        <w:tc>
          <w:tcPr>
            <w:tcW w:w="8460" w:type="dxa"/>
            <w:vAlign w:val="bottom"/>
            <w:gridSpan w:val="13"/>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42</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42">
              <w:r>
                <w:rPr>
                  <w:rFonts w:ascii="Arial" w:cs="Arial" w:eastAsia="Arial" w:hAnsi="Arial"/>
                  <w:sz w:val="16"/>
                  <w:szCs w:val="16"/>
                  <w:color w:val="0000FF"/>
                  <w:w w:val="98"/>
                </w:rPr>
                <w:t>Risk Factors</w:t>
              </w:r>
            </w:hyperlink>
          </w:p>
        </w:tc>
        <w:tc>
          <w:tcPr>
            <w:tcW w:w="890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42</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8"/>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63</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2"/>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9"/>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63">
              <w:r>
                <w:rPr>
                  <w:rFonts w:ascii="Arial" w:cs="Arial" w:eastAsia="Arial" w:hAnsi="Arial"/>
                  <w:sz w:val="16"/>
                  <w:szCs w:val="16"/>
                  <w:color w:val="0000FF"/>
                  <w:w w:val="99"/>
                </w:rPr>
                <w:t>Other Information</w:t>
              </w:r>
            </w:hyperlink>
          </w:p>
        </w:tc>
        <w:tc>
          <w:tcPr>
            <w:tcW w:w="8540" w:type="dxa"/>
            <w:vAlign w:val="bottom"/>
            <w:gridSpan w:val="14"/>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8"/>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63</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64</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83"/>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94,763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76,504</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79,382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50,714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$622 and $590 as of September 30, 2015 and December 31, 2014, respectively</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37,876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32,993</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Deferred tax assets, current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4,353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8,520</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8,947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6,528</w:t>
            </w:r>
          </w:p>
        </w:tc>
        <w:tc>
          <w:tcPr>
            <w:tcW w:w="0" w:type="dxa"/>
            <w:vAlign w:val="bottom"/>
          </w:tcPr>
          <w:p>
            <w:pPr>
              <w:spacing w:after="0"/>
              <w:rPr>
                <w:sz w:val="1"/>
                <w:szCs w:val="1"/>
                <w:color w:val="auto"/>
              </w:rPr>
            </w:pPr>
          </w:p>
        </w:tc>
      </w:tr>
      <w:tr>
        <w:trPr>
          <w:trHeight w:val="250"/>
        </w:trPr>
        <w:tc>
          <w:tcPr>
            <w:tcW w:w="858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225,321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175,259</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25,732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39,448</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29,965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26,618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13,180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14,119</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1,708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260,024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2,055</w:t>
            </w:r>
          </w:p>
        </w:tc>
        <w:tc>
          <w:tcPr>
            <w:tcW w:w="100" w:type="dxa"/>
            <w:vAlign w:val="bottom"/>
          </w:tcPr>
          <w:p>
            <w:pPr>
              <w:spacing w:after="0"/>
              <w:rPr>
                <w:sz w:val="22"/>
                <w:szCs w:val="22"/>
                <w:color w:val="auto"/>
              </w:rPr>
            </w:pPr>
          </w:p>
        </w:tc>
        <w:tc>
          <w:tcPr>
            <w:tcW w:w="42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5,661</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11,358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revenues, current</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91,939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81,147</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105,352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97,161</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9,884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50"/>
        </w:trPr>
        <w:tc>
          <w:tcPr>
            <w:tcW w:w="858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116,390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108,197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5)</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September 30, 2015 and</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December 31, 2014</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58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34,166,512 and 33,594,285 shares issued and outstanding</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580" w:type="dxa"/>
            <w:vAlign w:val="bottom"/>
          </w:tcPr>
          <w:p>
            <w:pPr>
              <w:ind w:left="280"/>
              <w:spacing w:after="0"/>
              <w:rPr>
                <w:sz w:val="20"/>
                <w:szCs w:val="20"/>
                <w:color w:val="auto"/>
              </w:rPr>
            </w:pPr>
            <w:r>
              <w:rPr>
                <w:rFonts w:ascii="Arial" w:cs="Arial" w:eastAsia="Arial" w:hAnsi="Arial"/>
                <w:sz w:val="14"/>
                <w:szCs w:val="14"/>
                <w:color w:val="auto"/>
              </w:rPr>
              <w:t>at September 30, 2015 and December 31, 2014, respectively</w:t>
            </w:r>
          </w:p>
        </w:tc>
        <w:tc>
          <w:tcPr>
            <w:tcW w:w="16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214,736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195,133</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(32,909)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(43,350)</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181,898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151,827</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260,024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42,469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34,348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119,839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97,006</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8,762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7,421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24,883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21,442</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33,707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26,927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94,956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75,564</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7,564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21,919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19,305</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12,282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11,774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36,501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36,111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6,983</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5,156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19,426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15,112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26,829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23,420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77,846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70,528</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17,110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5,036</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17,007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6,566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34,119</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33,120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33,967</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32,820</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37,938</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37,080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38,202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37,006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4,123</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4,331</w:t>
            </w: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Available-for-sale investments:</w:t>
            </w: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net unrealized gain (loss) on investments, net of tax</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Less: reclassification adjustment for net realized gain (loss) included in net income</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5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net of tax</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50"/>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comprehensive income (loss), net</w:t>
            </w:r>
          </w:p>
        </w:tc>
        <w:tc>
          <w:tcPr>
            <w:tcW w:w="88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(39)</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4,133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4,292</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8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3"/>
        </w:trPr>
        <w:tc>
          <w:tcPr>
            <w:tcW w:w="8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r>
      <w:tr>
        <w:trPr>
          <w:trHeight w:val="264"/>
        </w:trPr>
        <w:tc>
          <w:tcPr>
            <w:tcW w:w="834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4,331</w:t>
            </w:r>
          </w:p>
        </w:tc>
      </w:tr>
      <w:tr>
        <w:trPr>
          <w:trHeight w:val="264"/>
        </w:trPr>
        <w:tc>
          <w:tcPr>
            <w:tcW w:w="8340" w:type="dxa"/>
            <w:vAlign w:val="bottom"/>
          </w:tcPr>
          <w:p>
            <w:pPr>
              <w:ind w:left="2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8,826</w:t>
            </w:r>
          </w:p>
        </w:tc>
      </w:tr>
      <w:tr>
        <w:trPr>
          <w:trHeight w:val="264"/>
        </w:trPr>
        <w:tc>
          <w:tcPr>
            <w:tcW w:w="8340" w:type="dxa"/>
            <w:vAlign w:val="bottom"/>
          </w:tcPr>
          <w:p>
            <w:pPr>
              <w:ind w:left="480"/>
              <w:spacing w:after="0"/>
              <w:rPr>
                <w:sz w:val="20"/>
                <w:szCs w:val="20"/>
                <w:color w:val="auto"/>
              </w:rPr>
            </w:pPr>
            <w:r>
              <w:rPr>
                <w:rFonts w:ascii="Arial" w:cs="Arial" w:eastAsia="Arial" w:hAnsi="Arial"/>
                <w:sz w:val="14"/>
                <w:szCs w:val="14"/>
                <w:color w:val="auto"/>
              </w:rPr>
              <w:t>Bad debt expense</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346</w:t>
            </w:r>
          </w:p>
        </w:tc>
      </w:tr>
      <w:tr>
        <w:trPr>
          <w:trHeight w:val="276"/>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disposal of property and equipment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r>
      <w:tr>
        <w:trPr>
          <w:trHeight w:val="264"/>
        </w:trPr>
        <w:tc>
          <w:tcPr>
            <w:tcW w:w="8340" w:type="dxa"/>
            <w:vAlign w:val="bottom"/>
          </w:tcPr>
          <w:p>
            <w:pPr>
              <w:ind w:left="48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12,678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7,100</w:t>
            </w:r>
          </w:p>
        </w:tc>
      </w:tr>
      <w:tr>
        <w:trPr>
          <w:trHeight w:val="276"/>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w:t>
            </w:r>
          </w:p>
        </w:tc>
      </w:tr>
      <w:tr>
        <w:trPr>
          <w:trHeight w:val="264"/>
        </w:trPr>
        <w:tc>
          <w:tcPr>
            <w:tcW w:w="8340" w:type="dxa"/>
            <w:vAlign w:val="bottom"/>
          </w:tcPr>
          <w:p>
            <w:pPr>
              <w:ind w:left="480"/>
              <w:spacing w:after="0"/>
              <w:rPr>
                <w:sz w:val="20"/>
                <w:szCs w:val="20"/>
                <w:color w:val="auto"/>
              </w:rPr>
            </w:pPr>
            <w:r>
              <w:rPr>
                <w:rFonts w:ascii="Arial" w:cs="Arial" w:eastAsia="Arial" w:hAnsi="Arial"/>
                <w:sz w:val="14"/>
                <w:szCs w:val="14"/>
                <w:color w:val="auto"/>
              </w:rPr>
              <w:t>Excess tax benefits from stock-based compensation</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76"/>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64"/>
        </w:trPr>
        <w:tc>
          <w:tcPr>
            <w:tcW w:w="8340" w:type="dxa"/>
            <w:vAlign w:val="bottom"/>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3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w:t>
            </w:r>
          </w:p>
        </w:tc>
      </w:tr>
      <w:tr>
        <w:trPr>
          <w:trHeight w:val="264"/>
        </w:trPr>
        <w:tc>
          <w:tcPr>
            <w:tcW w:w="8340" w:type="dxa"/>
            <w:vAlign w:val="bottom"/>
          </w:tcPr>
          <w:p>
            <w:pPr>
              <w:ind w:left="70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(1,177)</w:t>
            </w:r>
          </w:p>
        </w:tc>
      </w:tr>
      <w:tr>
        <w:trPr>
          <w:trHeight w:val="276"/>
        </w:trPr>
        <w:tc>
          <w:tcPr>
            <w:tcW w:w="83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8340" w:type="dxa"/>
            <w:vAlign w:val="bottom"/>
          </w:tcPr>
          <w:p>
            <w:pPr>
              <w:ind w:left="700"/>
              <w:spacing w:after="0"/>
              <w:rPr>
                <w:sz w:val="20"/>
                <w:szCs w:val="20"/>
                <w:color w:val="auto"/>
              </w:rPr>
            </w:pPr>
            <w:r>
              <w:rPr>
                <w:rFonts w:ascii="Arial" w:cs="Arial" w:eastAsia="Arial" w:hAnsi="Arial"/>
                <w:sz w:val="14"/>
                <w:szCs w:val="14"/>
                <w:color w:val="auto"/>
              </w:rPr>
              <w:t>Accrued liabilities</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236</w:t>
            </w:r>
          </w:p>
        </w:tc>
      </w:tr>
      <w:tr>
        <w:trPr>
          <w:trHeight w:val="276"/>
        </w:trPr>
        <w:tc>
          <w:tcPr>
            <w:tcW w:w="83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Deferred revenues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10,612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6,907</w:t>
            </w:r>
          </w:p>
        </w:tc>
      </w:tr>
      <w:tr>
        <w:trPr>
          <w:trHeight w:val="264"/>
        </w:trPr>
        <w:tc>
          <w:tcPr>
            <w:tcW w:w="834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r>
      <w:tr>
        <w:trPr>
          <w:trHeight w:val="25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41,668</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24,862</w:t>
            </w:r>
          </w:p>
        </w:tc>
      </w:tr>
      <w:tr>
        <w:trPr>
          <w:trHeight w:val="258"/>
        </w:trPr>
        <w:tc>
          <w:tcPr>
            <w:tcW w:w="83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investments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(88,694)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(117,279)</w:t>
            </w:r>
          </w:p>
        </w:tc>
      </w:tr>
      <w:tr>
        <w:trPr>
          <w:trHeight w:val="264"/>
        </w:trPr>
        <w:tc>
          <w:tcPr>
            <w:tcW w:w="8340" w:type="dxa"/>
            <w:vAlign w:val="bottom"/>
          </w:tcPr>
          <w:p>
            <w:pPr>
              <w:ind w:left="260"/>
              <w:spacing w:after="0"/>
              <w:rPr>
                <w:sz w:val="20"/>
                <w:szCs w:val="20"/>
                <w:color w:val="auto"/>
              </w:rPr>
            </w:pPr>
            <w:r>
              <w:rPr>
                <w:rFonts w:ascii="Arial" w:cs="Arial" w:eastAsia="Arial" w:hAnsi="Arial"/>
                <w:sz w:val="14"/>
                <w:szCs w:val="14"/>
                <w:color w:val="auto"/>
              </w:rPr>
              <w:t>Sales and maturities of investments</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73,340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144,218</w:t>
            </w:r>
          </w:p>
        </w:tc>
      </w:tr>
      <w:tr>
        <w:trPr>
          <w:trHeight w:val="276"/>
        </w:trPr>
        <w:tc>
          <w:tcPr>
            <w:tcW w:w="8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(10,196)</w:t>
            </w:r>
          </w:p>
        </w:tc>
      </w:tr>
      <w:tr>
        <w:trPr>
          <w:trHeight w:val="264"/>
        </w:trPr>
        <w:tc>
          <w:tcPr>
            <w:tcW w:w="83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Capitalized software development costs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(30,318)</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16,743</w:t>
            </w:r>
          </w:p>
        </w:tc>
      </w:tr>
      <w:tr>
        <w:trPr>
          <w:trHeight w:val="258"/>
        </w:trPr>
        <w:tc>
          <w:tcPr>
            <w:tcW w:w="83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5,012</w:t>
            </w:r>
          </w:p>
        </w:tc>
      </w:tr>
      <w:tr>
        <w:trPr>
          <w:trHeight w:val="264"/>
        </w:trPr>
        <w:tc>
          <w:tcPr>
            <w:tcW w:w="8340" w:type="dxa"/>
            <w:vAlign w:val="bottom"/>
          </w:tcPr>
          <w:p>
            <w:pPr>
              <w:ind w:left="260"/>
              <w:spacing w:after="0"/>
              <w:rPr>
                <w:sz w:val="20"/>
                <w:szCs w:val="20"/>
                <w:color w:val="auto"/>
              </w:rPr>
            </w:pPr>
            <w:r>
              <w:rPr>
                <w:rFonts w:ascii="Arial" w:cs="Arial" w:eastAsia="Arial" w:hAnsi="Arial"/>
                <w:sz w:val="14"/>
                <w:szCs w:val="14"/>
                <w:color w:val="auto"/>
              </w:rPr>
              <w:t>Excess tax benefits from stock-based compensation</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131</w:t>
            </w:r>
          </w:p>
        </w:tc>
      </w:tr>
      <w:tr>
        <w:trPr>
          <w:trHeight w:val="270"/>
        </w:trPr>
        <w:tc>
          <w:tcPr>
            <w:tcW w:w="8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Principal payments under capital lease obligations</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r>
      <w:tr>
        <w:trPr>
          <w:trHeight w:val="25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6,909</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4,338</w:t>
            </w:r>
          </w:p>
        </w:tc>
      </w:tr>
      <w:tr>
        <w:trPr>
          <w:trHeight w:val="250"/>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50"/>
        </w:trPr>
        <w:tc>
          <w:tcPr>
            <w:tcW w:w="834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18,259</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45,916</w:t>
            </w:r>
          </w:p>
        </w:tc>
      </w:tr>
      <w:tr>
        <w:trPr>
          <w:trHeight w:val="270"/>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76,504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42,369</w:t>
            </w:r>
          </w:p>
        </w:tc>
      </w:tr>
      <w:tr>
        <w:trPr>
          <w:trHeight w:val="28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94,763</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88,285</w:t>
            </w:r>
          </w:p>
        </w:tc>
      </w:tr>
      <w:tr>
        <w:trPr>
          <w:trHeight w:val="264"/>
        </w:trPr>
        <w:tc>
          <w:tcPr>
            <w:tcW w:w="8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Vesting of early exercised common stock options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r>
    </w:tbl>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280"/>
          </w:cols>
          <w:pgMar w:left="240" w:top="1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80"/>
          </w:cols>
          <w:pgMar w:left="240" w:top="141" w:right="37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2014</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nine month periods ended September 30, 2015 are not necessarily indicative of the results of operations expected for the entire year ending December 31, 2015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2014</w:t>
      </w:r>
      <w:r>
        <w:rPr>
          <w:rFonts w:ascii="Arial" w:cs="Arial" w:eastAsia="Arial" w:hAnsi="Arial"/>
          <w:sz w:val="18"/>
          <w:szCs w:val="18"/>
          <w:color w:val="231F20"/>
        </w:rPr>
        <w:t xml:space="preserve"> filed with the SEC on March 6, 2015.</w:t>
      </w:r>
    </w:p>
    <w:p>
      <w:pPr>
        <w:spacing w:after="0" w:line="211" w:lineRule="exact"/>
        <w:rPr>
          <w:sz w:val="20"/>
          <w:szCs w:val="20"/>
          <w:color w:val="auto"/>
        </w:rPr>
      </w:pPr>
    </w:p>
    <w:p>
      <w:pPr>
        <w:ind w:right="700" w:firstLine="486"/>
        <w:spacing w:after="0" w:line="291" w:lineRule="auto"/>
        <w:rPr>
          <w:sz w:val="20"/>
          <w:szCs w:val="20"/>
          <w:color w:val="auto"/>
        </w:rPr>
      </w:pPr>
      <w:r>
        <w:rPr>
          <w:rFonts w:ascii="Arial" w:cs="Arial" w:eastAsia="Arial" w:hAnsi="Arial"/>
          <w:sz w:val="17"/>
          <w:szCs w:val="17"/>
          <w:color w:val="231F20"/>
        </w:rPr>
        <w:t>Certain prior year amounts related to income taxes have been reclassified to conform to the current year presentation. These reclassifications did not change previously reported total assets, liabilities, stockholders' equity, income from operations or net income.</w:t>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193" w:lineRule="exact"/>
        <w:rPr>
          <w:sz w:val="20"/>
          <w:szCs w:val="20"/>
          <w:color w:val="auto"/>
        </w:rPr>
      </w:pPr>
    </w:p>
    <w:p>
      <w:pPr>
        <w:ind w:right="840" w:firstLine="486"/>
        <w:spacing w:after="0" w:line="26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majority-owned subsidiaries. All significant intercompany transactions and balances have been eliminated upon consolidation.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Correction of Immaterial Error</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During the fourth quarter of 2014, the Company identified an immaterial error in the financial statements of its foreign subsidiaries reporting in the applicable local foreign currencies as their functional currencies, resulting in translation adjustments included as a component of accumulated other comprehensive income (loss) in stockholders' equity. It was determined that the functional currency for the Company's local subsidiaries should be the U.S. dollar. Accordingly, remeasurement gains and losses on monetary assets and liabilities denominated in foreign currencies should be recorded to foreign exchange gains and losses in other income (expense) in the condensed consolidated statements of operations in accordance with GAAP.</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41" w:right="29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6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 xml:space="preserve">The Company reviewed the accounting error utilizing SEC Staff Accounting Bulletin No. 99, “Materiality” and SEC Staff Accounting Bulletin No. 108, “Effects of Prior Year Misstatements on Current Year Financial Statements.” Management evaluated the materiality of this error from a qualitative and quantitative perspective and determined the impact of the errors did not have a material impact on any individual prior period presentation or affect the trend of financial results. However, because the adjustment to correct the cumulative error on the consolidated balance sheets and statements of stockholders' equity would have had a material effect to the Company's consolidated statements of operations for the year ended December 31, 2014, the Company revised its previously reported financial statements for the 2012 and 2013 annual periods in </w:t>
      </w:r>
      <w:r>
        <w:rPr>
          <w:rFonts w:ascii="Arial" w:cs="Arial" w:eastAsia="Arial" w:hAnsi="Arial"/>
          <w:sz w:val="18"/>
          <w:szCs w:val="18"/>
          <w:color w:val="231F20"/>
        </w:rPr>
        <w:t>the Company’s Annual Report on Form 10-K for the year ended</w:t>
      </w:r>
      <w:r>
        <w:rPr>
          <w:rFonts w:ascii="Arial" w:cs="Arial" w:eastAsia="Arial" w:hAnsi="Arial"/>
          <w:sz w:val="18"/>
          <w:szCs w:val="18"/>
          <w:color w:val="auto"/>
        </w:rPr>
        <w:t xml:space="preserve"> December 31, 2014 </w:t>
      </w:r>
      <w:r>
        <w:rPr>
          <w:rFonts w:ascii="Arial" w:cs="Arial" w:eastAsia="Arial" w:hAnsi="Arial"/>
          <w:sz w:val="18"/>
          <w:szCs w:val="18"/>
          <w:color w:val="231F20"/>
        </w:rPr>
        <w:t>filed with the SEC on March 6,</w:t>
      </w:r>
      <w:r>
        <w:rPr>
          <w:rFonts w:ascii="Arial" w:cs="Arial" w:eastAsia="Arial" w:hAnsi="Arial"/>
          <w:sz w:val="18"/>
          <w:szCs w:val="18"/>
          <w:color w:val="auto"/>
        </w:rPr>
        <w:t xml:space="preserve"> </w:t>
      </w:r>
      <w:r>
        <w:rPr>
          <w:rFonts w:ascii="Arial" w:cs="Arial" w:eastAsia="Arial" w:hAnsi="Arial"/>
          <w:sz w:val="18"/>
          <w:szCs w:val="18"/>
          <w:color w:val="231F20"/>
        </w:rPr>
        <w:t xml:space="preserve">2015, </w:t>
      </w:r>
      <w:r>
        <w:rPr>
          <w:rFonts w:ascii="Arial" w:cs="Arial" w:eastAsia="Arial" w:hAnsi="Arial"/>
          <w:sz w:val="18"/>
          <w:szCs w:val="18"/>
          <w:color w:val="000000"/>
        </w:rPr>
        <w:t>to reflect the impact of the immaterial errors that had been corrected</w:t>
      </w:r>
      <w:r>
        <w:rPr>
          <w:rFonts w:ascii="Arial" w:cs="Arial" w:eastAsia="Arial" w:hAnsi="Arial"/>
          <w:sz w:val="18"/>
          <w:szCs w:val="18"/>
          <w:color w:val="231F20"/>
        </w:rPr>
        <w:t>.</w:t>
      </w:r>
    </w:p>
    <w:p>
      <w:pPr>
        <w:spacing w:after="0" w:line="98"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The following table summarizes the correction of previously reported amounts for the three and nine month periods ended September 30, 2014 presented in the accompanying condensed consolidated financial statements (in thousands, except per share data):</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September 30, 2014</w:t>
            </w:r>
          </w:p>
        </w:tc>
      </w:tr>
      <w:tr>
        <w:trPr>
          <w:trHeight w:val="263"/>
        </w:trPr>
        <w:tc>
          <w:tcPr>
            <w:tcW w:w="6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22"/>
                <w:szCs w:val="22"/>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as adjusted</w:t>
            </w:r>
          </w:p>
        </w:tc>
        <w:tc>
          <w:tcPr>
            <w:tcW w:w="10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as adjusted</w:t>
            </w:r>
          </w:p>
        </w:tc>
      </w:tr>
      <w:tr>
        <w:trPr>
          <w:trHeight w:val="264"/>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Condensed Consolidated Statements of Operations:</w:t>
            </w: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r>
      <w:tr>
        <w:trPr>
          <w:trHeight w:val="264"/>
        </w:trPr>
        <w:tc>
          <w:tcPr>
            <w:tcW w:w="6920" w:type="dxa"/>
            <w:vAlign w:val="bottom"/>
          </w:tcPr>
          <w:p>
            <w:pPr>
              <w:ind w:left="20"/>
              <w:spacing w:after="0"/>
              <w:rPr>
                <w:sz w:val="20"/>
                <w:szCs w:val="20"/>
                <w:color w:val="auto"/>
              </w:rPr>
            </w:pPr>
            <w:r>
              <w:rPr>
                <w:rFonts w:ascii="Arial" w:cs="Arial" w:eastAsia="Arial" w:hAnsi="Arial"/>
                <w:sz w:val="14"/>
                <w:szCs w:val="14"/>
                <w:color w:val="auto"/>
              </w:rPr>
              <w:t>Total other income (expense), net</w:t>
            </w:r>
          </w:p>
        </w:tc>
        <w:tc>
          <w:tcPr>
            <w:tcW w:w="12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76"/>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4,331</w:t>
            </w:r>
          </w:p>
        </w:tc>
      </w:tr>
      <w:tr>
        <w:trPr>
          <w:trHeight w:val="264"/>
        </w:trPr>
        <w:tc>
          <w:tcPr>
            <w:tcW w:w="6920" w:type="dxa"/>
            <w:vAlign w:val="bottom"/>
          </w:tcPr>
          <w:p>
            <w:pPr>
              <w:ind w:left="20"/>
              <w:spacing w:after="0"/>
              <w:rPr>
                <w:sz w:val="20"/>
                <w:szCs w:val="20"/>
                <w:color w:val="auto"/>
              </w:rPr>
            </w:pPr>
            <w:r>
              <w:rPr>
                <w:rFonts w:ascii="Arial" w:cs="Arial" w:eastAsia="Arial" w:hAnsi="Arial"/>
                <w:sz w:val="14"/>
                <w:szCs w:val="14"/>
                <w:color w:val="auto"/>
              </w:rPr>
              <w:t>Net income per share: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0.13</w:t>
            </w:r>
          </w:p>
        </w:tc>
      </w:tr>
      <w:tr>
        <w:trPr>
          <w:trHeight w:val="264"/>
        </w:trPr>
        <w:tc>
          <w:tcPr>
            <w:tcW w:w="6920" w:type="dxa"/>
            <w:vAlign w:val="bottom"/>
          </w:tcPr>
          <w:p>
            <w:pPr>
              <w:ind w:left="1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0.12</w:t>
            </w:r>
          </w:p>
        </w:tc>
      </w:tr>
      <w:tr>
        <w:trPr>
          <w:trHeight w:val="330"/>
        </w:trPr>
        <w:tc>
          <w:tcPr>
            <w:tcW w:w="6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Condensed Consolidated Statements of Comprehensive Income: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foreign currency translation loss, net of tax</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8"/>
        </w:trPr>
        <w:tc>
          <w:tcPr>
            <w:tcW w:w="69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9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September 30, 2014</w:t>
            </w:r>
          </w:p>
        </w:tc>
      </w:tr>
      <w:tr>
        <w:trPr>
          <w:trHeight w:val="263"/>
        </w:trPr>
        <w:tc>
          <w:tcPr>
            <w:tcW w:w="9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as adjusted</w:t>
            </w:r>
          </w:p>
        </w:tc>
      </w:tr>
      <w:tr>
        <w:trPr>
          <w:trHeight w:val="264"/>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76"/>
        </w:trPr>
        <w:tc>
          <w:tcPr>
            <w:tcW w:w="9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24,862</w:t>
            </w:r>
          </w:p>
        </w:tc>
      </w:tr>
      <w:tr>
        <w:trPr>
          <w:trHeight w:val="264"/>
        </w:trPr>
        <w:tc>
          <w:tcPr>
            <w:tcW w:w="9260" w:type="dxa"/>
            <w:vAlign w:val="bottom"/>
          </w:tcPr>
          <w:p>
            <w:pPr>
              <w:ind w:left="40"/>
              <w:spacing w:after="0"/>
              <w:rPr>
                <w:sz w:val="20"/>
                <w:szCs w:val="20"/>
                <w:color w:val="auto"/>
              </w:rPr>
            </w:pPr>
            <w:r>
              <w:rPr>
                <w:rFonts w:ascii="Arial" w:cs="Arial" w:eastAsia="Arial" w:hAnsi="Arial"/>
                <w:sz w:val="14"/>
                <w:szCs w:val="14"/>
                <w:color w:val="auto"/>
              </w:rPr>
              <w:t>Net cash provided by investing activities</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16,687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16,743</w:t>
            </w:r>
          </w:p>
        </w:tc>
      </w:tr>
      <w:tr>
        <w:trPr>
          <w:trHeight w:val="276"/>
        </w:trPr>
        <w:tc>
          <w:tcPr>
            <w:tcW w:w="9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58"/>
        </w:trPr>
        <w:tc>
          <w:tcPr>
            <w:tcW w:w="926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45,916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45,916</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9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41"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231F20"/>
        </w:rPr>
        <w:t>assets, stock-based compensation and the provision for income taxes. Actual results could differ from those estimates and such differences may be material to the accompanying condensed consolidated financial statements.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310"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Collateral is not required for accounts receivable. The Company maintains an allowance for potential credit losses based upon the expected collectability of accounts receivable. The Company writes off its receivables once collection efforts are unsuccessful. One channel partner accounted for more than 10% of the Company's accounts receivable balance as of </w:t>
      </w:r>
      <w:r>
        <w:rPr>
          <w:rFonts w:ascii="Arial" w:cs="Arial" w:eastAsia="Arial" w:hAnsi="Arial"/>
          <w:sz w:val="18"/>
          <w:szCs w:val="18"/>
          <w:color w:val="000000"/>
        </w:rPr>
        <w:t>September 30, 2015</w:t>
      </w:r>
      <w:r>
        <w:rPr>
          <w:rFonts w:ascii="Arial" w:cs="Arial" w:eastAsia="Arial" w:hAnsi="Arial"/>
          <w:sz w:val="18"/>
          <w:szCs w:val="18"/>
          <w:color w:val="231F20"/>
        </w:rPr>
        <w:t xml:space="preserve">. As of </w:t>
      </w:r>
      <w:r>
        <w:rPr>
          <w:rFonts w:ascii="Arial" w:cs="Arial" w:eastAsia="Arial" w:hAnsi="Arial"/>
          <w:sz w:val="18"/>
          <w:szCs w:val="18"/>
          <w:color w:val="000000"/>
        </w:rPr>
        <w:t>December 31, 2014</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 xml:space="preserve">Cash and cash equivalents include cash held in banks,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314"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Software Development Costs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31F20"/>
        </w:rPr>
        <w:t>The Company capitalizes qualifying software costs developed or obtained for internal use. These costs generally include internal costs, such as payroll and benefits of those employees directly associated with the development of the software, and other consulting expenses. Total capitalized development costs are $0.4 million at September 30, 2015 and December 31, 2014.</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4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41"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231F20"/>
        </w:rPr>
        <w:t>Company will comply with new or revised accounting standards on the relevant dates on which adoption of such standards is required from non-emerging growth companies.</w:t>
      </w:r>
    </w:p>
    <w:p>
      <w:pPr>
        <w:spacing w:after="0" w:line="19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In May 2014, the Financial Accounting Standards Board (“FASB”) issued an Accounting Standard Update (“ASU”) amending revenue recognition guidance and requiring more detailed disclosures to enable users of financial statements to understand the nature, amount, timing, and uncertainty of revenue and cash flows arising from contracts with customers. In August 2015, the FASB issued an ASU to defer the effective date of ASU 2014-09 for all entities by one year. Thus, ASU 2014-09 will be effective for fiscal years, and interim periods within those years, beginning after December 15, 2017, but entities will be permitted to early adopt the standard only as of annual reporting periods beginning after December 15, 2016, including interim reporting periods within that reporting period. The new revenue standard may be applied retrospectively to each prior period presented or retrospectively with the cumulative effect recognized on date of adoption. The Company is currently evaluating the impact this ASU will have on its consolidated financial statements.</w:t>
      </w:r>
    </w:p>
    <w:p>
      <w:pPr>
        <w:spacing w:after="0" w:line="206"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In January 2015, the FASB issued an ASU eliminating from U.S. GAAP the concept of extraordinary items, which required that an entity separately classify, present, and disclose extraordinary events and transactions. The guidance is effective for fiscal years, and interim periods within those fiscal years, beginning after December 15, 2015. A reporting entity may apply the amendments prospectively or retrospectively to all prior periods presented in the financial statements. Early adoption is permitted provided that the guidance is applied from the beginning of the fiscal year of adoption. The Company does not expect the adoption of this ASU to be material to their consolidated financial statements.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In April 2015, the FASB issued an ASU amending existing guidance which clarifies that software licenses contained in a cloud computing arrangement should be capitalized if the customer has the right to take possession of the software and the ability to run the software outside of the cloud computing arrangement. If a cloud computing arrangement does not include a software license, the customer should account for the arrangement as a service contract under existing guidelines. This guidance is effective for </w:t>
      </w:r>
      <w:r>
        <w:rPr>
          <w:rFonts w:ascii="Arial" w:cs="Arial" w:eastAsia="Arial" w:hAnsi="Arial"/>
          <w:sz w:val="18"/>
          <w:szCs w:val="18"/>
          <w:color w:val="000000"/>
        </w:rPr>
        <w:t>fiscal years, and interim periods within those fiscal</w:t>
      </w:r>
      <w:r>
        <w:rPr>
          <w:rFonts w:ascii="Arial" w:cs="Arial" w:eastAsia="Arial" w:hAnsi="Arial"/>
          <w:sz w:val="18"/>
          <w:szCs w:val="18"/>
          <w:color w:val="231F20"/>
        </w:rPr>
        <w:t xml:space="preserve"> </w:t>
      </w:r>
      <w:r>
        <w:rPr>
          <w:rFonts w:ascii="Arial" w:cs="Arial" w:eastAsia="Arial" w:hAnsi="Arial"/>
          <w:sz w:val="18"/>
          <w:szCs w:val="18"/>
          <w:color w:val="000000"/>
        </w:rPr>
        <w:t xml:space="preserve">years, </w:t>
      </w:r>
      <w:r>
        <w:rPr>
          <w:rFonts w:ascii="Arial" w:cs="Arial" w:eastAsia="Arial" w:hAnsi="Arial"/>
          <w:sz w:val="18"/>
          <w:szCs w:val="18"/>
          <w:color w:val="231F20"/>
        </w:rPr>
        <w:t>beginning after December 15, 2015.</w:t>
      </w:r>
      <w:r>
        <w:rPr>
          <w:rFonts w:ascii="Arial" w:cs="Arial" w:eastAsia="Arial" w:hAnsi="Arial"/>
          <w:sz w:val="18"/>
          <w:szCs w:val="18"/>
          <w:color w:val="000000"/>
        </w:rPr>
        <w:t xml:space="preserve"> A reporting entity may apply the amendments prospectively to all arrangements entered into or materially modified after the effective date or retrospectively. </w:t>
      </w:r>
      <w:r>
        <w:rPr>
          <w:rFonts w:ascii="Arial" w:cs="Arial" w:eastAsia="Arial" w:hAnsi="Arial"/>
          <w:sz w:val="18"/>
          <w:szCs w:val="18"/>
          <w:color w:val="231F20"/>
        </w:rPr>
        <w:t>Early adoption is permitted. The Company is currently evaluating the impact this</w:t>
      </w:r>
      <w:r>
        <w:rPr>
          <w:rFonts w:ascii="Arial" w:cs="Arial" w:eastAsia="Arial" w:hAnsi="Arial"/>
          <w:sz w:val="18"/>
          <w:szCs w:val="18"/>
          <w:color w:val="000000"/>
        </w:rPr>
        <w:t xml:space="preserve"> </w:t>
      </w:r>
      <w:r>
        <w:rPr>
          <w:rFonts w:ascii="Arial" w:cs="Arial" w:eastAsia="Arial" w:hAnsi="Arial"/>
          <w:sz w:val="18"/>
          <w:szCs w:val="18"/>
          <w:color w:val="231F20"/>
        </w:rPr>
        <w:t>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41"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right="6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highly liquid money market funds, which are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41" w:right="27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September 30, 2015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48,907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48,907</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3,612</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2,400</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39,841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39,844</w:t>
            </w:r>
          </w:p>
        </w:tc>
      </w:tr>
      <w:tr>
        <w:trPr>
          <w:trHeight w:val="250"/>
        </w:trPr>
        <w:tc>
          <w:tcPr>
            <w:tcW w:w="470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94,760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94,763</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24,579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24,588</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12,560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537</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41,675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41,697</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79,352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79,382</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6,405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6,404</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12,468</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6,862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6,860</w:t>
            </w:r>
          </w:p>
        </w:tc>
      </w:tr>
      <w:tr>
        <w:trPr>
          <w:trHeight w:val="250"/>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25,728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25,732</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199,840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199,877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December 31, 2014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36,024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36,024</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39,180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50"/>
        </w:trPr>
        <w:tc>
          <w:tcPr>
            <w:tcW w:w="470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76,504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76,504</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4,999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12,438</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33,277</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50,716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50,714</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16,094</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20,243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20,255</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3,099</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39,436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39,448</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166,656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166,666</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41"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September 30, 2015</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64,432</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64,432</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56,565</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56,565</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19,420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19,420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6,941</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6,941</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147,358</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147,358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 2014</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5,999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53,832</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53,832</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15,537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15,537</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16,094</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16,094</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91,462</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91,462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5"/>
          </w:tcPr>
          <w:p>
            <w:pPr>
              <w:ind w:left="900"/>
              <w:spacing w:after="0"/>
              <w:rPr>
                <w:sz w:val="20"/>
                <w:szCs w:val="20"/>
                <w:color w:val="auto"/>
              </w:rPr>
            </w:pPr>
            <w:r>
              <w:rPr>
                <w:rFonts w:ascii="Arial" w:cs="Arial" w:eastAsia="Arial" w:hAnsi="Arial"/>
                <w:sz w:val="16"/>
                <w:szCs w:val="16"/>
                <w:b w:val="1"/>
                <w:bCs w:val="1"/>
                <w:color w:val="auto"/>
              </w:rPr>
              <w:t>September 30, 2015</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12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After One Year through</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8"/>
        </w:trPr>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Two Years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64,432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64,432</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44,097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12,468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56,565</w:t>
            </w: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19,420</w:t>
            </w: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6,941</w:t>
            </w:r>
          </w:p>
        </w:tc>
      </w:tr>
      <w:tr>
        <w:trPr>
          <w:trHeight w:val="24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121,626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147,358</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5"/>
          </w:tcPr>
          <w:p>
            <w:pPr>
              <w:ind w:left="920"/>
              <w:spacing w:after="0"/>
              <w:rPr>
                <w:sz w:val="20"/>
                <w:szCs w:val="20"/>
                <w:color w:val="auto"/>
              </w:rPr>
            </w:pPr>
            <w:r>
              <w:rPr>
                <w:rFonts w:ascii="Arial" w:cs="Arial" w:eastAsia="Arial" w:hAnsi="Arial"/>
                <w:sz w:val="16"/>
                <w:szCs w:val="16"/>
                <w:b w:val="1"/>
                <w:bCs w:val="1"/>
                <w:color w:val="auto"/>
              </w:rPr>
              <w:t>December 31, 2014</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12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After One Year through</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8"/>
        </w:trPr>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Two Years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33,577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20,255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53,832</w:t>
            </w: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15,537</w:t>
            </w:r>
          </w:p>
        </w:tc>
      </w:tr>
      <w:tr>
        <w:trPr>
          <w:trHeight w:val="264"/>
        </w:trPr>
        <w:tc>
          <w:tcPr>
            <w:tcW w:w="402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22"/>
                <w:szCs w:val="22"/>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7,327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8,767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16,094</w:t>
            </w:r>
          </w:p>
        </w:tc>
      </w:tr>
      <w:tr>
        <w:trPr>
          <w:trHeight w:val="24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52,014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91,462</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22222"/>
        </w:rPr>
        <w:t>At September 30, 2015, the Company had two outstanding forward contrac</w:t>
      </w:r>
      <w:r>
        <w:rPr>
          <w:rFonts w:ascii="Arial" w:cs="Arial" w:eastAsia="Arial" w:hAnsi="Arial"/>
          <w:sz w:val="18"/>
          <w:szCs w:val="18"/>
          <w:color w:val="000000"/>
        </w:rPr>
        <w:t>ts with notional amounts of 4.6 million Euros and 3.2 million</w:t>
      </w:r>
      <w:r>
        <w:rPr>
          <w:rFonts w:ascii="Arial" w:cs="Arial" w:eastAsia="Arial" w:hAnsi="Arial"/>
          <w:sz w:val="18"/>
          <w:szCs w:val="18"/>
          <w:color w:val="222222"/>
        </w:rPr>
        <w:t xml:space="preserve"> </w:t>
      </w:r>
      <w:r>
        <w:rPr>
          <w:rFonts w:ascii="Arial" w:cs="Arial" w:eastAsia="Arial" w:hAnsi="Arial"/>
          <w:sz w:val="18"/>
          <w:szCs w:val="18"/>
          <w:color w:val="000000"/>
        </w:rPr>
        <w:t xml:space="preserve">British Pounds, which expired on October 31, 2015. </w:t>
      </w:r>
      <w:r>
        <w:rPr>
          <w:rFonts w:ascii="Arial" w:cs="Arial" w:eastAsia="Arial" w:hAnsi="Arial"/>
          <w:sz w:val="18"/>
          <w:szCs w:val="18"/>
          <w:color w:val="222222"/>
        </w:rPr>
        <w:t>At December 31, 2014, the Company had two outstanding forward contracts with notional</w:t>
      </w:r>
      <w:r>
        <w:rPr>
          <w:rFonts w:ascii="Arial" w:cs="Arial" w:eastAsia="Arial" w:hAnsi="Arial"/>
          <w:sz w:val="18"/>
          <w:szCs w:val="18"/>
          <w:color w:val="000000"/>
        </w:rPr>
        <w:t xml:space="preserve"> </w:t>
      </w:r>
      <w:r>
        <w:rPr>
          <w:rFonts w:ascii="Arial" w:cs="Arial" w:eastAsia="Arial" w:hAnsi="Arial"/>
          <w:sz w:val="18"/>
          <w:szCs w:val="18"/>
          <w:color w:val="222222"/>
        </w:rPr>
        <w:t xml:space="preserve">amounts of 6.0 million Euros and 2.1 million British Pounds, which expired on </w:t>
      </w:r>
      <w:r>
        <w:rPr>
          <w:rFonts w:ascii="Arial" w:cs="Arial" w:eastAsia="Arial" w:hAnsi="Arial"/>
          <w:sz w:val="18"/>
          <w:szCs w:val="18"/>
          <w:color w:val="000000"/>
        </w:rPr>
        <w:t>January 31, 2015</w:t>
      </w:r>
      <w:r>
        <w:rPr>
          <w:rFonts w:ascii="Arial" w:cs="Arial" w:eastAsia="Arial" w:hAnsi="Arial"/>
          <w:sz w:val="18"/>
          <w:szCs w:val="18"/>
          <w:color w:val="222222"/>
        </w:rPr>
        <w:t xml:space="preserve">. These </w:t>
      </w:r>
      <w:r>
        <w:rPr>
          <w:rFonts w:ascii="Arial" w:cs="Arial" w:eastAsia="Arial" w:hAnsi="Arial"/>
          <w:sz w:val="18"/>
          <w:szCs w:val="18"/>
          <w:color w:val="231F20"/>
        </w:rPr>
        <w:t>forward contracts were entered into at</w:t>
      </w:r>
      <w:r>
        <w:rPr>
          <w:rFonts w:ascii="Arial" w:cs="Arial" w:eastAsia="Arial" w:hAnsi="Arial"/>
          <w:sz w:val="18"/>
          <w:szCs w:val="18"/>
          <w:color w:val="222222"/>
        </w:rPr>
        <w:t xml:space="preserve"> </w:t>
      </w:r>
      <w:r>
        <w:rPr>
          <w:rFonts w:ascii="Arial" w:cs="Arial" w:eastAsia="Arial" w:hAnsi="Arial"/>
          <w:sz w:val="18"/>
          <w:szCs w:val="18"/>
          <w:color w:val="231F20"/>
        </w:rPr>
        <w:t xml:space="preserve">the end of 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September 30, 2015</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2014</w:t>
      </w:r>
      <w:r>
        <w:rPr>
          <w:rFonts w:ascii="Arial" w:cs="Arial" w:eastAsia="Arial" w:hAnsi="Arial"/>
          <w:sz w:val="18"/>
          <w:szCs w:val="18"/>
          <w:color w:val="222222"/>
        </w:rPr>
        <w:t>.</w:t>
      </w:r>
      <w:r>
        <w:rPr>
          <w:rFonts w:ascii="Arial" w:cs="Arial" w:eastAsia="Arial" w:hAnsi="Arial"/>
          <w:sz w:val="18"/>
          <w:szCs w:val="18"/>
          <w:color w:val="231F20"/>
        </w:rPr>
        <w:t xml:space="preserve"> The Company recorded a gain of $0.1 million from these forward contracts, which was offset by other foreign currency transaction losses of $0.4 million for the three months ended September 30, 2015. The Company recorded a net gain of $0.5 million, which was more than offset by other foreign currency transaction losses of $ 0.9 million during the nine months ended September 30, 2015. For the three months ended September 30, 2014, the Company recorded a gain of $0.5 million from these contracts, which were more than offset by other foreign currency losses of $ 0.8 million. For the nine months ended September 30, 2014, the Company recorded a gain of $0.4 million from these forward contracts, which were more than offset by losses of $0.7 million in other foreign currency transactions. These derivatives did not meet the criteria to be designated as hedges. These instruments were valued using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247"/>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35,576</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12,524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10,899</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21,380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19,861</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2,622</w:t>
            </w:r>
          </w:p>
        </w:tc>
      </w:tr>
      <w:tr>
        <w:trPr>
          <w:trHeight w:val="247"/>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0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84,420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71,889</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(54,455)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(45,271)</w:t>
            </w:r>
          </w:p>
        </w:tc>
      </w:tr>
      <w:tr>
        <w:trPr>
          <w:trHeight w:val="240"/>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29,965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26,618</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$ 8.2 million and </w:t>
      </w:r>
      <w:r>
        <w:rPr>
          <w:rFonts w:ascii="Arial" w:cs="Arial" w:eastAsia="Arial" w:hAnsi="Arial"/>
          <w:sz w:val="18"/>
          <w:szCs w:val="18"/>
          <w:color w:val="000000"/>
        </w:rPr>
        <w:t>$6.0</w:t>
      </w:r>
      <w:r>
        <w:rPr>
          <w:rFonts w:ascii="Arial" w:cs="Arial" w:eastAsia="Arial" w:hAnsi="Arial"/>
          <w:sz w:val="18"/>
          <w:szCs w:val="18"/>
          <w:color w:val="231F20"/>
        </w:rPr>
        <w:t xml:space="preserve"> million at </w:t>
      </w:r>
      <w:r>
        <w:rPr>
          <w:rFonts w:ascii="Arial" w:cs="Arial" w:eastAsia="Arial" w:hAnsi="Arial"/>
          <w:sz w:val="18"/>
          <w:szCs w:val="18"/>
          <w:color w:val="000000"/>
        </w:rPr>
        <w:t>September 30, 2015</w:t>
      </w:r>
      <w:r>
        <w:rPr>
          <w:rFonts w:ascii="Arial" w:cs="Arial" w:eastAsia="Arial" w:hAnsi="Arial"/>
          <w:sz w:val="18"/>
          <w:szCs w:val="18"/>
          <w:color w:val="231F20"/>
        </w:rPr>
        <w:t xml:space="preserve"> and December 31, 2014, respectively, including assets that have not been placed in service of $0.9 million and </w:t>
      </w:r>
      <w:r>
        <w:rPr>
          <w:rFonts w:ascii="Arial" w:cs="Arial" w:eastAsia="Arial" w:hAnsi="Arial"/>
          <w:sz w:val="18"/>
          <w:szCs w:val="18"/>
          <w:color w:val="000000"/>
        </w:rPr>
        <w:t>$1.4</w:t>
      </w:r>
      <w:r>
        <w:rPr>
          <w:rFonts w:ascii="Arial" w:cs="Arial" w:eastAsia="Arial" w:hAnsi="Arial"/>
          <w:sz w:val="18"/>
          <w:szCs w:val="18"/>
          <w:color w:val="231F20"/>
        </w:rPr>
        <w:t xml:space="preserve"> million, respectively. Other fixed assets not placed in service at </w:t>
      </w:r>
      <w:r>
        <w:rPr>
          <w:rFonts w:ascii="Arial" w:cs="Arial" w:eastAsia="Arial" w:hAnsi="Arial"/>
          <w:sz w:val="18"/>
          <w:szCs w:val="18"/>
          <w:color w:val="000000"/>
        </w:rPr>
        <w:t>September 30, 2015</w:t>
      </w:r>
      <w:r>
        <w:rPr>
          <w:rFonts w:ascii="Arial" w:cs="Arial" w:eastAsia="Arial" w:hAnsi="Arial"/>
          <w:sz w:val="18"/>
          <w:szCs w:val="18"/>
          <w:color w:val="231F20"/>
        </w:rPr>
        <w:t xml:space="preserve"> and December 31, 2014, included in computer equipment and leasehold improvements, are approximately $1.7 million and </w:t>
      </w:r>
      <w:r>
        <w:rPr>
          <w:rFonts w:ascii="Arial" w:cs="Arial" w:eastAsia="Arial" w:hAnsi="Arial"/>
          <w:sz w:val="18"/>
          <w:szCs w:val="18"/>
          <w:color w:val="000000"/>
        </w:rPr>
        <w:t>$2.8</w:t>
      </w:r>
      <w:r>
        <w:rPr>
          <w:rFonts w:ascii="Arial" w:cs="Arial" w:eastAsia="Arial" w:hAnsi="Arial"/>
          <w:sz w:val="18"/>
          <w:szCs w:val="18"/>
          <w:color w:val="231F20"/>
        </w:rPr>
        <w:t xml:space="preserve"> million, respectively. Depreciation and amortization expense relating to property and equipment was $3.7 million and $ 2.9 million for the </w:t>
      </w:r>
      <w:r>
        <w:rPr>
          <w:rFonts w:ascii="Arial" w:cs="Arial" w:eastAsia="Arial" w:hAnsi="Arial"/>
          <w:sz w:val="18"/>
          <w:szCs w:val="18"/>
          <w:color w:val="000000"/>
        </w:rPr>
        <w:t>three months ended September 30, 2015</w:t>
      </w:r>
      <w:r>
        <w:rPr>
          <w:rFonts w:ascii="Arial" w:cs="Arial" w:eastAsia="Arial" w:hAnsi="Arial"/>
          <w:sz w:val="18"/>
          <w:szCs w:val="18"/>
          <w:color w:val="231F20"/>
        </w:rPr>
        <w:t xml:space="preserve"> and 2014, respectively </w:t>
      </w:r>
      <w:r>
        <w:rPr>
          <w:rFonts w:ascii="Arial" w:cs="Arial" w:eastAsia="Arial" w:hAnsi="Arial"/>
          <w:sz w:val="18"/>
          <w:szCs w:val="18"/>
          <w:color w:val="000000"/>
        </w:rPr>
        <w:t>and $10.1 million and $8.5 million for the nine months ended September 30, 2015 and 2014, respectively.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47" w:lineRule="exact"/>
        <w:rPr>
          <w:sz w:val="20"/>
          <w:szCs w:val="20"/>
          <w:color w:val="auto"/>
        </w:rPr>
      </w:pPr>
    </w:p>
    <w:p>
      <w:pPr>
        <w:ind w:right="880" w:firstLine="486"/>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2014</w:t>
            </w:r>
          </w:p>
        </w:tc>
      </w:tr>
      <w:tr>
        <w:trPr>
          <w:trHeight w:val="175"/>
        </w:trPr>
        <w:tc>
          <w:tcPr>
            <w:tcW w:w="5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r>
      <w:tr>
        <w:trPr>
          <w:trHeight w:val="196"/>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966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8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(2,056)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1,413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1,706</w:t>
            </w:r>
          </w:p>
        </w:tc>
      </w:tr>
      <w:tr>
        <w:trPr>
          <w:trHeight w:val="24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4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2,001</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Intangibles amortization expense was $0.1 million for the </w:t>
      </w:r>
      <w:r>
        <w:rPr>
          <w:rFonts w:ascii="Arial" w:cs="Arial" w:eastAsia="Arial" w:hAnsi="Arial"/>
          <w:sz w:val="18"/>
          <w:szCs w:val="18"/>
          <w:color w:val="000000"/>
        </w:rPr>
        <w:t>three months ended September 30,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xml:space="preserve"> and $0.3 million for the nine months ended September 30, 2015 and 2014.</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2015</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2015</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2016</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373</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2020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w:t>
            </w:r>
          </w:p>
        </w:tc>
      </w:tr>
      <w:tr>
        <w:trPr>
          <w:trHeight w:val="24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1,413</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September 30, 2015</w:t>
      </w:r>
      <w:r>
        <w:rPr>
          <w:rFonts w:ascii="Arial" w:cs="Arial" w:eastAsia="Arial" w:hAnsi="Arial"/>
          <w:sz w:val="18"/>
          <w:szCs w:val="18"/>
          <w:color w:val="231F20"/>
        </w:rPr>
        <w:t xml:space="preserve"> and December 31,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93"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noncancellable operating leases for varying periods through 2019.</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September 30, 2015</w:t>
      </w:r>
      <w:r>
        <w:rPr>
          <w:rFonts w:ascii="Arial" w:cs="Arial" w:eastAsia="Arial" w:hAnsi="Arial"/>
          <w:sz w:val="18"/>
          <w:szCs w:val="18"/>
          <w:color w:val="231F20"/>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Operating Leases</w:t>
            </w:r>
          </w:p>
        </w:tc>
      </w:tr>
      <w:tr>
        <w:trPr>
          <w:trHeight w:val="247"/>
        </w:trPr>
        <w:tc>
          <w:tcPr>
            <w:tcW w:w="9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2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1,143</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3,577</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2,052</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601</w:t>
            </w:r>
          </w:p>
        </w:tc>
      </w:tr>
      <w:tr>
        <w:trPr>
          <w:trHeight w:val="246"/>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40"/>
        </w:trPr>
        <w:tc>
          <w:tcPr>
            <w:tcW w:w="9720" w:type="dxa"/>
            <w:vAlign w:val="bottom"/>
          </w:tcPr>
          <w:p>
            <w:pPr>
              <w:ind w:left="40"/>
              <w:spacing w:after="0"/>
              <w:rPr>
                <w:sz w:val="20"/>
                <w:szCs w:val="20"/>
                <w:color w:val="auto"/>
              </w:rPr>
            </w:pPr>
            <w:r>
              <w:rPr>
                <w:rFonts w:ascii="Arial" w:cs="Arial" w:eastAsia="Arial" w:hAnsi="Arial"/>
                <w:sz w:val="16"/>
                <w:szCs w:val="16"/>
                <w:color w:val="auto"/>
              </w:rPr>
              <w:t>Total minimum lease payments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7,574</w:t>
            </w: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 xml:space="preserve">Rent expense was $1.6 million for each of the </w:t>
      </w:r>
      <w:r>
        <w:rPr>
          <w:rFonts w:ascii="Arial" w:cs="Arial" w:eastAsia="Arial" w:hAnsi="Arial"/>
          <w:sz w:val="18"/>
          <w:szCs w:val="18"/>
          <w:color w:val="000000"/>
        </w:rPr>
        <w:t>three months ended September 30,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xml:space="preserve">, and $4.8 million and $4.6 million for the nine months ended September 30, 2015 and 2014,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September 30,</w:t>
      </w:r>
      <w:r>
        <w:rPr>
          <w:rFonts w:ascii="Arial" w:cs="Arial" w:eastAsia="Arial" w:hAnsi="Arial"/>
          <w:sz w:val="18"/>
          <w:szCs w:val="18"/>
          <w:color w:val="231F20"/>
        </w:rPr>
        <w:t xml:space="preserve"> </w:t>
      </w:r>
      <w:r>
        <w:rPr>
          <w:rFonts w:ascii="Arial" w:cs="Arial" w:eastAsia="Arial" w:hAnsi="Arial"/>
          <w:sz w:val="18"/>
          <w:szCs w:val="18"/>
          <w:color w:val="000000"/>
        </w:rPr>
        <w:t xml:space="preserve">2015 </w:t>
      </w:r>
      <w:r>
        <w:rPr>
          <w:rFonts w:ascii="Arial" w:cs="Arial" w:eastAsia="Arial" w:hAnsi="Arial"/>
          <w:sz w:val="18"/>
          <w:szCs w:val="18"/>
          <w:color w:val="231F20"/>
        </w:rPr>
        <w:t>and</w:t>
      </w:r>
      <w:r>
        <w:rPr>
          <w:rFonts w:ascii="Arial" w:cs="Arial" w:eastAsia="Arial" w:hAnsi="Arial"/>
          <w:sz w:val="18"/>
          <w:szCs w:val="18"/>
          <w:color w:val="000000"/>
        </w:rPr>
        <w:t xml:space="preserve"> December 31, 2014</w:t>
      </w:r>
      <w:r>
        <w:rPr>
          <w:rFonts w:ascii="Arial" w:cs="Arial" w:eastAsia="Arial" w:hAnsi="Arial"/>
          <w:sz w:val="18"/>
          <w:szCs w:val="18"/>
          <w:color w:val="231F20"/>
        </w:rPr>
        <w:t>, the Company has accrued $0.6 million and $0.5 million of deferred rent, respectively, related to these</w:t>
      </w:r>
      <w:r>
        <w:rPr>
          <w:rFonts w:ascii="Arial" w:cs="Arial" w:eastAsia="Arial" w:hAnsi="Arial"/>
          <w:sz w:val="18"/>
          <w:szCs w:val="18"/>
          <w:color w:val="000000"/>
        </w:rPr>
        <w:t xml:space="preserve"> </w:t>
      </w:r>
      <w:r>
        <w:rPr>
          <w:rFonts w:ascii="Arial" w:cs="Arial" w:eastAsia="Arial" w:hAnsi="Arial"/>
          <w:sz w:val="18"/>
          <w:szCs w:val="18"/>
          <w:color w:val="231F20"/>
        </w:rPr>
        <w:t>agreements, which is reflected in accrued liabilities and other noncurrent liabilities in the accompanying condensed consolidated balance sheets.</w:t>
      </w:r>
    </w:p>
    <w:p>
      <w:pPr>
        <w:spacing w:after="0" w:line="209"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231F20"/>
        </w:rPr>
        <w:t>In October 2015, the Company entered into a new five-year office lease, which has a total minimum lease commitment of approximately $1.7 million.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20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amounts to the respective government authorities. For those jurisdictions where the Company has not yet billed sales tax to its customers and believes it is probable it may have exposure and can reasonably estimate such exposure, it has recorded a liability of $0.4 million and </w:t>
      </w:r>
      <w:r>
        <w:rPr>
          <w:rFonts w:ascii="Arial" w:cs="Arial" w:eastAsia="Arial" w:hAnsi="Arial"/>
          <w:sz w:val="18"/>
          <w:szCs w:val="18"/>
          <w:color w:val="000000"/>
        </w:rPr>
        <w:t>$0.5 million</w:t>
      </w:r>
      <w:r>
        <w:rPr>
          <w:rFonts w:ascii="Arial" w:cs="Arial" w:eastAsia="Arial" w:hAnsi="Arial"/>
          <w:sz w:val="18"/>
          <w:szCs w:val="18"/>
          <w:color w:val="231F20"/>
        </w:rPr>
        <w:t xml:space="preserve"> at </w:t>
      </w:r>
      <w:r>
        <w:rPr>
          <w:rFonts w:ascii="Arial" w:cs="Arial" w:eastAsia="Arial" w:hAnsi="Arial"/>
          <w:sz w:val="18"/>
          <w:szCs w:val="18"/>
          <w:color w:val="000000"/>
        </w:rPr>
        <w:t>September 30, 2015</w:t>
      </w:r>
      <w:r>
        <w:rPr>
          <w:rFonts w:ascii="Arial" w:cs="Arial" w:eastAsia="Arial" w:hAnsi="Arial"/>
          <w:sz w:val="18"/>
          <w:szCs w:val="18"/>
          <w:color w:val="231F20"/>
        </w:rPr>
        <w:t xml:space="preserve"> and </w:t>
      </w:r>
      <w:r>
        <w:rPr>
          <w:rFonts w:ascii="Arial" w:cs="Arial" w:eastAsia="Arial" w:hAnsi="Arial"/>
          <w:sz w:val="18"/>
          <w:szCs w:val="18"/>
          <w:color w:val="000000"/>
        </w:rPr>
        <w:t>December 31, 2014</w:t>
      </w:r>
      <w:r>
        <w:rPr>
          <w:rFonts w:ascii="Arial" w:cs="Arial" w:eastAsia="Arial" w:hAnsi="Arial"/>
          <w:sz w:val="18"/>
          <w:szCs w:val="18"/>
          <w:color w:val="231F20"/>
        </w:rPr>
        <w:t xml:space="preserve">, respectively, which is recorded within accrued liabilities in the condensed consolidated balance sheets. However, taxing jurisdictions have differing rules and regulations, which are subject to varying interpretations that may change over time. Other than the liability that the Company has accrued in its condensed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September 30, 2015</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September 30, 2015</w:t>
      </w:r>
      <w:r>
        <w:rPr>
          <w:rFonts w:ascii="Arial" w:cs="Arial" w:eastAsia="Arial" w:hAnsi="Arial"/>
          <w:sz w:val="18"/>
          <w:szCs w:val="18"/>
          <w:color w:val="231F20"/>
        </w:rPr>
        <w:t>, the Company has not recorded any material liabilities in accordance with accounting for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41" w:right="27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6,348,478 shares of common stock. Options may be granted with an exercise price that is at least equal to the fair market value of the Company's stock at the date of grant and are exercisable when vested. As of September 30, 2015, 1,848,947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issuance under the 2000 Plan. The 2000 Plan continues to govern outstanding awards granted thereunder.</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Stock-based compensation for employee option awards is included in the condensed consolidated statements of operations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65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r>
      <w:tr>
        <w:trPr>
          <w:trHeight w:val="247"/>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gridSpan w:val="5"/>
          </w:tcPr>
          <w:p>
            <w:pPr>
              <w:ind w:left="36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1,544</w:t>
            </w: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1,839</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2,815</w:t>
            </w:r>
          </w:p>
        </w:tc>
      </w:tr>
      <w:tr>
        <w:trPr>
          <w:trHeight w:val="24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employee stock-based compensation</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6,680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2015</w:t>
      </w:r>
      <w:r>
        <w:rPr>
          <w:rFonts w:ascii="Arial" w:cs="Arial" w:eastAsia="Arial" w:hAnsi="Arial"/>
          <w:sz w:val="18"/>
          <w:szCs w:val="18"/>
          <w:color w:val="231F20"/>
        </w:rPr>
        <w:t xml:space="preserve">, the Company had $26.3 million of total unrecognized employee compensation cost related to unvested option awards that it expects to recognize over a weighted-average period of </w:t>
      </w:r>
      <w:r>
        <w:rPr>
          <w:rFonts w:ascii="Arial" w:cs="Arial" w:eastAsia="Arial" w:hAnsi="Arial"/>
          <w:sz w:val="18"/>
          <w:szCs w:val="18"/>
          <w:color w:val="000000"/>
        </w:rPr>
        <w:t>2.2</w:t>
      </w:r>
      <w:r>
        <w:rPr>
          <w:rFonts w:ascii="Arial" w:cs="Arial" w:eastAsia="Arial" w:hAnsi="Arial"/>
          <w:sz w:val="18"/>
          <w:szCs w:val="18"/>
          <w:color w:val="231F20"/>
        </w:rPr>
        <w:t xml:space="preserve"> years.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36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300" w:type="dxa"/>
            <w:vAlign w:val="bottom"/>
            <w:gridSpan w:val="3"/>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460" w:type="dxa"/>
            <w:vAlign w:val="bottom"/>
          </w:tcPr>
          <w:p>
            <w:pPr>
              <w:spacing w:after="0"/>
              <w:rPr>
                <w:sz w:val="24"/>
                <w:szCs w:val="24"/>
                <w:color w:val="auto"/>
              </w:rPr>
            </w:pPr>
          </w:p>
        </w:tc>
        <w:tc>
          <w:tcPr>
            <w:tcW w:w="36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330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4460" w:type="dxa"/>
            <w:vAlign w:val="bottom"/>
            <w:tcBorders>
              <w:bottom w:val="single" w:sz="8" w:color="CCEEFF"/>
            </w:tcBorders>
          </w:tcPr>
          <w:p>
            <w:pPr>
              <w:spacing w:after="0"/>
              <w:rPr>
                <w:sz w:val="22"/>
                <w:szCs w:val="22"/>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4.9 to 5.9</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5.3 to 5.9</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4.9 to 5.9</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 to 5.9</w:t>
            </w:r>
          </w:p>
        </w:tc>
      </w:tr>
      <w:tr>
        <w:trPr>
          <w:trHeight w:val="260"/>
        </w:trPr>
        <w:tc>
          <w:tcPr>
            <w:tcW w:w="44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rPr>
              <w:t>45% to 46%</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rPr>
              <w:t>48% to 50%</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45% to 48%</w:t>
            </w:r>
          </w:p>
        </w:tc>
        <w:tc>
          <w:tcPr>
            <w:tcW w:w="1600" w:type="dxa"/>
            <w:vAlign w:val="bottom"/>
          </w:tcPr>
          <w:p>
            <w:pPr>
              <w:jc w:val="center"/>
              <w:spacing w:after="0"/>
              <w:rPr>
                <w:sz w:val="20"/>
                <w:szCs w:val="20"/>
                <w:color w:val="auto"/>
              </w:rPr>
            </w:pPr>
            <w:r>
              <w:rPr>
                <w:rFonts w:ascii="Arial" w:cs="Arial" w:eastAsia="Arial" w:hAnsi="Arial"/>
                <w:sz w:val="16"/>
                <w:szCs w:val="16"/>
                <w:color w:val="auto"/>
              </w:rPr>
              <w:t>48% to 52%</w:t>
            </w:r>
          </w:p>
        </w:tc>
      </w:tr>
      <w:tr>
        <w:trPr>
          <w:trHeight w:val="280"/>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1.3% to 1.65%</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1.52% to 1.67%</w:t>
            </w:r>
          </w:p>
        </w:tc>
      </w:tr>
      <w:tr>
        <w:trPr>
          <w:trHeight w:val="251"/>
        </w:trPr>
        <w:tc>
          <w:tcPr>
            <w:tcW w:w="44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3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declared any dividends and does not expect to in the future.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231F20"/>
        </w:rPr>
        <w:t>The Company records compensation representing the fair value of stock options granted to non-employees. Stock-based non-employee compensation expense was a reduction to expense of $0.1 million and an expense of $0.1 million for the three months ended September 30, 2015 and 2014, respectively, and expense of $0.5 million and $0.4 million, for the nine months ended September 30, 2015 and 2014, respectively. Non-employee stock-based compensation is recognized over the vesting periods of the options. The value of options granted to non-employees is remeasured as they vest over a performance period.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Stock Option Plan Activity</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20" w:type="dxa"/>
            <w:vAlign w:val="bottom"/>
          </w:tcPr>
          <w:p>
            <w:pPr>
              <w:spacing w:after="0"/>
              <w:rPr>
                <w:sz w:val="19"/>
                <w:szCs w:val="19"/>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7,605,407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188,743</w:t>
            </w:r>
          </w:p>
        </w:tc>
      </w:tr>
      <w:tr>
        <w:trPr>
          <w:trHeight w:val="260"/>
        </w:trPr>
        <w:tc>
          <w:tcPr>
            <w:tcW w:w="50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1,113,950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41.17</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(567,227)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(560,025)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26.69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2015</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7,592,105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107,966</w:t>
            </w: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color w:val="auto"/>
              </w:rPr>
              <w:t>Vested and expected to vest - September 30, 2015</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7,130,958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106,964</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September 30, 2015</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5,073,823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99,803</w:t>
            </w: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 Units and Restricted Stock Awards</w:t>
      </w:r>
    </w:p>
    <w:p>
      <w:pPr>
        <w:spacing w:after="0" w:line="24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231F20"/>
        </w:rPr>
        <w:t>The terms and conditions of RSUs and RSAs, including vesting criteria and timing are set by the board of directors. The cost of RSUs and RSAs is determined using the fair value of the Company’s common stock on the date of the grant. Compensation cost is recognized on a straight-line basis over the requisite service period of each grant.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jc w:val="both"/>
        <w:ind w:right="220" w:firstLine="486"/>
        <w:spacing w:after="0" w:line="256" w:lineRule="auto"/>
        <w:rPr>
          <w:sz w:val="20"/>
          <w:szCs w:val="20"/>
          <w:color w:val="auto"/>
        </w:rPr>
      </w:pPr>
      <w:r>
        <w:rPr>
          <w:rFonts w:ascii="Arial" w:cs="Arial" w:eastAsia="Arial" w:hAnsi="Arial"/>
          <w:sz w:val="18"/>
          <w:szCs w:val="18"/>
          <w:color w:val="231F20"/>
        </w:rPr>
        <w:t>During the three months ended September 30, 2015, the Company granted 60,000 units of restricted stock with a grant price of $37.28 per unit and monthly vesting over a 2 year period. Compensation expense was $0.2 million for the three months ended September 30, 2015. The Company did not issue restricted stock units in the nine months ended September 30, 2014.</w:t>
      </w:r>
    </w:p>
    <w:p>
      <w:pPr>
        <w:spacing w:after="0" w:line="364"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During the nine months ended September 30, 2014, the Company granted 2,401 shares of restricted stock, which vested immediately and had no further restrictions or service period, and resulted in compensation expense of $51,000. The Company did not issue restricted stock awards during the nine months ended September 30, 2015.</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Other Income (Expense), Net</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66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r>
      <w:tr>
        <w:trPr>
          <w:trHeight w:val="247"/>
        </w:trPr>
        <w:tc>
          <w:tcPr>
            <w:tcW w:w="6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gridSpan w:val="5"/>
          </w:tcPr>
          <w:p>
            <w:pPr>
              <w:ind w:left="3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 (loss)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4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47"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The Company recorded a tax provision of $6.6 million and $0.6 million for the nine months ended September 30, 2015 and 2014, respectively. The increase in the tax provision recorded for the nine month period ended September 30, 2015 is primarily due to taxes on its U.S. federal income, as well as certain states and foreign jurisdictions, and changes to unrecognized tax benefits related to uncertain tax positions. Prior to the fourth quarter of 2014, the Company maintained a valuation allowance on its U.S. federal and state deferred tax assets, and its taxes were primarily related to taxes in its foreign jurisdictions and certain states in the U.S, as well as changes to unrecognized tax benefits related to uncertain tax positions. The Company's effective income tax rate was approximately 38.6 % in the nine months ended September 30, 2015.</w:t>
      </w:r>
    </w:p>
    <w:p>
      <w:pPr>
        <w:spacing w:after="0" w:line="207"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231F20"/>
        </w:rPr>
        <w:t xml:space="preserve">As of September 30, 2015, the Company had unrecognized tax benefits of </w:t>
      </w:r>
      <w:r>
        <w:rPr>
          <w:rFonts w:ascii="Arial" w:cs="Arial" w:eastAsia="Arial" w:hAnsi="Arial"/>
          <w:sz w:val="18"/>
          <w:szCs w:val="18"/>
          <w:color w:val="000000"/>
        </w:rPr>
        <w:t>$3.5 million</w:t>
      </w:r>
      <w:r>
        <w:rPr>
          <w:rFonts w:ascii="Arial" w:cs="Arial" w:eastAsia="Arial" w:hAnsi="Arial"/>
          <w:sz w:val="18"/>
          <w:szCs w:val="18"/>
          <w:color w:val="231F20"/>
        </w:rPr>
        <w:t xml:space="preserve">, of which </w:t>
      </w:r>
      <w:r>
        <w:rPr>
          <w:rFonts w:ascii="Arial" w:cs="Arial" w:eastAsia="Arial" w:hAnsi="Arial"/>
          <w:sz w:val="18"/>
          <w:szCs w:val="18"/>
          <w:color w:val="000000"/>
        </w:rPr>
        <w:t>$2.2 million</w:t>
      </w:r>
      <w:r>
        <w:rPr>
          <w:rFonts w:ascii="Arial" w:cs="Arial" w:eastAsia="Arial" w:hAnsi="Arial"/>
          <w:sz w:val="18"/>
          <w:szCs w:val="18"/>
          <w:color w:val="231F20"/>
        </w:rPr>
        <w:t>, if recognized, would favorably impact the Company's effective tax rate. As of December 31, 2014, the Company had unrecognized tax benefits of $3.3 million, of which $2.1 million, if recognized, would favorably impact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color w:val="231F20"/>
        </w:rPr>
        <w:t>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23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60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47"/>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5"/>
          </w:tcPr>
          <w:p>
            <w:pPr>
              <w:ind w:left="48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29,993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84,463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67,948</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12,476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35,376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29,058</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34,348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119,839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97,006</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247"/>
        </w:trPr>
        <w:tc>
          <w:tcPr>
            <w:tcW w:w="8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23,650</w:t>
            </w:r>
          </w:p>
        </w:tc>
      </w:tr>
      <w:tr>
        <w:trPr>
          <w:trHeight w:val="264"/>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2,968</w:t>
            </w:r>
          </w:p>
        </w:tc>
      </w:tr>
      <w:tr>
        <w:trPr>
          <w:trHeight w:val="24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26,618</w:t>
            </w: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4,123</w:t>
            </w:r>
          </w:p>
        </w:tc>
        <w:tc>
          <w:tcPr>
            <w:tcW w:w="62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4,331</w:t>
            </w: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5620" w:type="dxa"/>
            <w:vAlign w:val="bottom"/>
          </w:tcPr>
          <w:p>
            <w:pPr>
              <w:ind w:left="50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34,119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33,120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33,967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32,820</w:t>
            </w:r>
          </w:p>
        </w:tc>
      </w:tr>
      <w:tr>
        <w:trPr>
          <w:trHeight w:val="280"/>
        </w:trPr>
        <w:tc>
          <w:tcPr>
            <w:tcW w:w="5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56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Common stock options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3,960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4,186</w:t>
            </w:r>
          </w:p>
        </w:tc>
      </w:tr>
      <w:tr>
        <w:trPr>
          <w:trHeight w:val="257"/>
        </w:trPr>
        <w:tc>
          <w:tcPr>
            <w:tcW w:w="5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37,938</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37,080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38,202</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37,006</w:t>
            </w: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562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62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0.12</w:t>
            </w:r>
          </w:p>
        </w:tc>
      </w:tr>
      <w:tr>
        <w:trPr>
          <w:trHeight w:val="20"/>
        </w:trPr>
        <w:tc>
          <w:tcPr>
            <w:tcW w:w="5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480" w:type="dxa"/>
            <w:vAlign w:val="bottom"/>
            <w:gridSpan w:val="4"/>
          </w:tcPr>
          <w:p>
            <w:pPr>
              <w:jc w:val="center"/>
              <w:ind w:right="600"/>
              <w:spacing w:after="0"/>
              <w:rPr>
                <w:sz w:val="20"/>
                <w:szCs w:val="20"/>
                <w:color w:val="auto"/>
              </w:rPr>
            </w:pPr>
            <w:r>
              <w:rPr>
                <w:rFonts w:ascii="Arial" w:cs="Arial" w:eastAsia="Arial" w:hAnsi="Arial"/>
                <w:sz w:val="16"/>
                <w:szCs w:val="16"/>
                <w:b w:val="1"/>
                <w:bCs w:val="1"/>
                <w:color w:val="auto"/>
              </w:rPr>
              <w:t>Three Months Ended</w:t>
            </w:r>
          </w:p>
        </w:tc>
        <w:tc>
          <w:tcPr>
            <w:tcW w:w="232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620" w:type="dxa"/>
            <w:vAlign w:val="bottom"/>
          </w:tcPr>
          <w:p>
            <w:pPr>
              <w:spacing w:after="0"/>
              <w:rPr>
                <w:sz w:val="24"/>
                <w:szCs w:val="24"/>
                <w:color w:val="auto"/>
              </w:rPr>
            </w:pPr>
          </w:p>
        </w:tc>
        <w:tc>
          <w:tcPr>
            <w:tcW w:w="200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620" w:type="dxa"/>
            <w:vAlign w:val="bottom"/>
          </w:tcPr>
          <w:p>
            <w:pPr>
              <w:spacing w:after="0"/>
              <w:rPr>
                <w:sz w:val="22"/>
                <w:szCs w:val="22"/>
                <w:color w:val="auto"/>
              </w:rPr>
            </w:pPr>
          </w:p>
        </w:tc>
        <w:tc>
          <w:tcPr>
            <w:tcW w:w="20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2015</w:t>
            </w: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95"/>
              </w:rPr>
              <w:t>2015</w:t>
            </w: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47"/>
        </w:trPr>
        <w:tc>
          <w:tcPr>
            <w:tcW w:w="56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80" w:type="dxa"/>
            <w:vAlign w:val="bottom"/>
            <w:gridSpan w:val="3"/>
          </w:tcPr>
          <w:p>
            <w:pPr>
              <w:ind w:left="360"/>
              <w:spacing w:after="0"/>
              <w:rPr>
                <w:sz w:val="20"/>
                <w:szCs w:val="20"/>
                <w:color w:val="auto"/>
              </w:rPr>
            </w:pPr>
            <w:r>
              <w:rPr>
                <w:rFonts w:ascii="Arial" w:cs="Arial" w:eastAsia="Arial" w:hAnsi="Arial"/>
                <w:sz w:val="16"/>
                <w:szCs w:val="16"/>
                <w:b w:val="1"/>
                <w:bCs w:val="1"/>
                <w:color w:val="auto"/>
                <w:w w:val="99"/>
              </w:rPr>
              <w:t>(in thousands)</w:t>
            </w: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200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1,889</w:t>
            </w:r>
          </w:p>
        </w:tc>
        <w:tc>
          <w:tcPr>
            <w:tcW w:w="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1,813</w:t>
            </w: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1,409</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2014, filed with the Securities and Exchange Commission, or SEC, on March 6, 2015.</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57"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right="68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and our deferred tax assets; and</w:t>
      </w:r>
    </w:p>
    <w:p>
      <w:pPr>
        <w:spacing w:after="0" w:line="9" w:lineRule="exact"/>
        <w:rPr>
          <w:rFonts w:ascii="Arial" w:cs="Arial" w:eastAsia="Arial" w:hAnsi="Arial"/>
          <w:sz w:val="18"/>
          <w:szCs w:val="18"/>
          <w:i w:val="1"/>
          <w:iCs w:val="1"/>
          <w:color w:val="231F20"/>
        </w:rPr>
      </w:pPr>
    </w:p>
    <w:p>
      <w:pPr>
        <w:ind w:left="1060" w:right="9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09"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72"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QualysGuard Vulnerability Management (VM), in 2000. Our core VM solution has provided a substantial majority of our revenues to date, representing 79% and 82% of total revenues for the nine months ended September 30, 2015 and 2014,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and continued our expansion in 2010, launching Malware Detection Service and Qualys SECURE Seal for automated protection of websites. In 2012, we introduced our virtualized private cloud platform as an additional deployment option of our solutions for customers and partners. In 2014, we released Continuous Monitoring for internet-facing systems, which allows customers to continuously monitor their mission-critical assets and to be alerted to security vulnerabilities or misconfigurations that may make them more susceptible to a cyber-attack. In 2015, we introduced our Cloud Agent Platform, which provides customers </w:t>
      </w:r>
      <w:r>
        <w:rPr>
          <w:rFonts w:ascii="Arial" w:cs="Arial" w:eastAsia="Arial" w:hAnsi="Arial"/>
          <w:sz w:val="18"/>
          <w:szCs w:val="18"/>
          <w:color w:val="000000"/>
        </w:rPr>
        <w:t>with the ability to secure IT assets on a continuous basis regardless of where they reside,</w:t>
      </w:r>
      <w:r>
        <w:rPr>
          <w:rFonts w:ascii="Arial" w:cs="Arial" w:eastAsia="Arial" w:hAnsi="Arial"/>
          <w:sz w:val="18"/>
          <w:szCs w:val="18"/>
          <w:color w:val="231F20"/>
        </w:rPr>
        <w:t xml:space="preserve"> </w:t>
      </w:r>
      <w:r>
        <w:rPr>
          <w:rFonts w:ascii="Arial" w:cs="Arial" w:eastAsia="Arial" w:hAnsi="Arial"/>
          <w:sz w:val="18"/>
          <w:szCs w:val="18"/>
          <w:color w:val="000000"/>
        </w:rPr>
        <w:t>inside the enterprise, in the cloud or mobile endpoints.</w:t>
      </w:r>
    </w:p>
    <w:p>
      <w:pPr>
        <w:spacing w:after="0" w:line="211"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p>
    <w:p>
      <w:pPr>
        <w:spacing w:after="0" w:line="16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In the nine month periods ended September 30, 2015 and </w:t>
      </w:r>
      <w:r>
        <w:rPr>
          <w:rFonts w:ascii="Arial" w:cs="Arial" w:eastAsia="Arial" w:hAnsi="Arial"/>
          <w:sz w:val="18"/>
          <w:szCs w:val="18"/>
          <w:color w:val="000000"/>
        </w:rPr>
        <w:t>2014</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68"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231F20"/>
        </w:rPr>
        <w:t xml:space="preserve">Our revenues increased to $119.8 million in the nine months ended September 30, 2015 from </w:t>
      </w:r>
      <w:r>
        <w:rPr>
          <w:rFonts w:ascii="Arial" w:cs="Arial" w:eastAsia="Arial" w:hAnsi="Arial"/>
          <w:sz w:val="18"/>
          <w:szCs w:val="18"/>
          <w:color w:val="000000"/>
        </w:rPr>
        <w:t>$97.0 million</w:t>
      </w:r>
      <w:r>
        <w:rPr>
          <w:rFonts w:ascii="Arial" w:cs="Arial" w:eastAsia="Arial" w:hAnsi="Arial"/>
          <w:sz w:val="18"/>
          <w:szCs w:val="18"/>
          <w:color w:val="231F20"/>
        </w:rPr>
        <w:t xml:space="preserve"> for the comparable period in 2014, representing an increase of $22.8 million or 24%.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4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6"/>
          </w:tcPr>
          <w:p>
            <w:pPr>
              <w:jc w:val="right"/>
              <w:ind w:right="29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6"/>
          </w:tcPr>
          <w:p>
            <w:pPr>
              <w:jc w:val="right"/>
              <w:ind w:right="49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66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r>
      <w:tr>
        <w:trPr>
          <w:trHeight w:val="247"/>
        </w:trPr>
        <w:tc>
          <w:tcPr>
            <w:tcW w:w="6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900" w:type="dxa"/>
            <w:vAlign w:val="bottom"/>
            <w:gridSpan w:val="12"/>
          </w:tcPr>
          <w:p>
            <w:pPr>
              <w:jc w:val="right"/>
              <w:ind w:right="180"/>
              <w:spacing w:after="0"/>
              <w:rPr>
                <w:sz w:val="20"/>
                <w:szCs w:val="20"/>
                <w:color w:val="auto"/>
              </w:rPr>
            </w:pPr>
            <w:r>
              <w:rPr>
                <w:rFonts w:ascii="Arial" w:cs="Arial" w:eastAsia="Arial" w:hAnsi="Arial"/>
                <w:sz w:val="16"/>
                <w:szCs w:val="16"/>
                <w:b w:val="1"/>
                <w:bCs w:val="1"/>
                <w:color w:val="auto"/>
              </w:rPr>
              <w:t>(in thousands, except percentages)</w:t>
            </w:r>
          </w:p>
        </w:tc>
        <w:tc>
          <w:tcPr>
            <w:tcW w:w="820" w:type="dxa"/>
            <w:vAlign w:val="bottom"/>
          </w:tcPr>
          <w:p>
            <w:pPr>
              <w:spacing w:after="0"/>
              <w:rPr>
                <w:sz w:val="21"/>
                <w:szCs w:val="21"/>
                <w:color w:val="auto"/>
              </w:rPr>
            </w:pPr>
          </w:p>
        </w:tc>
      </w:tr>
      <w:tr>
        <w:trPr>
          <w:trHeight w:val="263"/>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15,137</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9,045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40,212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20,962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66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818"/>
        </w:trPr>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6"/>
          </w:tcPr>
          <w:p>
            <w:pPr>
              <w:jc w:val="center"/>
              <w:ind w:right="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center"/>
              <w:ind w:right="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6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r>
      <w:tr>
        <w:trPr>
          <w:trHeight w:val="250"/>
        </w:trPr>
        <w:tc>
          <w:tcPr>
            <w:tcW w:w="66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6"/>
                <w:szCs w:val="16"/>
                <w:b w:val="1"/>
                <w:bCs w:val="1"/>
                <w:color w:val="auto"/>
              </w:rPr>
              <w:t>(in thousands)</w:t>
            </w:r>
          </w:p>
        </w:tc>
      </w:tr>
      <w:tr>
        <w:trPr>
          <w:trHeight w:val="254"/>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14,666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2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2"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unaudited table presents the reconciliation of net income to Adjusted EBITDA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65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r>
      <w:tr>
        <w:trPr>
          <w:trHeight w:val="247"/>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gridSpan w:val="5"/>
          </w:tcPr>
          <w:p>
            <w:pPr>
              <w:ind w:left="38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4,331</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10,131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8,532</w:t>
            </w: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Stock-based compensation</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2,494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12,678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7,100</w:t>
            </w:r>
          </w:p>
        </w:tc>
      </w:tr>
      <w:tr>
        <w:trPr>
          <w:trHeight w:val="24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40,212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20,962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80" w:firstLine="8"/>
        <w:spacing w:after="0" w:line="229" w:lineRule="auto"/>
        <w:tabs>
          <w:tab w:leader="none" w:pos="216"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Other income (expense) and net income for the three and nine months ended September 30, 2014 have been adjusted for an immaterial error as further described in Note 1 to our condensed consolidated financial statements included elsewhere in this Quarterly Report on Form 10-Q.</w:t>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47"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209"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4"/>
          </w:tcPr>
          <w:p>
            <w:pPr>
              <w:jc w:val="right"/>
              <w:ind w:right="586"/>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8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6"/>
              <w:spacing w:after="0"/>
              <w:rPr>
                <w:sz w:val="20"/>
                <w:szCs w:val="20"/>
                <w:color w:val="auto"/>
              </w:rPr>
            </w:pPr>
            <w:r>
              <w:rPr>
                <w:rFonts w:ascii="Arial" w:cs="Arial" w:eastAsia="Arial" w:hAnsi="Arial"/>
                <w:sz w:val="16"/>
                <w:szCs w:val="16"/>
                <w:b w:val="1"/>
                <w:bCs w:val="1"/>
                <w:color w:val="auto"/>
              </w:rPr>
              <w:t>2014</w:t>
            </w:r>
          </w:p>
        </w:tc>
      </w:tr>
      <w:tr>
        <w:trPr>
          <w:trHeight w:val="247"/>
        </w:trPr>
        <w:tc>
          <w:tcPr>
            <w:tcW w:w="8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21"/>
                <w:szCs w:val="21"/>
                <w:color w:val="auto"/>
              </w:rPr>
            </w:pPr>
          </w:p>
        </w:tc>
      </w:tr>
      <w:tr>
        <w:trPr>
          <w:trHeight w:val="280"/>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41,668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24,862</w:t>
            </w:r>
          </w:p>
        </w:tc>
      </w:tr>
      <w:tr>
        <w:trPr>
          <w:trHeight w:val="264"/>
        </w:trPr>
        <w:tc>
          <w:tcPr>
            <w:tcW w:w="8540" w:type="dxa"/>
            <w:vAlign w:val="bottom"/>
          </w:tcPr>
          <w:p>
            <w:pPr>
              <w:ind w:left="20"/>
              <w:spacing w:after="0"/>
              <w:rPr>
                <w:sz w:val="20"/>
                <w:szCs w:val="20"/>
                <w:color w:val="auto"/>
              </w:rPr>
            </w:pPr>
            <w:r>
              <w:rPr>
                <w:rFonts w:ascii="Arial" w:cs="Arial" w:eastAsia="Arial" w:hAnsi="Arial"/>
                <w:sz w:val="14"/>
                <w:szCs w:val="14"/>
                <w:color w:val="auto"/>
              </w:rPr>
              <w:t>Less: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8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(14,865)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(10,196)</w:t>
            </w:r>
          </w:p>
        </w:tc>
      </w:tr>
      <w:tr>
        <w:trPr>
          <w:trHeight w:val="264"/>
        </w:trPr>
        <w:tc>
          <w:tcPr>
            <w:tcW w:w="85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Capitalized software development costs</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w:t>
            </w:r>
          </w:p>
        </w:tc>
      </w:tr>
      <w:tr>
        <w:trPr>
          <w:trHeight w:val="24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4"/>
                <w:szCs w:val="14"/>
                <w:color w:val="auto"/>
              </w:rPr>
              <w:t>26,704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14,666</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382"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96"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a substantial majority of our revenues through the sale of subscriptions to our QualysGuard Vulnerability Management solution, and a majority of our customers have also purchased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QualysGuard Cloud Platform into our customers’ private cloud environment. Customers are required to return physical scanner appliances and computer equipment if they do not renew their subscriptions.</w:t>
      </w:r>
    </w:p>
    <w:p>
      <w:pPr>
        <w:spacing w:after="0" w:line="18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overhead allocations. We expect to continue to make capital investments to expand and support our data center operations as we support more customers and add more solutions and functionality to our platforms, which will increase the cost of revenues in absolute dollars.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38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and overhead allocations. We expect that general and administrative expenses will increase in absolute dollars, as we continue to add personnel and incur professional services to support our growth and compliance with legal requirements.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93"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Japanese Yen; losses on disposal of property and equipment; and interest expense associated with our capital leases.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non-deductible stock-based compensation expense and other adjustments.</w:t>
      </w:r>
    </w:p>
    <w:p>
      <w:pPr>
        <w:spacing w:after="0" w:line="9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41" w:right="3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231F20"/>
        </w:rPr>
        <w:t>liabilities of a change in tax rates is recognized in income in the period when the statutory rate change is enacted into law.</w:t>
      </w:r>
    </w:p>
    <w:p>
      <w:pPr>
        <w:spacing w:after="0" w:line="117"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9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provision for income taxes in the nine months ended September 30, 2015 consists of income taxes for federal and certain states in the United States, as well as income taxes for profits generated in foreign jurisdictions by wholly owned subsidiaries. Our provision for income taxes in the nine months ended September 30, 2014 consists primarily of income taxes resulting from profits generated in foreign jurisdictions by wholly-owned subsidiaries, along with state income taxes payable in the United States, as we had maintained a valuation allowance on our U.S. federal and state net deferred tax assets in the first nine months of 2014. The provision for income taxes also includes changes to unrecognized tax benefits related to uncertain tax positions.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141" w:right="37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7"/>
          </w:tcPr>
          <w:p>
            <w:pPr>
              <w:jc w:val="right"/>
              <w:ind w:right="62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jc w:val="right"/>
              <w:ind w:right="382"/>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582"/>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00" w:type="dxa"/>
            <w:vAlign w:val="bottom"/>
            <w:gridSpan w:val="7"/>
          </w:tcPr>
          <w:p>
            <w:pPr>
              <w:ind w:left="18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22"/>
                <w:szCs w:val="22"/>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231F20"/>
              </w:rPr>
              <w:t>42,469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6"/>
                <w:szCs w:val="16"/>
                <w:color w:val="231F20"/>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231F20"/>
              </w:rPr>
              <w:t>34,348</w:t>
            </w:r>
          </w:p>
        </w:tc>
        <w:tc>
          <w:tcPr>
            <w:tcW w:w="10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140" w:type="dxa"/>
            <w:vAlign w:val="bottom"/>
          </w:tcPr>
          <w:p>
            <w:pPr>
              <w:spacing w:after="0"/>
              <w:rPr>
                <w:sz w:val="22"/>
                <w:szCs w:val="22"/>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231F20"/>
              </w:rPr>
              <w:t>119,839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231F20"/>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231F20"/>
              </w:rPr>
              <w:t>97,006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140" w:type="dxa"/>
            <w:vAlign w:val="bottom"/>
            <w:tcBorders>
              <w:bottom w:val="single" w:sz="8" w:color="231F20"/>
            </w:tcBorders>
            <w:shd w:val="clear" w:color="auto" w:fill="CCEEFF"/>
          </w:tcPr>
          <w:p>
            <w:pPr>
              <w:spacing w:after="0"/>
              <w:rPr>
                <w:sz w:val="24"/>
                <w:szCs w:val="24"/>
                <w:color w:val="auto"/>
              </w:rPr>
            </w:pPr>
          </w:p>
        </w:tc>
        <w:tc>
          <w:tcPr>
            <w:tcW w:w="240" w:type="dxa"/>
            <w:vAlign w:val="bottom"/>
            <w:tcBorders>
              <w:bottom w:val="single" w:sz="8" w:color="231F20"/>
            </w:tcBorders>
            <w:shd w:val="clear" w:color="auto" w:fill="CCEEFF"/>
          </w:tcPr>
          <w:p>
            <w:pPr>
              <w:spacing w:after="0"/>
              <w:rPr>
                <w:sz w:val="24"/>
                <w:szCs w:val="24"/>
                <w:color w:val="auto"/>
              </w:rPr>
            </w:pPr>
          </w:p>
        </w:tc>
        <w:tc>
          <w:tcPr>
            <w:tcW w:w="1040" w:type="dxa"/>
            <w:vAlign w:val="bottom"/>
            <w:tcBorders>
              <w:bottom w:val="single" w:sz="8" w:color="231F20"/>
            </w:tcBorders>
            <w:shd w:val="clear" w:color="auto" w:fill="CCEEFF"/>
          </w:tcPr>
          <w:p>
            <w:pPr>
              <w:jc w:val="right"/>
              <w:ind w:right="62"/>
              <w:spacing w:after="0"/>
              <w:rPr>
                <w:sz w:val="20"/>
                <w:szCs w:val="20"/>
                <w:color w:val="auto"/>
              </w:rPr>
            </w:pPr>
            <w:r>
              <w:rPr>
                <w:rFonts w:ascii="Arial" w:cs="Arial" w:eastAsia="Arial" w:hAnsi="Arial"/>
                <w:sz w:val="16"/>
                <w:szCs w:val="16"/>
                <w:color w:val="231F20"/>
              </w:rPr>
              <w:t>8,762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231F20"/>
            </w:tcBorders>
            <w:shd w:val="clear" w:color="auto" w:fill="CCEEFF"/>
          </w:tcPr>
          <w:p>
            <w:pPr>
              <w:spacing w:after="0"/>
              <w:rPr>
                <w:sz w:val="24"/>
                <w:szCs w:val="24"/>
                <w:color w:val="auto"/>
              </w:rPr>
            </w:pPr>
          </w:p>
        </w:tc>
        <w:tc>
          <w:tcPr>
            <w:tcW w:w="360" w:type="dxa"/>
            <w:vAlign w:val="bottom"/>
            <w:tcBorders>
              <w:bottom w:val="single" w:sz="8" w:color="231F20"/>
            </w:tcBorders>
            <w:shd w:val="clear" w:color="auto" w:fill="CCEEFF"/>
          </w:tcPr>
          <w:p>
            <w:pPr>
              <w:spacing w:after="0"/>
              <w:rPr>
                <w:sz w:val="24"/>
                <w:szCs w:val="24"/>
                <w:color w:val="auto"/>
              </w:rPr>
            </w:pPr>
          </w:p>
        </w:tc>
        <w:tc>
          <w:tcPr>
            <w:tcW w:w="76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7,421</w:t>
            </w:r>
          </w:p>
        </w:tc>
        <w:tc>
          <w:tcPr>
            <w:tcW w:w="100" w:type="dxa"/>
            <w:vAlign w:val="bottom"/>
            <w:shd w:val="clear" w:color="auto" w:fill="CCEEFF"/>
          </w:tcPr>
          <w:p>
            <w:pPr>
              <w:spacing w:after="0"/>
              <w:rPr>
                <w:sz w:val="24"/>
                <w:szCs w:val="24"/>
                <w:color w:val="auto"/>
              </w:rPr>
            </w:pPr>
          </w:p>
        </w:tc>
        <w:tc>
          <w:tcPr>
            <w:tcW w:w="8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80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24,883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8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21,442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16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33,707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26,927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94,956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75,564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231F20"/>
              </w:rPr>
              <w:t>7,564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231F20"/>
              </w:rPr>
              <w:t>6,490</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231F20"/>
              </w:rPr>
              <w:t>21,919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231F20"/>
              </w:rPr>
              <w:t>19,305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231F20"/>
              </w:rPr>
              <w:t>12,282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231F20"/>
              </w:rPr>
              <w:t>11,774</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231F20"/>
              </w:rPr>
              <w:t>36,501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36,111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140" w:type="dxa"/>
            <w:vAlign w:val="bottom"/>
            <w:tcBorders>
              <w:bottom w:val="single" w:sz="8" w:color="231F20"/>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1040" w:type="dxa"/>
            <w:vAlign w:val="bottom"/>
            <w:tcBorders>
              <w:bottom w:val="single" w:sz="8" w:color="231F20"/>
            </w:tcBorders>
          </w:tcPr>
          <w:p>
            <w:pPr>
              <w:jc w:val="right"/>
              <w:ind w:right="62"/>
              <w:spacing w:after="0"/>
              <w:rPr>
                <w:sz w:val="20"/>
                <w:szCs w:val="20"/>
                <w:color w:val="auto"/>
              </w:rPr>
            </w:pPr>
            <w:r>
              <w:rPr>
                <w:rFonts w:ascii="Arial" w:cs="Arial" w:eastAsia="Arial" w:hAnsi="Arial"/>
                <w:sz w:val="16"/>
                <w:szCs w:val="16"/>
                <w:color w:val="231F20"/>
              </w:rPr>
              <w:t>6,983</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76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231F20"/>
              </w:rPr>
              <w:t>5,156</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231F20"/>
              </w:rPr>
              <w:t>19,426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15,112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1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26,829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23,420</w:t>
            </w:r>
          </w:p>
        </w:tc>
        <w:tc>
          <w:tcPr>
            <w:tcW w:w="1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77,846</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70,528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6,878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17,110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5,036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14"/>
                <w:szCs w:val="14"/>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 xml:space="preserve">Income before income taxes </w:t>
            </w:r>
            <w:r>
              <w:rPr>
                <w:rFonts w:ascii="Arial" w:cs="Arial" w:eastAsia="Arial" w:hAnsi="Arial"/>
                <w:sz w:val="14"/>
                <w:szCs w:val="14"/>
                <w:color w:val="auto"/>
                <w:vertAlign w:val="superscript"/>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6,724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17,007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4,970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231F20"/>
            </w:tcBorders>
            <w:shd w:val="clear" w:color="auto" w:fill="CCEEFF"/>
          </w:tcPr>
          <w:p>
            <w:pPr>
              <w:spacing w:after="0"/>
              <w:rPr>
                <w:sz w:val="23"/>
                <w:szCs w:val="23"/>
                <w:color w:val="auto"/>
              </w:rPr>
            </w:pPr>
          </w:p>
        </w:tc>
        <w:tc>
          <w:tcPr>
            <w:tcW w:w="240" w:type="dxa"/>
            <w:vAlign w:val="bottom"/>
            <w:tcBorders>
              <w:bottom w:val="single" w:sz="8" w:color="231F20"/>
            </w:tcBorders>
            <w:shd w:val="clear" w:color="auto" w:fill="CCEEFF"/>
          </w:tcPr>
          <w:p>
            <w:pPr>
              <w:spacing w:after="0"/>
              <w:rPr>
                <w:sz w:val="23"/>
                <w:szCs w:val="23"/>
                <w:color w:val="auto"/>
              </w:rPr>
            </w:pPr>
          </w:p>
        </w:tc>
        <w:tc>
          <w:tcPr>
            <w:tcW w:w="1040" w:type="dxa"/>
            <w:vAlign w:val="bottom"/>
            <w:tcBorders>
              <w:bottom w:val="single" w:sz="8" w:color="231F20"/>
            </w:tcBorders>
            <w:shd w:val="clear" w:color="auto" w:fill="CCEEFF"/>
          </w:tcPr>
          <w:p>
            <w:pPr>
              <w:jc w:val="right"/>
              <w:ind w:right="62"/>
              <w:spacing w:after="0"/>
              <w:rPr>
                <w:sz w:val="20"/>
                <w:szCs w:val="20"/>
                <w:color w:val="auto"/>
              </w:rPr>
            </w:pPr>
            <w:r>
              <w:rPr>
                <w:rFonts w:ascii="Arial" w:cs="Arial" w:eastAsia="Arial" w:hAnsi="Arial"/>
                <w:sz w:val="16"/>
                <w:szCs w:val="16"/>
                <w:color w:val="231F20"/>
              </w:rPr>
              <w:t>2,601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231F20"/>
            </w:tcBorders>
            <w:shd w:val="clear" w:color="auto" w:fill="CCEEFF"/>
          </w:tcPr>
          <w:p>
            <w:pPr>
              <w:spacing w:after="0"/>
              <w:rPr>
                <w:sz w:val="23"/>
                <w:szCs w:val="23"/>
                <w:color w:val="auto"/>
              </w:rPr>
            </w:pPr>
          </w:p>
        </w:tc>
        <w:tc>
          <w:tcPr>
            <w:tcW w:w="360" w:type="dxa"/>
            <w:vAlign w:val="bottom"/>
            <w:tcBorders>
              <w:bottom w:val="single" w:sz="8" w:color="231F20"/>
            </w:tcBorders>
            <w:shd w:val="clear" w:color="auto" w:fill="CCEEFF"/>
          </w:tcPr>
          <w:p>
            <w:pPr>
              <w:spacing w:after="0"/>
              <w:rPr>
                <w:sz w:val="23"/>
                <w:szCs w:val="23"/>
                <w:color w:val="auto"/>
              </w:rPr>
            </w:pPr>
          </w:p>
        </w:tc>
        <w:tc>
          <w:tcPr>
            <w:tcW w:w="76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283</w:t>
            </w:r>
          </w:p>
        </w:tc>
        <w:tc>
          <w:tcPr>
            <w:tcW w:w="100" w:type="dxa"/>
            <w:vAlign w:val="bottom"/>
            <w:shd w:val="clear" w:color="auto" w:fill="CCEEFF"/>
          </w:tcPr>
          <w:p>
            <w:pPr>
              <w:spacing w:after="0"/>
              <w:rPr>
                <w:sz w:val="23"/>
                <w:szCs w:val="23"/>
                <w:color w:val="auto"/>
              </w:rPr>
            </w:pPr>
          </w:p>
        </w:tc>
        <w:tc>
          <w:tcPr>
            <w:tcW w:w="8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80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6,566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8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639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14"/>
                <w:szCs w:val="14"/>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4,123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3,105</w:t>
            </w:r>
          </w:p>
        </w:tc>
        <w:tc>
          <w:tcPr>
            <w:tcW w:w="10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10,441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4,331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380" w:type="dxa"/>
            <w:vAlign w:val="bottom"/>
            <w:vMerge w:val="continue"/>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160" w:type="dxa"/>
            <w:vAlign w:val="bottom"/>
            <w:gridSpan w:val="2"/>
          </w:tcPr>
          <w:p>
            <w:pPr>
              <w:spacing w:after="0"/>
              <w:rPr>
                <w:sz w:val="20"/>
                <w:szCs w:val="20"/>
                <w:color w:val="auto"/>
              </w:rPr>
            </w:pPr>
            <w:r>
              <w:rPr>
                <w:rFonts w:ascii="Arial" w:cs="Arial" w:eastAsia="Arial" w:hAnsi="Arial"/>
                <w:sz w:val="14"/>
                <w:szCs w:val="14"/>
                <w:color w:val="231F20"/>
              </w:rPr>
              <w:t>(1) Includes stock-based compensation as follows: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1"/>
        </w:trPr>
        <w:tc>
          <w:tcPr>
            <w:tcW w:w="1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6"/>
          </w:tcPr>
          <w:p>
            <w:pPr>
              <w:jc w:val="right"/>
              <w:ind w:right="362"/>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542"/>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00" w:type="dxa"/>
            <w:vAlign w:val="bottom"/>
            <w:gridSpan w:val="7"/>
          </w:tcPr>
          <w:p>
            <w:pPr>
              <w:ind w:left="3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380" w:type="dxa"/>
            <w:vAlign w:val="bottom"/>
          </w:tcPr>
          <w:p>
            <w:pPr>
              <w:spacing w:after="0"/>
              <w:rPr>
                <w:sz w:val="24"/>
                <w:szCs w:val="24"/>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333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175</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482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Arial" w:cs="Arial" w:eastAsia="Arial" w:hAnsi="Arial"/>
                <w:sz w:val="14"/>
                <w:szCs w:val="14"/>
                <w:color w:val="auto"/>
              </w:rPr>
              <w:t>1,294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599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3"/>
          </w:tcPr>
          <w:p>
            <w:pPr>
              <w:jc w:val="right"/>
              <w:ind w:right="19"/>
              <w:spacing w:after="0"/>
              <w:rPr>
                <w:sz w:val="20"/>
                <w:szCs w:val="20"/>
                <w:color w:val="auto"/>
              </w:rPr>
            </w:pPr>
            <w:r>
              <w:rPr>
                <w:rFonts w:ascii="Arial" w:cs="Arial" w:eastAsia="Arial" w:hAnsi="Arial"/>
                <w:sz w:val="14"/>
                <w:szCs w:val="14"/>
                <w:color w:val="auto"/>
              </w:rPr>
              <w:t>3,584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
              <w:spacing w:after="0"/>
              <w:rPr>
                <w:sz w:val="20"/>
                <w:szCs w:val="20"/>
                <w:color w:val="auto"/>
              </w:rPr>
            </w:pPr>
            <w:r>
              <w:rPr>
                <w:rFonts w:ascii="Arial" w:cs="Arial" w:eastAsia="Arial" w:hAnsi="Arial"/>
                <w:sz w:val="14"/>
                <w:szCs w:val="14"/>
                <w:color w:val="auto"/>
              </w:rPr>
              <w:t>1,551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380" w:type="dxa"/>
            <w:vAlign w:val="bottom"/>
          </w:tcPr>
          <w:p>
            <w:pPr>
              <w:spacing w:after="0"/>
              <w:rPr>
                <w:sz w:val="24"/>
                <w:szCs w:val="24"/>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1,015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color w:val="auto"/>
              </w:rPr>
              <w:t>2,806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1,852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1,779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1,159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color w:val="auto"/>
              </w:rPr>
              <w:t>5,283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3,215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stock-based compensation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4,421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2,494</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color w:val="auto"/>
              </w:rPr>
              <w:t>12,678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7,100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320" w:firstLine="8"/>
        <w:spacing w:after="0" w:line="229" w:lineRule="auto"/>
        <w:tabs>
          <w:tab w:leader="none" w:pos="216"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Other income (expense), net, income before income taxes, and net income for the three and nine months ended September 30, 2014 have been adjusted for an immaterial error as further described in Note 1 to our condensed consolidated financial statements included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44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2014</w:t>
            </w:r>
          </w:p>
        </w:tc>
      </w:tr>
      <w:tr>
        <w:trPr>
          <w:trHeight w:val="25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r>
      <w:tr>
        <w:trPr>
          <w:trHeight w:val="257"/>
        </w:trPr>
        <w:tc>
          <w:tcPr>
            <w:tcW w:w="6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r>
      <w:tr>
        <w:trPr>
          <w:trHeight w:val="260"/>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6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60"/>
        </w:trPr>
        <w:tc>
          <w:tcPr>
            <w:tcW w:w="636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37</w:t>
            </w:r>
          </w:p>
        </w:tc>
      </w:tr>
      <w:tr>
        <w:trPr>
          <w:trHeight w:val="273"/>
        </w:trPr>
        <w:tc>
          <w:tcPr>
            <w:tcW w:w="5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250"/>
        </w:trPr>
        <w:tc>
          <w:tcPr>
            <w:tcW w:w="54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w:t>
            </w:r>
          </w:p>
        </w:tc>
      </w:tr>
      <w:tr>
        <w:trPr>
          <w:trHeight w:val="25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r>
      <w:tr>
        <w:trPr>
          <w:trHeight w:val="25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r>
      <w:tr>
        <w:trPr>
          <w:trHeight w:val="240"/>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September 30, 2015</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2014</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42,469</w:t>
            </w:r>
          </w:p>
        </w:tc>
        <w:tc>
          <w:tcPr>
            <w:tcW w:w="8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3"/>
              </w:rPr>
              <w:t>34,348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8,121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bl>
    <w:p>
      <w:pPr>
        <w:spacing w:after="0" w:line="215"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231F20"/>
        </w:rPr>
        <w:t xml:space="preserve">Revenues increased $8.1 million for the </w:t>
      </w:r>
      <w:r>
        <w:rPr>
          <w:rFonts w:ascii="Arial" w:cs="Arial" w:eastAsia="Arial" w:hAnsi="Arial"/>
          <w:sz w:val="18"/>
          <w:szCs w:val="18"/>
          <w:color w:val="000000"/>
        </w:rPr>
        <w:t>three months ended September 30,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September 30,</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primarily due to new customer subscriptions entered into after September 30, 2014 and from an increase in the purchase of</w:t>
      </w:r>
      <w:r>
        <w:rPr>
          <w:rFonts w:ascii="Arial" w:cs="Arial" w:eastAsia="Arial" w:hAnsi="Arial"/>
          <w:sz w:val="18"/>
          <w:szCs w:val="18"/>
          <w:color w:val="000000"/>
        </w:rPr>
        <w:t xml:space="preserve"> </w:t>
      </w:r>
      <w:r>
        <w:rPr>
          <w:rFonts w:ascii="Arial" w:cs="Arial" w:eastAsia="Arial" w:hAnsi="Arial"/>
          <w:sz w:val="18"/>
          <w:szCs w:val="18"/>
          <w:color w:val="231F20"/>
        </w:rPr>
        <w:t xml:space="preserve">subscriptions from existing customers. Of the total increase of </w:t>
      </w:r>
      <w:r>
        <w:rPr>
          <w:rFonts w:ascii="Arial" w:cs="Arial" w:eastAsia="Arial" w:hAnsi="Arial"/>
          <w:sz w:val="18"/>
          <w:szCs w:val="18"/>
          <w:color w:val="000000"/>
        </w:rPr>
        <w:t>$ 8.1 million</w:t>
      </w:r>
      <w:r>
        <w:rPr>
          <w:rFonts w:ascii="Arial" w:cs="Arial" w:eastAsia="Arial" w:hAnsi="Arial"/>
          <w:sz w:val="18"/>
          <w:szCs w:val="18"/>
          <w:color w:val="231F20"/>
        </w:rPr>
        <w:t>, $6.0 million was from customers in the United States and the remaining $2.1 million was from customers in foreign countries. The growth in revenues reflects the continued demand for our existing and newer solutions.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8,762</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1,341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Cost of revenues increased $1.3 million for the </w:t>
      </w:r>
      <w:r>
        <w:rPr>
          <w:rFonts w:ascii="Arial" w:cs="Arial" w:eastAsia="Arial" w:hAnsi="Arial"/>
          <w:sz w:val="18"/>
          <w:szCs w:val="18"/>
          <w:color w:val="000000"/>
        </w:rPr>
        <w:t>three months ended September 30,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30, 2014 </w:t>
      </w:r>
      <w:r>
        <w:rPr>
          <w:rFonts w:ascii="Arial" w:cs="Arial" w:eastAsia="Arial" w:hAnsi="Arial"/>
          <w:sz w:val="18"/>
          <w:szCs w:val="18"/>
          <w:color w:val="231F20"/>
        </w:rPr>
        <w:t>primarily due to a $0.7 million increase in depreciation expense related to additional computer hardware and 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increased third-party software license maintenance expense of $0.4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million; and increased stock based compensation of $0.2 million.</w:t>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7,564</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1,074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8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Research and development expenses increased $1.1 million in the three months ended September 30, 2015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 xml:space="preserve">months ended September 30, 2014 </w:t>
      </w:r>
      <w:r>
        <w:rPr>
          <w:rFonts w:ascii="Arial" w:cs="Arial" w:eastAsia="Arial" w:hAnsi="Arial"/>
          <w:sz w:val="18"/>
          <w:szCs w:val="18"/>
          <w:color w:val="231F20"/>
        </w:rPr>
        <w:t>primarily due to an increase in personnel expenses of $1.1 million, due to new employees and higher</w:t>
      </w:r>
      <w:r>
        <w:rPr>
          <w:rFonts w:ascii="Arial" w:cs="Arial" w:eastAsia="Arial" w:hAnsi="Arial"/>
          <w:sz w:val="18"/>
          <w:szCs w:val="18"/>
          <w:color w:val="000000"/>
        </w:rPr>
        <w:t xml:space="preserve"> </w:t>
      </w:r>
      <w:r>
        <w:rPr>
          <w:rFonts w:ascii="Arial" w:cs="Arial" w:eastAsia="Arial" w:hAnsi="Arial"/>
          <w:sz w:val="18"/>
          <w:szCs w:val="18"/>
          <w:color w:val="231F20"/>
        </w:rPr>
        <w:t>stock-based compensation. We continue to significantly invest in and expand our research and development teams to continuously improve our platform and existing solutions, as well as develop new solutions and capabilities.</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12,282</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11,774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508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 xml:space="preserve">Sales and marketing expenses increased $0.5 million for the </w:t>
      </w:r>
      <w:r>
        <w:rPr>
          <w:rFonts w:ascii="Arial" w:cs="Arial" w:eastAsia="Arial" w:hAnsi="Arial"/>
          <w:sz w:val="18"/>
          <w:szCs w:val="18"/>
          <w:color w:val="000000"/>
        </w:rPr>
        <w:t>three months ended September 30,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2014</w:t>
      </w:r>
      <w:r>
        <w:rPr>
          <w:rFonts w:ascii="Arial" w:cs="Arial" w:eastAsia="Arial" w:hAnsi="Arial"/>
          <w:sz w:val="18"/>
          <w:szCs w:val="18"/>
          <w:color w:val="231F20"/>
        </w:rPr>
        <w:t>, primarily due to increased personnel expenses of $0.3 million, principally due to new employees and higher stock</w:t>
      </w:r>
      <w:r>
        <w:rPr>
          <w:rFonts w:ascii="Arial" w:cs="Arial" w:eastAsia="Arial" w:hAnsi="Arial"/>
          <w:sz w:val="18"/>
          <w:szCs w:val="18"/>
          <w:color w:val="000000"/>
        </w:rPr>
        <w:t xml:space="preserve"> </w:t>
      </w:r>
      <w:r>
        <w:rPr>
          <w:rFonts w:ascii="Arial" w:cs="Arial" w:eastAsia="Arial" w:hAnsi="Arial"/>
          <w:sz w:val="18"/>
          <w:szCs w:val="18"/>
          <w:color w:val="231F20"/>
        </w:rPr>
        <w:t>based compensation, and also due to an increase in marketing expenses of $0.3 million, primarily due to increased trade shows and program activities.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6,983</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5,156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1,827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jc w:val="both"/>
        <w:ind w:right="400" w:firstLine="486"/>
        <w:spacing w:after="0" w:line="256" w:lineRule="auto"/>
        <w:rPr>
          <w:sz w:val="20"/>
          <w:szCs w:val="20"/>
          <w:color w:val="auto"/>
        </w:rPr>
      </w:pPr>
      <w:r>
        <w:rPr>
          <w:rFonts w:ascii="Arial" w:cs="Arial" w:eastAsia="Arial" w:hAnsi="Arial"/>
          <w:sz w:val="18"/>
          <w:szCs w:val="18"/>
          <w:color w:val="231F20"/>
        </w:rPr>
        <w:t xml:space="preserve">General and administrative expenses increased $1.8 million for the </w:t>
      </w:r>
      <w:r>
        <w:rPr>
          <w:rFonts w:ascii="Arial" w:cs="Arial" w:eastAsia="Arial" w:hAnsi="Arial"/>
          <w:sz w:val="18"/>
          <w:szCs w:val="18"/>
          <w:color w:val="000000"/>
        </w:rPr>
        <w:t>three months ended September 30,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 xml:space="preserve">months ended September 30, 2014 </w:t>
      </w:r>
      <w:r>
        <w:rPr>
          <w:rFonts w:ascii="Arial" w:cs="Arial" w:eastAsia="Arial" w:hAnsi="Arial"/>
          <w:sz w:val="18"/>
          <w:szCs w:val="18"/>
          <w:color w:val="231F20"/>
        </w:rPr>
        <w:t>primarily driven by increased personnel expenses of $0.8 million, principally due to higher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increased professional services of $0.6 million; and increased bad debt expense and other fees of $0.3 million.</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44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6"/>
              </w:rPr>
              <w:t>(154)</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6"/>
              </w:rPr>
              <w:t>(119)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50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231F20"/>
        </w:rPr>
        <w:t>Other income (expense), net was relatively constant in the three months ended September 30, 2015 and 2014. Other income (expense), net, is primarily comprised of investment and interest income, offset by foreign exchange losses in both periods.</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2,601</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2,318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62"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231F20"/>
        </w:rPr>
        <w:t xml:space="preserve">Provision for income taxes increased $2.3 million for the </w:t>
      </w:r>
      <w:r>
        <w:rPr>
          <w:rFonts w:ascii="Arial" w:cs="Arial" w:eastAsia="Arial" w:hAnsi="Arial"/>
          <w:sz w:val="18"/>
          <w:szCs w:val="18"/>
          <w:color w:val="000000"/>
        </w:rPr>
        <w:t>three months ended September 30,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2014</w:t>
      </w:r>
      <w:r>
        <w:rPr>
          <w:rFonts w:ascii="Arial" w:cs="Arial" w:eastAsia="Arial" w:hAnsi="Arial"/>
          <w:sz w:val="18"/>
          <w:szCs w:val="18"/>
          <w:color w:val="231F20"/>
        </w:rPr>
        <w:t>, primarily due to the provision for U.S. federal income taxes in the third quarter of 2015. We had maintained a valuation</w:t>
      </w:r>
      <w:r>
        <w:rPr>
          <w:rFonts w:ascii="Arial" w:cs="Arial" w:eastAsia="Arial" w:hAnsi="Arial"/>
          <w:sz w:val="18"/>
          <w:szCs w:val="18"/>
          <w:color w:val="000000"/>
        </w:rPr>
        <w:t xml:space="preserve"> </w:t>
      </w:r>
      <w:r>
        <w:rPr>
          <w:rFonts w:ascii="Arial" w:cs="Arial" w:eastAsia="Arial" w:hAnsi="Arial"/>
          <w:sz w:val="18"/>
          <w:szCs w:val="18"/>
          <w:color w:val="231F20"/>
        </w:rPr>
        <w:t>allowance against our U.S. federal and state deferred tax assets prior to the fourth quarter of 2014, and accordingly, our income tax provision for the three months ended September 30, 2014 was primarily made up of taxes on income in foreign jurisdictions and certain states in the United States.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Nine Months Ended September 30, </w:t>
      </w:r>
      <w:r>
        <w:rPr>
          <w:rFonts w:ascii="Arial" w:cs="Arial" w:eastAsia="Arial" w:hAnsi="Arial"/>
          <w:sz w:val="18"/>
          <w:szCs w:val="18"/>
          <w:b w:val="1"/>
          <w:bCs w:val="1"/>
          <w:color w:val="000000"/>
        </w:rPr>
        <w:t>2015</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2014</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ind w:left="380"/>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September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119,839</w:t>
            </w:r>
          </w:p>
        </w:tc>
        <w:tc>
          <w:tcPr>
            <w:tcW w:w="8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97,006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22,833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bl>
    <w:p>
      <w:pPr>
        <w:spacing w:after="0" w:line="215"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231F20"/>
        </w:rPr>
        <w:t>Revenues increased $22.8 million for the nine months ended September 30, 2015 compared to the nine months ended September 30, 2014, primarily due to new customer subscriptions entered into after September 30, 2014 and from an increase in the purchase of subscriptions from existing customers. Of the total increase of $ 22.8 million, $16.5 million was from customers in the United States and the remaining $6.3 million was from customers in foreign countries. The growth in revenues reflects the continued demand for our existing and newer solutions.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24,883</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21,442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3,441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231F20"/>
        </w:rPr>
        <w:t>Cost of revenues increased $3.4 million for the nine months ended September 30, 2015 compared to the nine months ended September 30, 2014 primarily due to an $1.5 million increase in depreciation expense related to additional computer hardware and software; increased third-party software license maintenance expense of $1.1 million; increased stock based compensation of $0.5 million; as well as increased data center costs of $0.2 million to support the continued growth of our business.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21,919</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19,305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2,614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39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231F20"/>
        </w:rPr>
        <w:t>Research and development expenses increased $2.6 million in the nine months ended September 30, 2015 compared to the nine months ended September 30, 2014, primarily due to an increase in personnel expenses of $2.6 million due to new employees and higher stock-based compensation. We continue to significantly invest in and expand our research and development teams to to continuously improve our platform and existing solutions, as well as develop new solutions and capabilities.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36,501</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36,111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390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231F20"/>
        </w:rPr>
        <w:t>Sales and marketing expenses were relatively constant during the nine months ended September 30, 2015 and 2014. We had increased marketing program and trade show activities in the nine months ended September 30, 2015 due to growth of business and introduction of new solutions.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19,426</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4,314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231F20"/>
        </w:rPr>
        <w:t>General and administrative expenses increased $4.3 million for the nine months ended September 30, 2015 compared to the nine months ended September 30, 2014, primarily driven by increased personnel expenses of $2.2 million, principally due to higher stock-based compensation; increased professional services of $1.0 million; and increased bad debt expense and other fees of $0.6 million.</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48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33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6"/>
              </w:rPr>
              <w:t>(103)</w:t>
            </w:r>
          </w:p>
        </w:tc>
        <w:tc>
          <w:tcPr>
            <w:tcW w:w="102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50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231F20"/>
        </w:rPr>
        <w:t>Other income (expense), net was relatively constant for the nine months ended September 30, 2015 and 2014. Other income (expense), net, is primarily comprised of investment and interest income, offset by foreign exchange losses in both periods.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6,566</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5,927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62"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231F20"/>
        </w:rPr>
        <w:t>Provision for income taxes increased $5.9 million for the nine months ended September 30, 2015 compared to the nine months ended September 30, 2014, primarily due to the provision for U.S. federal income taxes in the first nine months of 2015. We had maintained a valuation allowance against our U.S. federal and state deferred tax assets prior to the fourth quarter of 2014, accordingly, our income tax provision for the first nine months ended September 30, 2014 was primarily made up of taxes on income in foreign jurisdictions and certain states in the United States.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2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September 30, 2015</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$199.9</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$4.3 million 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U.S. income taxes on such amounts, less previously paid foreign income taxes.</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We have experienced positive cash flows from operations during the nine months ended September 30, 2015 and 2014.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9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24,862</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Cash provided by (used in) investing activities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16,743</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4,338</w:t>
            </w: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45,916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2015</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$41.7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$10.4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$10.6</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million</w:t>
      </w:r>
      <w:r>
        <w:rPr>
          <w:rFonts w:ascii="Arial" w:cs="Arial" w:eastAsia="Arial" w:hAnsi="Arial"/>
          <w:sz w:val="18"/>
          <w:szCs w:val="18"/>
          <w:color w:val="231F20"/>
        </w:rPr>
        <w:t>, attributable to our continued growth, and by non-cash items including depreciation and amortization expense of</w:t>
      </w:r>
      <w:r>
        <w:rPr>
          <w:rFonts w:ascii="Arial" w:cs="Arial" w:eastAsia="Arial" w:hAnsi="Arial"/>
          <w:sz w:val="18"/>
          <w:szCs w:val="18"/>
          <w:color w:val="auto"/>
        </w:rPr>
        <w:t xml:space="preserve"> $10.4 million</w:t>
      </w:r>
      <w:r>
        <w:rPr>
          <w:rFonts w:ascii="Arial" w:cs="Arial" w:eastAsia="Arial" w:hAnsi="Arial"/>
          <w:sz w:val="18"/>
          <w:szCs w:val="18"/>
          <w:color w:val="231F20"/>
        </w:rPr>
        <w:t xml:space="preserve">, stock-based compensation of </w:t>
      </w:r>
      <w:r>
        <w:rPr>
          <w:rFonts w:ascii="Arial" w:cs="Arial" w:eastAsia="Arial" w:hAnsi="Arial"/>
          <w:sz w:val="18"/>
          <w:szCs w:val="18"/>
          <w:color w:val="000000"/>
        </w:rPr>
        <w:t>$12.7 million</w:t>
      </w:r>
      <w:r>
        <w:rPr>
          <w:rFonts w:ascii="Arial" w:cs="Arial" w:eastAsia="Arial" w:hAnsi="Arial"/>
          <w:sz w:val="18"/>
          <w:szCs w:val="18"/>
          <w:color w:val="231F20"/>
        </w:rPr>
        <w:t>, and net utilization of deferred income tax assets of $5.1 million. These increases are partially offset by an increase in accounts receivable of $5.5 million due to continued growth.</w:t>
      </w:r>
    </w:p>
    <w:p>
      <w:pPr>
        <w:spacing w:after="0" w:line="202"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2014</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$24.9 million</w:t>
      </w:r>
      <w:r>
        <w:rPr>
          <w:rFonts w:ascii="Arial" w:cs="Arial" w:eastAsia="Arial" w:hAnsi="Arial"/>
          <w:sz w:val="18"/>
          <w:szCs w:val="18"/>
          <w:color w:val="231F20"/>
        </w:rPr>
        <w:t xml:space="preserve"> resulted from our net income of </w:t>
      </w:r>
      <w:r>
        <w:rPr>
          <w:rFonts w:ascii="Arial" w:cs="Arial" w:eastAsia="Arial" w:hAnsi="Arial"/>
          <w:sz w:val="18"/>
          <w:szCs w:val="18"/>
          <w:color w:val="000000"/>
        </w:rPr>
        <w:t>$4.3</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as adjusted by an increase in deferred revenues of</w:t>
      </w:r>
      <w:r>
        <w:rPr>
          <w:rFonts w:ascii="Arial" w:cs="Arial" w:eastAsia="Arial" w:hAnsi="Arial"/>
          <w:sz w:val="18"/>
          <w:szCs w:val="18"/>
          <w:color w:val="000000"/>
        </w:rPr>
        <w:t xml:space="preserve"> $6.9 million</w:t>
      </w:r>
      <w:r>
        <w:rPr>
          <w:rFonts w:ascii="Arial" w:cs="Arial" w:eastAsia="Arial" w:hAnsi="Arial"/>
          <w:sz w:val="18"/>
          <w:szCs w:val="18"/>
          <w:color w:val="231F20"/>
        </w:rPr>
        <w:t>, attributable to our continued growth. These working capital increases</w:t>
      </w:r>
      <w:r>
        <w:rPr>
          <w:rFonts w:ascii="Arial" w:cs="Arial" w:eastAsia="Arial" w:hAnsi="Arial"/>
          <w:sz w:val="18"/>
          <w:szCs w:val="18"/>
          <w:color w:val="000000"/>
        </w:rPr>
        <w:t xml:space="preserve"> </w:t>
      </w:r>
      <w:r>
        <w:rPr>
          <w:rFonts w:ascii="Arial" w:cs="Arial" w:eastAsia="Arial" w:hAnsi="Arial"/>
          <w:sz w:val="18"/>
          <w:szCs w:val="18"/>
          <w:color w:val="231F20"/>
        </w:rPr>
        <w:t xml:space="preserve">were further increased by non-cash items including depreciation and amortization expense of </w:t>
      </w:r>
      <w:r>
        <w:rPr>
          <w:rFonts w:ascii="Arial" w:cs="Arial" w:eastAsia="Arial" w:hAnsi="Arial"/>
          <w:sz w:val="18"/>
          <w:szCs w:val="18"/>
          <w:color w:val="000000"/>
        </w:rPr>
        <w:t>$8.8 million</w:t>
      </w:r>
      <w:r>
        <w:rPr>
          <w:rFonts w:ascii="Arial" w:cs="Arial" w:eastAsia="Arial" w:hAnsi="Arial"/>
          <w:sz w:val="18"/>
          <w:szCs w:val="18"/>
          <w:color w:val="231F20"/>
        </w:rPr>
        <w:t xml:space="preserve"> and stock-based compensation expense of </w:t>
      </w:r>
      <w:r>
        <w:rPr>
          <w:rFonts w:ascii="Arial" w:cs="Arial" w:eastAsia="Arial" w:hAnsi="Arial"/>
          <w:sz w:val="18"/>
          <w:szCs w:val="18"/>
          <w:color w:val="000000"/>
        </w:rPr>
        <w:t>$7.1 million</w:t>
      </w:r>
      <w:r>
        <w:rPr>
          <w:rFonts w:ascii="Arial" w:cs="Arial" w:eastAsia="Arial" w:hAnsi="Arial"/>
          <w:sz w:val="18"/>
          <w:szCs w:val="18"/>
          <w:color w:val="231F20"/>
        </w:rPr>
        <w:t>. These increases are partially offset by an increase in prepaid expenses and other assets of $1.2 million due to prepayment of certain maintenance contracts and increase in accounts receivable of $2.0 million.</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2015</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$30.3 million was primarily attributable to $14.9 million</w:t>
      </w:r>
      <w:r>
        <w:rPr>
          <w:rFonts w:ascii="Arial" w:cs="Arial" w:eastAsia="Arial" w:hAnsi="Arial"/>
          <w:sz w:val="18"/>
          <w:szCs w:val="18"/>
          <w:color w:val="231F20"/>
        </w:rPr>
        <w:t xml:space="preserve"> </w:t>
      </w:r>
      <w:r>
        <w:rPr>
          <w:rFonts w:ascii="Arial" w:cs="Arial" w:eastAsia="Arial" w:hAnsi="Arial"/>
          <w:sz w:val="18"/>
          <w:szCs w:val="18"/>
          <w:color w:val="000000"/>
        </w:rPr>
        <w:t>of cash for capital expenditures, including computer hardware and software for our data centers to support our growth and development and physical scanner appliances and computer hardware provided to certain customers as part of their subscriptions; and purchases of investments of $88.7 million, partially offset by sales and maturities of investments of $73.3 million.</w:t>
      </w:r>
    </w:p>
    <w:p>
      <w:pPr>
        <w:spacing w:after="0" w:line="20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2014</w:t>
      </w:r>
      <w:r>
        <w:rPr>
          <w:rFonts w:ascii="Arial" w:cs="Arial" w:eastAsia="Arial" w:hAnsi="Arial"/>
          <w:sz w:val="18"/>
          <w:szCs w:val="18"/>
          <w:color w:val="231F20"/>
        </w:rPr>
        <w:t xml:space="preserve">, cash provided by investing activities of $16.7 million was primarily attributable to $144.2 million from </w:t>
      </w:r>
      <w:r>
        <w:rPr>
          <w:rFonts w:ascii="Arial" w:cs="Arial" w:eastAsia="Arial" w:hAnsi="Arial"/>
          <w:sz w:val="18"/>
          <w:szCs w:val="18"/>
          <w:color w:val="000000"/>
        </w:rPr>
        <w:t>sales and maturities of investments which was partially offset by purchases of investments of</w:t>
      </w:r>
      <w:r>
        <w:rPr>
          <w:rFonts w:ascii="Arial" w:cs="Arial" w:eastAsia="Arial" w:hAnsi="Arial"/>
          <w:sz w:val="18"/>
          <w:szCs w:val="18"/>
          <w:color w:val="231F20"/>
        </w:rPr>
        <w:t xml:space="preserve"> $117.3 million </w:t>
      </w:r>
      <w:r>
        <w:rPr>
          <w:rFonts w:ascii="Arial" w:cs="Arial" w:eastAsia="Arial" w:hAnsi="Arial"/>
          <w:sz w:val="18"/>
          <w:szCs w:val="18"/>
          <w:color w:val="000000"/>
        </w:rPr>
        <w:t>and $10.2 million of</w:t>
      </w:r>
      <w:r>
        <w:rPr>
          <w:rFonts w:ascii="Arial" w:cs="Arial" w:eastAsia="Arial" w:hAnsi="Arial"/>
          <w:sz w:val="18"/>
          <w:szCs w:val="18"/>
          <w:color w:val="231F20"/>
        </w:rPr>
        <w:t xml:space="preserve"> </w:t>
      </w:r>
      <w:r>
        <w:rPr>
          <w:rFonts w:ascii="Arial" w:cs="Arial" w:eastAsia="Arial" w:hAnsi="Arial"/>
          <w:sz w:val="18"/>
          <w:szCs w:val="18"/>
          <w:color w:val="000000"/>
        </w:rPr>
        <w:t>cash used for capital expenditures, including computer hardware and software for our data centers to support our growth and development and physical scanner appliances provided to certain customers as part of their subscriptions.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2015</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$6.9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$6.6</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of proceeds from the exercise of stock options.</w:t>
      </w:r>
    </w:p>
    <w:p>
      <w:pPr>
        <w:spacing w:after="0" w:line="196"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2014</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$4.3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$5.0</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of proceeds from the exercise of stock options, partially offset by repayments on our capital lease obligations of</w:t>
      </w:r>
      <w:r>
        <w:rPr>
          <w:rFonts w:ascii="Arial" w:cs="Arial" w:eastAsia="Arial" w:hAnsi="Arial"/>
          <w:sz w:val="18"/>
          <w:szCs w:val="18"/>
          <w:color w:val="000000"/>
        </w:rPr>
        <w:t xml:space="preserve"> $0.8 million</w:t>
      </w:r>
      <w:r>
        <w:rPr>
          <w:rFonts w:ascii="Arial" w:cs="Arial" w:eastAsia="Arial" w:hAnsi="Arial"/>
          <w:sz w:val="18"/>
          <w:szCs w:val="18"/>
          <w:color w:val="231F20"/>
        </w:rPr>
        <w: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93"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and certain office equipment. The following table summarizes our contractual cash obligations at </w:t>
      </w:r>
      <w:r>
        <w:rPr>
          <w:rFonts w:ascii="Arial" w:cs="Arial" w:eastAsia="Arial" w:hAnsi="Arial"/>
          <w:sz w:val="18"/>
          <w:szCs w:val="18"/>
          <w:color w:val="000000"/>
        </w:rPr>
        <w:t>September 30, 2015</w:t>
      </w:r>
      <w:r>
        <w:rPr>
          <w:rFonts w:ascii="Arial" w:cs="Arial" w:eastAsia="Arial" w:hAnsi="Arial"/>
          <w:sz w:val="18"/>
          <w:szCs w:val="18"/>
          <w:color w:val="231F20"/>
        </w:rPr>
        <w:t xml:space="preserve"> and the effect such obligations are expected to have on our liquidity and cash flows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rPr>
              <w:t>Payment Due by Period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Remainder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6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5"/>
                <w:szCs w:val="15"/>
                <w:color w:val="auto"/>
              </w:rPr>
            </w:pPr>
          </w:p>
        </w:tc>
        <w:tc>
          <w:tcPr>
            <w:tcW w:w="1100" w:type="dxa"/>
            <w:vAlign w:val="bottom"/>
            <w:gridSpan w:val="2"/>
          </w:tcPr>
          <w:p>
            <w:pPr>
              <w:ind w:left="160"/>
              <w:spacing w:after="0" w:line="181" w:lineRule="exact"/>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5"/>
                <w:szCs w:val="15"/>
                <w:color w:val="auto"/>
              </w:rPr>
            </w:pPr>
          </w:p>
        </w:tc>
        <w:tc>
          <w:tcPr>
            <w:tcW w:w="1000" w:type="dxa"/>
            <w:vAlign w:val="bottom"/>
          </w:tcPr>
          <w:p>
            <w:pPr>
              <w:jc w:val="right"/>
              <w:ind w:right="379"/>
              <w:spacing w:after="0" w:line="181" w:lineRule="exact"/>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2016-2017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2018-2019</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2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shd w:val="clear" w:color="auto" w:fill="CCEEFF"/>
              </w:rPr>
              <w:t>Operating lease obligations</w:t>
            </w:r>
          </w:p>
        </w:tc>
        <w:tc>
          <w:tcPr>
            <w:tcW w:w="4020" w:type="dxa"/>
            <w:vAlign w:val="bottom"/>
            <w:shd w:val="clear" w:color="auto" w:fill="CCEEFF"/>
          </w:tcPr>
          <w:p>
            <w:pPr>
              <w:jc w:val="right"/>
              <w:ind w:right="3826"/>
              <w:spacing w:after="0"/>
              <w:rPr>
                <w:sz w:val="20"/>
                <w:szCs w:val="20"/>
                <w:color w:val="auto"/>
              </w:rPr>
            </w:pPr>
            <w:r>
              <w:rPr>
                <w:rFonts w:ascii="Arial" w:cs="Arial" w:eastAsia="Arial" w:hAnsi="Arial"/>
                <w:sz w:val="11"/>
                <w:szCs w:val="11"/>
                <w:color w:val="auto"/>
                <w:w w:val="88"/>
                <w:shd w:val="clear" w:color="auto" w:fill="CCEEFF"/>
              </w:rPr>
              <w:t>(1)</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7,574</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1,143</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5,629</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90"/>
        </w:trPr>
        <w:tc>
          <w:tcPr>
            <w:tcW w:w="40" w:type="dxa"/>
            <w:vAlign w:val="bottom"/>
            <w:tcBorders>
              <w:bottom w:val="single" w:sz="8" w:color="CCEEFF"/>
            </w:tcBorders>
            <w:shd w:val="clear" w:color="auto" w:fill="CCEEFF"/>
          </w:tcPr>
          <w:p>
            <w:pPr>
              <w:spacing w:after="0"/>
              <w:rPr>
                <w:sz w:val="7"/>
                <w:szCs w:val="7"/>
                <w:color w:val="auto"/>
              </w:rPr>
            </w:pPr>
          </w:p>
        </w:tc>
        <w:tc>
          <w:tcPr>
            <w:tcW w:w="2000" w:type="dxa"/>
            <w:vAlign w:val="bottom"/>
            <w:tcBorders>
              <w:bottom w:val="single" w:sz="8" w:color="CCEEFF"/>
            </w:tcBorders>
            <w:gridSpan w:val="2"/>
            <w:vMerge w:val="continue"/>
            <w:shd w:val="clear" w:color="auto" w:fill="CCEEFF"/>
          </w:tcPr>
          <w:p>
            <w:pPr>
              <w:spacing w:after="0"/>
              <w:rPr>
                <w:sz w:val="7"/>
                <w:szCs w:val="7"/>
                <w:color w:val="auto"/>
              </w:rPr>
            </w:pPr>
          </w:p>
        </w:tc>
        <w:tc>
          <w:tcPr>
            <w:tcW w:w="402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02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7,574</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5,629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280" w:hanging="332"/>
        <w:spacing w:after="0" w:line="278" w:lineRule="auto"/>
        <w:tabs>
          <w:tab w:leader="none" w:pos="232" w:val="left"/>
        </w:tabs>
        <w:numPr>
          <w:ilvl w:val="0"/>
          <w:numId w:val="7"/>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nine months ended September 30, 2015</w:t>
      </w:r>
      <w:r>
        <w:rPr>
          <w:rFonts w:ascii="Arial" w:cs="Arial" w:eastAsia="Arial" w:hAnsi="Arial"/>
          <w:sz w:val="14"/>
          <w:szCs w:val="14"/>
          <w:color w:val="231F20"/>
        </w:rPr>
        <w:t>, we made regular payments on our operating lease obligations of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9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93"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2014, filed with the SEC on March 6, 2015,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1"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1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231F20"/>
        </w:rPr>
        <w:t>Quantitative and Qualitative Disclosures about Market Risk</w:t>
      </w:r>
    </w:p>
    <w:p>
      <w:pPr>
        <w:spacing w:after="0" w:line="328"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93"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 xml:space="preserve">We have $200 million in cash, cash equivalents and short-term and long-term investments at September 30, 2015. Cash and cash equivalents include cash held in banks, highly liquid money market funds, U.S. government agency securities, and commercial paper. Investments consist of fixed-income U.S. government agency securities, corporate bonds, asset-backed securities, and commercial paper. We </w:t>
      </w:r>
      <w:r>
        <w:rPr>
          <w:rFonts w:ascii="Arial" w:cs="Arial" w:eastAsia="Arial" w:hAnsi="Arial"/>
          <w:sz w:val="18"/>
          <w:szCs w:val="18"/>
          <w:color w:val="231F20"/>
        </w:rPr>
        <w:t>determine the appropriate classification of our investments at the time of purchase and reevaluate such designation at each balance sheet date. We classify our investments as either short-term or long-term based on each instrument's underlying contractual maturity date.</w:t>
      </w:r>
    </w:p>
    <w:p>
      <w:pPr>
        <w:spacing w:after="0" w:line="16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1"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7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2015,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74"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41" w:right="2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71"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marketing 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41"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41" w:right="27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100" w:firstLine="405"/>
        <w:spacing w:after="0" w:line="250"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231F20"/>
        </w:rPr>
        <w:t>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342"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In addition, we will continue to incur increased personnel and professional services expenses in connection with compliance with Section 404 of the Sarbanes-Oxley Act. As a result of these increased expenditures, we will have to generate and sustain increased revenues to achieve future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derived 79% and 82% of our revenues from subscriptions to our core QualysGuard Vulnerability Management solution for the nine months ended September 30, 2015 and 2014,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harm our business and operating results more seriously than if we derived significant revenues from a variety of solutions.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right="200"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 Service, Qualys SECURE Seal, Continuous Monitoring and Cloud Agent Platform,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economic conditions or reduced IT spending may adversely impact our business.</w:t>
      </w:r>
    </w:p>
    <w:p>
      <w:pPr>
        <w:spacing w:after="0" w:line="247"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auto"/>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four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and expect to add additional data centers throughout 2015. However, these additional facilities may not be operational in the anticipated time-frame and we may incur unplanned expenses.</w:t>
      </w:r>
    </w:p>
    <w:p>
      <w:pPr>
        <w:spacing w:after="0" w:line="2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36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compete with large and small public companies, such as Barracuda Networks, Inc., Hewlett-Packard Company, Imperva, Inc., International Business Machines Corporation, McAfee, Inc. (a subsidiary of Intel Corporation), Symantec Corporation, and Rapid7, Inc., as well as privately held security providers including BeyondTrust Software, Inc., nCircle Network Security,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right="54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41" w:right="27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13"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231F20"/>
        </w:rPr>
        <w:t>overall demand for, our solutions. Privacy concerns, whether valid or not valid, may inhibit market adoption of our solutions particularly in certain industries and foreign countries.</w:t>
      </w:r>
    </w:p>
    <w:p>
      <w:pPr>
        <w:spacing w:after="0" w:line="17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27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approximately 42% of our employees are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40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8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2012</w:t>
      </w:r>
      <w:r>
        <w:rPr>
          <w:rFonts w:ascii="Arial" w:cs="Arial" w:eastAsia="Arial" w:hAnsi="Arial"/>
          <w:sz w:val="18"/>
          <w:szCs w:val="18"/>
          <w:color w:val="231F20"/>
        </w:rPr>
        <w:t xml:space="preserve"> to </w:t>
      </w:r>
      <w:r>
        <w:rPr>
          <w:rFonts w:ascii="Arial" w:cs="Arial" w:eastAsia="Arial" w:hAnsi="Arial"/>
          <w:sz w:val="18"/>
          <w:szCs w:val="18"/>
          <w:color w:val="000000"/>
        </w:rPr>
        <w:t>2014</w:t>
      </w:r>
      <w:r>
        <w:rPr>
          <w:rFonts w:ascii="Arial" w:cs="Arial" w:eastAsia="Arial" w:hAnsi="Arial"/>
          <w:sz w:val="18"/>
          <w:szCs w:val="18"/>
          <w:color w:val="231F20"/>
        </w:rPr>
        <w:t xml:space="preserve">, our revenues have grown from </w:t>
      </w:r>
      <w:r>
        <w:rPr>
          <w:rFonts w:ascii="Arial" w:cs="Arial" w:eastAsia="Arial" w:hAnsi="Arial"/>
          <w:sz w:val="18"/>
          <w:szCs w:val="18"/>
          <w:color w:val="000000"/>
        </w:rPr>
        <w:t>$91.4 million</w:t>
      </w:r>
      <w:r>
        <w:rPr>
          <w:rFonts w:ascii="Arial" w:cs="Arial" w:eastAsia="Arial" w:hAnsi="Arial"/>
          <w:sz w:val="18"/>
          <w:szCs w:val="18"/>
          <w:color w:val="231F20"/>
        </w:rPr>
        <w:t xml:space="preserve"> to </w:t>
      </w:r>
      <w:r>
        <w:rPr>
          <w:rFonts w:ascii="Arial" w:cs="Arial" w:eastAsia="Arial" w:hAnsi="Arial"/>
          <w:sz w:val="18"/>
          <w:szCs w:val="18"/>
          <w:color w:val="000000"/>
        </w:rPr>
        <w:t>$133.6</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and our headcount increased from 359 employees at the beginning of 2012 to 497 employees at September 30, 2015. We rely on</w:t>
      </w:r>
      <w:r>
        <w:rPr>
          <w:rFonts w:ascii="Arial" w:cs="Arial" w:eastAsia="Arial" w:hAnsi="Arial"/>
          <w:sz w:val="18"/>
          <w:szCs w:val="18"/>
          <w:color w:val="000000"/>
        </w:rPr>
        <w:t xml:space="preserve"> </w:t>
      </w:r>
      <w:r>
        <w:rPr>
          <w:rFonts w:ascii="Arial" w:cs="Arial" w:eastAsia="Arial" w:hAnsi="Arial"/>
          <w:sz w:val="18"/>
          <w:szCs w:val="18"/>
          <w:color w:val="231F20"/>
        </w:rPr>
        <w:t>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success significantly depends upon establishing and maintaining relationships with a variety of channel partners and we anticipate that we will continue to depend on these partners in order to grow our business. For the nine months ended September 30, 2015 and 2014, we derived approximately 36% and 37%,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27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8"/>
          <w:szCs w:val="18"/>
          <w:color w:val="231F20"/>
        </w:rPr>
        <w:t>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200" w:lineRule="exact"/>
        <w:rPr>
          <w:sz w:val="20"/>
          <w:szCs w:val="20"/>
          <w:color w:val="auto"/>
        </w:rPr>
      </w:pPr>
    </w:p>
    <w:p>
      <w:pPr>
        <w:spacing w:after="0" w:line="20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74" w:lineRule="auto"/>
        <w:rPr>
          <w:sz w:val="20"/>
          <w:szCs w:val="20"/>
          <w:color w:val="auto"/>
        </w:rPr>
      </w:pPr>
      <w:r>
        <w:rPr>
          <w:rFonts w:ascii="Arial" w:cs="Arial" w:eastAsia="Arial" w:hAnsi="Arial"/>
          <w:sz w:val="17"/>
          <w:szCs w:val="17"/>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and could result in an inability or delay in deploying our solutions to customers that request physical scanner appliances as part of their subscriptions.</w:t>
      </w:r>
    </w:p>
    <w:p>
      <w:pPr>
        <w:spacing w:after="0" w:line="19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nine months ended September 30, 2015, we incurred approximately 21% of our expenses outside of the United States in foreign currencies, primarily Euros and British Pounds, principally with respect to salaries and related personnel expenses associated with our European operations. Additionally, for nine months ended September 30, 2015, approximately 17%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and British Pound. The results of our operations may be adversely affected by foreign exchange fluctuations.</w:t>
      </w:r>
    </w:p>
    <w:p>
      <w:pPr>
        <w:spacing w:after="0" w:line="213"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We have four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1"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6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41" w:right="27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firstLine="405"/>
        <w:spacing w:after="0" w:line="250"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$0.4 million on our condensed consolidated balance sheet as of </w:t>
      </w:r>
      <w:r>
        <w:rPr>
          <w:rFonts w:ascii="Arial" w:cs="Arial" w:eastAsia="Arial" w:hAnsi="Arial"/>
          <w:sz w:val="18"/>
          <w:szCs w:val="18"/>
          <w:color w:val="000000"/>
        </w:rPr>
        <w:t>September 30, 2015</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w:t>
      </w:r>
    </w:p>
    <w:p>
      <w:pPr>
        <w:spacing w:after="0" w:line="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231F20"/>
        </w:rPr>
        <w:t>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1"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such acquisitions may still be viewed negatively by customers, financial markets or investors. </w:t>
      </w:r>
      <w:r>
        <w:rPr>
          <w:rFonts w:ascii="Arial" w:cs="Arial" w:eastAsia="Arial" w:hAnsi="Arial"/>
          <w:sz w:val="18"/>
          <w:szCs w:val="18"/>
          <w:color w:val="231F20"/>
        </w:rPr>
        <w:t>The acquisition and integration</w:t>
      </w:r>
      <w:r>
        <w:rPr>
          <w:rFonts w:ascii="Arial" w:cs="Arial" w:eastAsia="Arial" w:hAnsi="Arial"/>
          <w:sz w:val="18"/>
          <w:szCs w:val="18"/>
          <w:color w:val="000000"/>
        </w:rPr>
        <w:t xml:space="preserve"> </w:t>
      </w:r>
      <w:r>
        <w:rPr>
          <w:rFonts w:ascii="Arial" w:cs="Arial" w:eastAsia="Arial" w:hAnsi="Arial"/>
          <w:sz w:val="18"/>
          <w:szCs w:val="18"/>
          <w:color w:val="231F20"/>
        </w:rPr>
        <w:t xml:space="preserve">process is complex, 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w:t>
      </w:r>
      <w:r>
        <w:rPr>
          <w:rFonts w:ascii="Arial" w:cs="Arial" w:eastAsia="Arial" w:hAnsi="Arial"/>
          <w:sz w:val="18"/>
          <w:szCs w:val="18"/>
          <w:color w:val="231F20"/>
        </w:rPr>
        <w:t xml:space="preserve"> </w:t>
      </w:r>
      <w:r>
        <w:rPr>
          <w:rFonts w:ascii="Arial" w:cs="Arial" w:eastAsia="Arial" w:hAnsi="Arial"/>
          <w:sz w:val="18"/>
          <w:szCs w:val="18"/>
          <w:color w:val="000000"/>
        </w:rPr>
        <w:t xml:space="preserve">may issue 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ind w:right="24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revenues through additional bookings in any period, as revenues are recognized ratably over the subscription period.</w:t>
      </w:r>
    </w:p>
    <w:p>
      <w:pPr>
        <w:spacing w:after="0" w:line="20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$56.7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Increases in our effective tax rate could harm our operating results.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4"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231F20"/>
        </w:rPr>
        <w:t xml:space="preserve">Our </w:t>
      </w:r>
      <w:r>
        <w:rPr>
          <w:rFonts w:ascii="Arial" w:cs="Arial" w:eastAsia="Arial" w:hAnsi="Arial"/>
          <w:sz w:val="17"/>
          <w:szCs w:val="17"/>
          <w:color w:val="000000"/>
        </w:rPr>
        <w:t>internal control over financial reporting is a process designed to provide reasonable assurance regarding the reliability of financial</w:t>
      </w:r>
      <w:r>
        <w:rPr>
          <w:rFonts w:ascii="Arial" w:cs="Arial" w:eastAsia="Arial" w:hAnsi="Arial"/>
          <w:sz w:val="17"/>
          <w:szCs w:val="17"/>
          <w:color w:val="231F20"/>
        </w:rPr>
        <w:t xml:space="preserve"> </w:t>
      </w:r>
      <w:r>
        <w:rPr>
          <w:rFonts w:ascii="Arial" w:cs="Arial" w:eastAsia="Arial" w:hAnsi="Arial"/>
          <w:sz w:val="17"/>
          <w:szCs w:val="17"/>
          <w:color w:val="000000"/>
        </w:rPr>
        <w:t xml:space="preserve">reporting and the preparation of financial statements in accordance with GAAP. Our </w:t>
      </w:r>
      <w:r>
        <w:rPr>
          <w:rFonts w:ascii="Arial" w:cs="Arial" w:eastAsia="Arial" w:hAnsi="Arial"/>
          <w:sz w:val="17"/>
          <w:szCs w:val="17"/>
          <w:color w:val="231F20"/>
        </w:rPr>
        <w:t>current controls and any new controls that we develop may</w:t>
      </w:r>
      <w:r>
        <w:rPr>
          <w:rFonts w:ascii="Arial" w:cs="Arial" w:eastAsia="Arial" w:hAnsi="Arial"/>
          <w:sz w:val="17"/>
          <w:szCs w:val="17"/>
          <w:color w:val="000000"/>
        </w:rPr>
        <w:t xml:space="preserve"> </w:t>
      </w:r>
      <w:r>
        <w:rPr>
          <w:rFonts w:ascii="Arial" w:cs="Arial" w:eastAsia="Arial" w:hAnsi="Arial"/>
          <w:sz w:val="17"/>
          <w:szCs w:val="17"/>
          <w:color w:val="231F20"/>
        </w:rPr>
        <w:t>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In the event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19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Our independent registered public accounting firm is not required to formally attest to the effectiveness of our internal control over financial reporting until the first annual report required to be filed with the SEC following the date we are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41"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231F20"/>
        </w:rPr>
        <w:t>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As of June 30, 2015, the aggregate market value of voting shares of common stock that was held by non-affiliates exceeded $700 million, therefore, we will cease to be an emerging growth company as of December 31, 2015 and our independent registered public accounting firm will be required to formally attest to the effectiveness of our internal control over financial reporting for our 2015 annual report.</w:t>
      </w:r>
    </w:p>
    <w:p>
      <w:pPr>
        <w:spacing w:after="0" w:line="187"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by the end of this year, which could adversely affect our business and operating results.</w:t>
      </w:r>
    </w:p>
    <w:p>
      <w:pPr>
        <w:spacing w:after="0" w:line="19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1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231F20"/>
        </w:rPr>
        <w:t>As of June 30, 2015, the aggregate market value of voting shares of common stock that was held by non-affiliates exceeded $700 million, therefore, we will cease to be an emerging growth company as of December 31, and we thus expect to incur increasing expenses and devote substantial management effort toward ensuring compliance with the requirements of Section 404(b) of the Sarbanes-Oxley Act, when applicable to us.</w:t>
      </w:r>
    </w:p>
    <w:p>
      <w:pPr>
        <w:spacing w:after="0" w:line="20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184"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231F20"/>
        </w:rPr>
        <w:t>We are currently an “emerging growth company” and we cannot be certain if the reduced disclosure requirements applicable to emerging growth companies make our common stock less attractive to investors.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are currently an “emerging growth company,” as defined in the JOBS Act, and, as we will remain an "emerging growth company" through the end of this year,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34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680" w:firstLine="405"/>
        <w:spacing w:after="0" w:line="256"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41"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may vary from our guidance and the variations may be material. In light of the foregoing, investors are urged not to rely upon our guidance in making an investment decision regarding our common stock.</w:t>
      </w:r>
    </w:p>
    <w:p>
      <w:pPr>
        <w:spacing w:after="0" w:line="196"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47" w:lineRule="exact"/>
        <w:rPr>
          <w:sz w:val="20"/>
          <w:szCs w:val="20"/>
          <w:color w:val="auto"/>
        </w:rPr>
      </w:pPr>
    </w:p>
    <w:p>
      <w:pPr>
        <w:ind w:right="140" w:firstLine="405"/>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6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As of September 30, 2015, our executive officers, directors and holders of 10% or more of our outstanding common stock beneficially own, in the aggregate, approximately 22%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September 30, 2015, we had approximately 34.2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In addition, as of September 30, 2015, we had outstanding options to purchase approximately 7.6 million shares of common stock options that, if exercised, will result in these additional shares becoming available for sale. As of September 30, 2015, we had an aggregate of 1.8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7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41" w:right="2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39" w:lineRule="exact"/>
        <w:rPr>
          <w:sz w:val="20"/>
          <w:szCs w:val="20"/>
          <w:color w:val="auto"/>
        </w:rPr>
      </w:pPr>
    </w:p>
    <w:p>
      <w:pPr>
        <w:ind w:right="5560"/>
        <w:spacing w:after="0" w:line="381" w:lineRule="auto"/>
        <w:rPr>
          <w:sz w:val="20"/>
          <w:szCs w:val="20"/>
          <w:color w:val="auto"/>
        </w:rPr>
      </w:pPr>
      <w:r>
        <w:rPr>
          <w:rFonts w:ascii="Arial" w:cs="Arial" w:eastAsia="Arial" w:hAnsi="Arial"/>
          <w:sz w:val="18"/>
          <w:szCs w:val="18"/>
          <w:b w:val="1"/>
          <w:bCs w:val="1"/>
          <w:color w:val="231F20"/>
        </w:rPr>
        <w:t xml:space="preserve">Item 2. Unregistered Sales of Equity Securities and Use of Proceeds </w:t>
      </w:r>
      <w:r>
        <w:rPr>
          <w:rFonts w:ascii="Arial" w:cs="Arial" w:eastAsia="Arial" w:hAnsi="Arial"/>
          <w:sz w:val="18"/>
          <w:szCs w:val="18"/>
          <w:color w:val="231F20"/>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31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41" w:right="2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November 5, 2015.</w:t>
      </w:r>
    </w:p>
    <w:p>
      <w:pPr>
        <w:spacing w:after="0" w:line="120"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Donald C. McCauley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41"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1880" w:type="dxa"/>
            <w:vAlign w:val="bottom"/>
            <w:gridSpan w:val="4"/>
          </w:tcPr>
          <w:p>
            <w:pPr>
              <w:jc w:val="center"/>
              <w:ind w:right="620"/>
              <w:spacing w:after="0"/>
              <w:rPr>
                <w:rFonts w:ascii="Arial" w:cs="Arial" w:eastAsia="Arial" w:hAnsi="Arial"/>
                <w:sz w:val="16"/>
                <w:szCs w:val="16"/>
                <w:color w:val="0000EE"/>
                <w:w w:val="99"/>
              </w:rPr>
            </w:pPr>
            <w:hyperlink w:anchor="page1">
              <w:r>
                <w:rPr>
                  <w:rFonts w:ascii="Arial" w:cs="Arial" w:eastAsia="Arial" w:hAnsi="Arial"/>
                  <w:sz w:val="16"/>
                  <w:szCs w:val="16"/>
                  <w:color w:val="0000EE"/>
                  <w:w w:val="99"/>
                </w:rPr>
                <w:t>Table of Contents</w:t>
              </w:r>
            </w:hyperlink>
          </w:p>
        </w:tc>
        <w:tc>
          <w:tcPr>
            <w:tcW w:w="8460" w:type="dxa"/>
            <w:vAlign w:val="bottom"/>
          </w:tcPr>
          <w:p>
            <w:pPr>
              <w:spacing w:after="0"/>
              <w:rPr>
                <w:sz w:val="16"/>
                <w:szCs w:val="16"/>
                <w:color w:val="auto"/>
              </w:rPr>
            </w:pPr>
          </w:p>
        </w:tc>
      </w:tr>
      <w:tr>
        <w:trPr>
          <w:trHeight w:val="466"/>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880" w:type="dxa"/>
            <w:vAlign w:val="bottom"/>
            <w:gridSpan w:val="4"/>
          </w:tcPr>
          <w:p>
            <w:pPr>
              <w:ind w:left="280"/>
              <w:spacing w:after="0"/>
              <w:rPr>
                <w:sz w:val="20"/>
                <w:szCs w:val="20"/>
                <w:color w:val="auto"/>
              </w:rPr>
            </w:pPr>
            <w:r>
              <w:rPr>
                <w:rFonts w:ascii="Arial" w:cs="Arial" w:eastAsia="Arial" w:hAnsi="Arial"/>
                <w:sz w:val="18"/>
                <w:szCs w:val="18"/>
                <w:color w:val="auto"/>
              </w:rPr>
              <w:t>Exhibit Number</w:t>
            </w:r>
          </w:p>
        </w:tc>
        <w:tc>
          <w:tcPr>
            <w:tcW w:w="84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431"/>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231F20"/>
              </w:rPr>
              <w:t>Exchange Act of 1934 and 18 U.S.C. Section 1350 as adopted pursuant to Section 906 of The</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Sarbanes-Oxley Act of 2002.</w:t>
            </w:r>
          </w:p>
        </w:tc>
      </w:tr>
      <w:tr>
        <w:trPr>
          <w:trHeight w:val="48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auto"/>
              </w:rPr>
              <w:t>Exchange Act of 1934 and 18 U.S.C. Section 1350 as adopted pursuant to Section 906 of The</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1020"/>
              <w:spacing w:after="0"/>
              <w:rPr>
                <w:sz w:val="20"/>
                <w:szCs w:val="20"/>
                <w:color w:val="auto"/>
              </w:rPr>
            </w:pPr>
            <w:r>
              <w:rPr>
                <w:rFonts w:ascii="Arial" w:cs="Arial" w:eastAsia="Arial" w:hAnsi="Arial"/>
                <w:sz w:val="18"/>
                <w:szCs w:val="18"/>
                <w:color w:val="auto"/>
              </w:rPr>
              <w:t>INS^^</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Instance Document</w:t>
            </w:r>
          </w:p>
        </w:tc>
      </w:tr>
      <w:tr>
        <w:trPr>
          <w:trHeight w:val="500"/>
        </w:trPr>
        <w:tc>
          <w:tcPr>
            <w:tcW w:w="1880" w:type="dxa"/>
            <w:vAlign w:val="bottom"/>
            <w:gridSpan w:val="4"/>
          </w:tcPr>
          <w:p>
            <w:pPr>
              <w:ind w:left="40"/>
              <w:spacing w:after="0"/>
              <w:rPr>
                <w:sz w:val="20"/>
                <w:szCs w:val="20"/>
                <w:color w:val="auto"/>
              </w:rPr>
            </w:pPr>
            <w:r>
              <w:rPr>
                <w:rFonts w:ascii="Arial" w:cs="Arial" w:eastAsia="Arial" w:hAnsi="Arial"/>
                <w:sz w:val="18"/>
                <w:szCs w:val="18"/>
                <w:color w:val="auto"/>
              </w:rPr>
              <w:t>101 SCH^^</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CAL^^</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DEF^^</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LAB^^</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PRE^^</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85" w:lineRule="exact"/>
        <w:rPr>
          <w:sz w:val="20"/>
          <w:szCs w:val="20"/>
          <w:color w:val="auto"/>
        </w:rPr>
      </w:pPr>
    </w:p>
    <w:p>
      <w:pPr>
        <w:ind w:left="500" w:right="120" w:hanging="492"/>
        <w:spacing w:after="0" w:line="253" w:lineRule="auto"/>
        <w:tabs>
          <w:tab w:leader="none" w:pos="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9" w:lineRule="exact"/>
        <w:rPr>
          <w:sz w:val="20"/>
          <w:szCs w:val="20"/>
          <w:color w:val="auto"/>
        </w:rPr>
      </w:pPr>
    </w:p>
    <w:p>
      <w:pPr>
        <w:ind w:left="500" w:hanging="492"/>
        <w:spacing w:after="0" w:line="302" w:lineRule="auto"/>
        <w:tabs>
          <w:tab w:leader="none" w:pos="500" w:val="left"/>
        </w:tabs>
        <w:numPr>
          <w:ilvl w:val="0"/>
          <w:numId w:val="17"/>
        </w:numPr>
        <w:rPr>
          <w:rFonts w:ascii="Arial" w:cs="Arial" w:eastAsia="Arial" w:hAnsi="Arial"/>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18" w:right="2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5, 2015</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November 5, 2015</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2015,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5, 2015</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2015,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2015</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2"/>
    </w:lvl>
  </w:abstractNum>
  <w:abstractNum w:abstractNumId="20">
    <w:nsid w:val="628C895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2019-12-29T15:43:41Z</dcterms:created>
  <dcterms:modified xsi:type="dcterms:W3CDTF">2019-12-29T15:43:41Z</dcterms:modified>
</cp:coreProperties>
</file>