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231F20"/>
        </w:rPr>
        <w:t>UNITED STATES</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28"/>
          <w:szCs w:val="28"/>
          <w:b w:val="1"/>
          <w:bCs w:val="1"/>
          <w:color w:val="231F20"/>
        </w:rPr>
        <w:t>SECURITIES AND EXCHANGE COMMISSION</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231F20"/>
        </w:rPr>
        <w:t>Washington, D.C. 20549</w:t>
      </w: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231F20"/>
        </w:rPr>
        <w:t>FORM 10-Q</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163" w:lineRule="exact"/>
        <w:rPr>
          <w:sz w:val="24"/>
          <w:szCs w:val="24"/>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43" w:lineRule="exact"/>
        <w:rPr>
          <w:rFonts w:ascii="Arial" w:cs="Arial" w:eastAsia="Arial" w:hAnsi="Arial"/>
          <w:sz w:val="18"/>
          <w:szCs w:val="18"/>
          <w:color w:val="auto"/>
        </w:rPr>
      </w:pPr>
    </w:p>
    <w:p>
      <w:pPr>
        <w:ind w:left="3740"/>
        <w:spacing w:after="0"/>
        <w:rPr>
          <w:rFonts w:ascii="Arial" w:cs="Arial" w:eastAsia="Arial" w:hAnsi="Arial"/>
          <w:sz w:val="18"/>
          <w:szCs w:val="18"/>
          <w:color w:val="auto"/>
        </w:rPr>
      </w:pPr>
      <w:r>
        <w:rPr>
          <w:rFonts w:ascii="Arial" w:cs="Arial" w:eastAsia="Arial" w:hAnsi="Arial"/>
          <w:sz w:val="16"/>
          <w:szCs w:val="16"/>
          <w:b w:val="1"/>
          <w:bCs w:val="1"/>
          <w:color w:val="auto"/>
        </w:rPr>
        <w:t>For the Quarterly Period Ended September 30, 2016</w:t>
      </w:r>
    </w:p>
    <w:p>
      <w:pPr>
        <w:spacing w:after="0" w:line="338" w:lineRule="exact"/>
        <w:rPr>
          <w:sz w:val="24"/>
          <w:szCs w:val="24"/>
          <w:color w:val="auto"/>
        </w:rPr>
      </w:pPr>
    </w:p>
    <w:p>
      <w:pPr>
        <w:ind w:left="540" w:hanging="505"/>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340"/>
          </w:cols>
          <w:pgMar w:left="240" w:top="249" w:right="319" w:bottom="1440" w:gutter="0" w:footer="0" w:header="0"/>
        </w:sectPr>
      </w:pPr>
    </w:p>
    <w:p>
      <w:pPr>
        <w:spacing w:after="0" w:line="216" w:lineRule="exact"/>
        <w:rPr>
          <w:sz w:val="24"/>
          <w:szCs w:val="24"/>
          <w:color w:val="auto"/>
        </w:rPr>
      </w:pPr>
    </w:p>
    <w:p>
      <w:pPr>
        <w:ind w:left="42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94" w:lineRule="exact"/>
        <w:rPr>
          <w:sz w:val="24"/>
          <w:szCs w:val="24"/>
          <w:color w:val="auto"/>
        </w:rPr>
      </w:pPr>
    </w:p>
    <w:p>
      <w:pPr>
        <w:sectPr>
          <w:pgSz w:w="11900" w:h="16838" w:orient="portrait"/>
          <w:cols w:equalWidth="0" w:num="2">
            <w:col w:w="6560" w:space="440"/>
            <w:col w:w="4340"/>
          </w:cols>
          <w:pgMar w:left="240" w:top="249" w:right="319" w:bottom="1440" w:gutter="0" w:footer="0" w:header="0"/>
          <w:type w:val="continuous"/>
        </w:sectPr>
      </w:pPr>
    </w:p>
    <w:p>
      <w:pPr>
        <w:jc w:val="center"/>
        <w:ind w:right="-79"/>
        <w:spacing w:after="0"/>
        <w:rPr>
          <w:sz w:val="20"/>
          <w:szCs w:val="20"/>
          <w:color w:val="auto"/>
        </w:rPr>
      </w:pPr>
      <w:r>
        <w:rPr>
          <w:rFonts w:ascii="Arial" w:cs="Arial" w:eastAsia="Arial" w:hAnsi="Arial"/>
          <w:sz w:val="16"/>
          <w:szCs w:val="16"/>
          <w:b w:val="1"/>
          <w:bCs w:val="1"/>
          <w:color w:val="auto"/>
        </w:rPr>
        <w:t>Commission file number 001-35662</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ectPr>
          <w:pgSz w:w="11900" w:h="16838" w:orient="portrait"/>
          <w:cols w:equalWidth="0" w:num="1">
            <w:col w:w="11340"/>
          </w:cols>
          <w:pgMar w:left="240" w:top="249" w:right="319" w:bottom="1440" w:gutter="0" w:footer="0" w:header="0"/>
          <w:type w:val="continuous"/>
        </w:sectPr>
      </w:pPr>
    </w:p>
    <w:tbl>
      <w:tblPr>
        <w:tblLayout w:type="fixed"/>
        <w:tblInd w:w="1440" w:type="dxa"/>
        <w:tblCellMar>
          <w:top w:w="0" w:type="dxa"/>
          <w:left w:w="0" w:type="dxa"/>
          <w:bottom w:w="0" w:type="dxa"/>
          <w:right w:w="0" w:type="dxa"/>
        </w:tblCellMar>
      </w:tblPr>
      <w:tr>
        <w:trPr>
          <w:trHeight w:val="442"/>
        </w:trPr>
        <w:tc>
          <w:tcPr>
            <w:tcW w:w="2160" w:type="dxa"/>
            <w:vAlign w:val="bottom"/>
          </w:tcPr>
          <w:p>
            <w:pPr>
              <w:spacing w:after="0"/>
              <w:rPr>
                <w:sz w:val="24"/>
                <w:szCs w:val="24"/>
                <w:color w:val="auto"/>
              </w:rPr>
            </w:pPr>
          </w:p>
        </w:tc>
        <w:tc>
          <w:tcPr>
            <w:tcW w:w="6140" w:type="dxa"/>
            <w:vAlign w:val="bottom"/>
          </w:tcPr>
          <w:p>
            <w:pPr>
              <w:jc w:val="center"/>
              <w:ind w:right="1833"/>
              <w:spacing w:after="0" w:line="441" w:lineRule="exact"/>
              <w:rPr>
                <w:sz w:val="20"/>
                <w:szCs w:val="20"/>
                <w:color w:val="auto"/>
              </w:rPr>
            </w:pPr>
            <w:r>
              <w:rPr>
                <w:rFonts w:ascii="Arial" w:cs="Arial" w:eastAsia="Arial" w:hAnsi="Arial"/>
                <w:sz w:val="40"/>
                <w:szCs w:val="40"/>
                <w:b w:val="1"/>
                <w:bCs w:val="1"/>
                <w:color w:val="231F20"/>
                <w:w w:val="97"/>
              </w:rPr>
              <w:t>QUALYS, INC.</w:t>
            </w:r>
          </w:p>
        </w:tc>
      </w:tr>
      <w:tr>
        <w:trPr>
          <w:trHeight w:val="148"/>
        </w:trPr>
        <w:tc>
          <w:tcPr>
            <w:tcW w:w="2160" w:type="dxa"/>
            <w:vAlign w:val="bottom"/>
          </w:tcPr>
          <w:p>
            <w:pPr>
              <w:spacing w:after="0"/>
              <w:rPr>
                <w:sz w:val="12"/>
                <w:szCs w:val="12"/>
                <w:color w:val="auto"/>
              </w:rPr>
            </w:pPr>
          </w:p>
        </w:tc>
        <w:tc>
          <w:tcPr>
            <w:tcW w:w="6140" w:type="dxa"/>
            <w:vAlign w:val="bottom"/>
          </w:tcPr>
          <w:p>
            <w:pPr>
              <w:jc w:val="center"/>
              <w:ind w:right="1833"/>
              <w:spacing w:after="0" w:line="149" w:lineRule="exact"/>
              <w:rPr>
                <w:sz w:val="20"/>
                <w:szCs w:val="20"/>
                <w:color w:val="auto"/>
              </w:rPr>
            </w:pPr>
            <w:r>
              <w:rPr>
                <w:rFonts w:ascii="Arial" w:cs="Arial" w:eastAsia="Arial" w:hAnsi="Arial"/>
                <w:sz w:val="14"/>
                <w:szCs w:val="14"/>
                <w:b w:val="1"/>
                <w:bCs w:val="1"/>
                <w:color w:val="231F20"/>
              </w:rPr>
              <w:t>(Exact name of registrant as specified in its charter)</w:t>
            </w:r>
          </w:p>
        </w:tc>
      </w:tr>
      <w:tr>
        <w:trPr>
          <w:trHeight w:val="239"/>
        </w:trPr>
        <w:tc>
          <w:tcPr>
            <w:tcW w:w="2160" w:type="dxa"/>
            <w:vAlign w:val="bottom"/>
          </w:tcPr>
          <w:p>
            <w:pPr>
              <w:spacing w:after="0"/>
              <w:rPr>
                <w:sz w:val="20"/>
                <w:szCs w:val="20"/>
                <w:color w:val="auto"/>
              </w:rPr>
            </w:pPr>
          </w:p>
        </w:tc>
        <w:tc>
          <w:tcPr>
            <w:tcW w:w="6140" w:type="dxa"/>
            <w:vAlign w:val="bottom"/>
          </w:tcPr>
          <w:p>
            <w:pPr>
              <w:jc w:val="center"/>
              <w:ind w:right="1813"/>
              <w:spacing w:after="0"/>
              <w:rPr>
                <w:sz w:val="20"/>
                <w:szCs w:val="20"/>
                <w:color w:val="auto"/>
              </w:rPr>
            </w:pPr>
            <w:r>
              <w:rPr>
                <w:rFonts w:ascii="Arial" w:cs="Arial" w:eastAsia="Arial" w:hAnsi="Arial"/>
                <w:sz w:val="18"/>
                <w:szCs w:val="18"/>
                <w:b w:val="1"/>
                <w:bCs w:val="1"/>
                <w:color w:val="231F20"/>
                <w:w w:val="99"/>
              </w:rPr>
              <w:t>__________________</w:t>
            </w:r>
          </w:p>
        </w:tc>
      </w:tr>
      <w:tr>
        <w:trPr>
          <w:trHeight w:val="357"/>
        </w:trPr>
        <w:tc>
          <w:tcPr>
            <w:tcW w:w="2160" w:type="dxa"/>
            <w:vAlign w:val="bottom"/>
          </w:tcPr>
          <w:p>
            <w:pPr>
              <w:jc w:val="center"/>
              <w:ind w:right="48"/>
              <w:spacing w:after="0"/>
              <w:rPr>
                <w:sz w:val="20"/>
                <w:szCs w:val="20"/>
                <w:color w:val="auto"/>
              </w:rPr>
            </w:pPr>
            <w:r>
              <w:rPr>
                <w:rFonts w:ascii="Arial" w:cs="Arial" w:eastAsia="Arial" w:hAnsi="Arial"/>
                <w:sz w:val="14"/>
                <w:szCs w:val="14"/>
                <w:b w:val="1"/>
                <w:bCs w:val="1"/>
                <w:color w:val="auto"/>
              </w:rPr>
              <w:t>Delaware</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77-0534145</w:t>
            </w:r>
          </w:p>
        </w:tc>
      </w:tr>
      <w:tr>
        <w:trPr>
          <w:trHeight w:val="270"/>
        </w:trPr>
        <w:tc>
          <w:tcPr>
            <w:tcW w:w="2160" w:type="dxa"/>
            <w:vAlign w:val="bottom"/>
          </w:tcPr>
          <w:p>
            <w:pPr>
              <w:jc w:val="center"/>
              <w:ind w:right="28"/>
              <w:spacing w:after="0"/>
              <w:rPr>
                <w:sz w:val="20"/>
                <w:szCs w:val="20"/>
                <w:color w:val="auto"/>
              </w:rPr>
            </w:pPr>
            <w:r>
              <w:rPr>
                <w:rFonts w:ascii="Arial" w:cs="Arial" w:eastAsia="Arial" w:hAnsi="Arial"/>
                <w:sz w:val="14"/>
                <w:szCs w:val="14"/>
                <w:b w:val="1"/>
                <w:bCs w:val="1"/>
                <w:color w:val="auto"/>
              </w:rPr>
              <w:t>(State or other jurisdiction of</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(I.R.S. Employer</w:t>
            </w:r>
          </w:p>
        </w:tc>
      </w:tr>
      <w:tr>
        <w:trPr>
          <w:trHeight w:val="270"/>
        </w:trPr>
        <w:tc>
          <w:tcPr>
            <w:tcW w:w="2160" w:type="dxa"/>
            <w:vAlign w:val="bottom"/>
          </w:tcPr>
          <w:p>
            <w:pPr>
              <w:jc w:val="center"/>
              <w:ind w:right="28"/>
              <w:spacing w:after="0"/>
              <w:rPr>
                <w:sz w:val="20"/>
                <w:szCs w:val="20"/>
                <w:color w:val="auto"/>
              </w:rPr>
            </w:pPr>
            <w:r>
              <w:rPr>
                <w:rFonts w:ascii="Arial" w:cs="Arial" w:eastAsia="Arial" w:hAnsi="Arial"/>
                <w:sz w:val="14"/>
                <w:szCs w:val="14"/>
                <w:b w:val="1"/>
                <w:bCs w:val="1"/>
                <w:color w:val="auto"/>
              </w:rPr>
              <w:t>incorporation or organization)</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Identification Number)</w:t>
            </w:r>
          </w:p>
        </w:tc>
      </w:tr>
      <w:tr>
        <w:trPr>
          <w:trHeight w:val="323"/>
        </w:trPr>
        <w:tc>
          <w:tcPr>
            <w:tcW w:w="2160" w:type="dxa"/>
            <w:vAlign w:val="bottom"/>
          </w:tcPr>
          <w:p>
            <w:pPr>
              <w:spacing w:after="0"/>
              <w:rPr>
                <w:sz w:val="24"/>
                <w:szCs w:val="24"/>
                <w:color w:val="auto"/>
              </w:rPr>
            </w:pPr>
          </w:p>
        </w:tc>
        <w:tc>
          <w:tcPr>
            <w:tcW w:w="6140" w:type="dxa"/>
            <w:vAlign w:val="bottom"/>
          </w:tcPr>
          <w:p>
            <w:pPr>
              <w:jc w:val="center"/>
              <w:ind w:right="1813"/>
              <w:spacing w:after="0"/>
              <w:rPr>
                <w:sz w:val="20"/>
                <w:szCs w:val="20"/>
                <w:color w:val="auto"/>
              </w:rPr>
            </w:pPr>
            <w:r>
              <w:rPr>
                <w:rFonts w:ascii="Arial" w:cs="Arial" w:eastAsia="Arial" w:hAnsi="Arial"/>
                <w:sz w:val="14"/>
                <w:szCs w:val="14"/>
                <w:b w:val="1"/>
                <w:bCs w:val="1"/>
                <w:color w:val="auto"/>
              </w:rPr>
              <w:t>1600 Bridge Parkway, Redwood City, California 94065</w:t>
            </w:r>
          </w:p>
        </w:tc>
      </w:tr>
      <w:tr>
        <w:trPr>
          <w:trHeight w:val="190"/>
        </w:trPr>
        <w:tc>
          <w:tcPr>
            <w:tcW w:w="2160" w:type="dxa"/>
            <w:vAlign w:val="bottom"/>
          </w:tcPr>
          <w:p>
            <w:pPr>
              <w:spacing w:after="0"/>
              <w:rPr>
                <w:sz w:val="16"/>
                <w:szCs w:val="16"/>
                <w:color w:val="auto"/>
              </w:rPr>
            </w:pPr>
          </w:p>
        </w:tc>
        <w:tc>
          <w:tcPr>
            <w:tcW w:w="6140" w:type="dxa"/>
            <w:vAlign w:val="bottom"/>
          </w:tcPr>
          <w:p>
            <w:pPr>
              <w:jc w:val="center"/>
              <w:ind w:right="1833"/>
              <w:spacing w:after="0"/>
              <w:rPr>
                <w:sz w:val="20"/>
                <w:szCs w:val="20"/>
                <w:color w:val="auto"/>
              </w:rPr>
            </w:pPr>
            <w:r>
              <w:rPr>
                <w:rFonts w:ascii="Arial" w:cs="Arial" w:eastAsia="Arial" w:hAnsi="Arial"/>
                <w:sz w:val="14"/>
                <w:szCs w:val="14"/>
                <w:b w:val="1"/>
                <w:bCs w:val="1"/>
                <w:color w:val="auto"/>
              </w:rPr>
              <w:t>(Address of principal executive offices, including zip code)</w:t>
            </w:r>
          </w:p>
        </w:tc>
      </w:tr>
      <w:tr>
        <w:trPr>
          <w:trHeight w:val="458"/>
        </w:trPr>
        <w:tc>
          <w:tcPr>
            <w:tcW w:w="2160" w:type="dxa"/>
            <w:vAlign w:val="bottom"/>
          </w:tcPr>
          <w:p>
            <w:pPr>
              <w:spacing w:after="0"/>
              <w:rPr>
                <w:sz w:val="24"/>
                <w:szCs w:val="24"/>
                <w:color w:val="auto"/>
              </w:rPr>
            </w:pPr>
          </w:p>
        </w:tc>
        <w:tc>
          <w:tcPr>
            <w:tcW w:w="6140" w:type="dxa"/>
            <w:vAlign w:val="bottom"/>
          </w:tcPr>
          <w:p>
            <w:pPr>
              <w:jc w:val="center"/>
              <w:ind w:right="1833"/>
              <w:spacing w:after="0"/>
              <w:rPr>
                <w:sz w:val="20"/>
                <w:szCs w:val="20"/>
                <w:color w:val="auto"/>
              </w:rPr>
            </w:pPr>
            <w:r>
              <w:rPr>
                <w:rFonts w:ascii="Arial" w:cs="Arial" w:eastAsia="Arial" w:hAnsi="Arial"/>
                <w:sz w:val="14"/>
                <w:szCs w:val="14"/>
                <w:b w:val="1"/>
                <w:bCs w:val="1"/>
                <w:color w:val="auto"/>
              </w:rPr>
              <w:t>(650) 801-6100</w:t>
            </w:r>
          </w:p>
        </w:tc>
      </w:tr>
      <w:tr>
        <w:trPr>
          <w:trHeight w:val="148"/>
        </w:trPr>
        <w:tc>
          <w:tcPr>
            <w:tcW w:w="2160" w:type="dxa"/>
            <w:vAlign w:val="bottom"/>
          </w:tcPr>
          <w:p>
            <w:pPr>
              <w:spacing w:after="0"/>
              <w:rPr>
                <w:sz w:val="12"/>
                <w:szCs w:val="12"/>
                <w:color w:val="auto"/>
              </w:rPr>
            </w:pPr>
          </w:p>
        </w:tc>
        <w:tc>
          <w:tcPr>
            <w:tcW w:w="6140" w:type="dxa"/>
            <w:vAlign w:val="bottom"/>
          </w:tcPr>
          <w:p>
            <w:pPr>
              <w:jc w:val="center"/>
              <w:ind w:right="1813"/>
              <w:spacing w:after="0" w:line="149" w:lineRule="exact"/>
              <w:rPr>
                <w:sz w:val="20"/>
                <w:szCs w:val="20"/>
                <w:color w:val="auto"/>
              </w:rPr>
            </w:pPr>
            <w:r>
              <w:rPr>
                <w:rFonts w:ascii="Arial" w:cs="Arial" w:eastAsia="Arial" w:hAnsi="Arial"/>
                <w:sz w:val="14"/>
                <w:szCs w:val="14"/>
                <w:b w:val="1"/>
                <w:bCs w:val="1"/>
                <w:color w:val="auto"/>
              </w:rPr>
              <w:t>(Registrant’s telephone number, including area code)</w:t>
            </w:r>
          </w:p>
        </w:tc>
      </w:tr>
      <w:tr>
        <w:trPr>
          <w:trHeight w:val="239"/>
        </w:trPr>
        <w:tc>
          <w:tcPr>
            <w:tcW w:w="2160" w:type="dxa"/>
            <w:vAlign w:val="bottom"/>
          </w:tcPr>
          <w:p>
            <w:pPr>
              <w:spacing w:after="0"/>
              <w:rPr>
                <w:sz w:val="20"/>
                <w:szCs w:val="20"/>
                <w:color w:val="auto"/>
              </w:rPr>
            </w:pPr>
          </w:p>
        </w:tc>
        <w:tc>
          <w:tcPr>
            <w:tcW w:w="6140" w:type="dxa"/>
            <w:vAlign w:val="bottom"/>
          </w:tcPr>
          <w:p>
            <w:pPr>
              <w:jc w:val="center"/>
              <w:ind w:right="1813"/>
              <w:spacing w:after="0"/>
              <w:rPr>
                <w:sz w:val="20"/>
                <w:szCs w:val="20"/>
                <w:color w:val="auto"/>
              </w:rPr>
            </w:pPr>
            <w:r>
              <w:rPr>
                <w:rFonts w:ascii="Arial" w:cs="Arial" w:eastAsia="Arial" w:hAnsi="Arial"/>
                <w:sz w:val="18"/>
                <w:szCs w:val="18"/>
                <w:b w:val="1"/>
                <w:bCs w:val="1"/>
                <w:color w:val="231F20"/>
                <w:w w:val="99"/>
              </w:rPr>
              <w:t>__________________</w:t>
            </w:r>
          </w:p>
        </w:tc>
      </w:tr>
    </w:tbl>
    <w:p>
      <w:pPr>
        <w:spacing w:after="0" w:line="128"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168"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41" w:lineRule="exact"/>
        <w:rPr>
          <w:sz w:val="24"/>
          <w:szCs w:val="24"/>
          <w:color w:val="auto"/>
        </w:rPr>
      </w:pPr>
    </w:p>
    <w:p>
      <w:pPr>
        <w:ind w:right="8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40"/>
          </w:cols>
          <w:pgMar w:left="240" w:top="249" w:right="319" w:bottom="1440" w:gutter="0" w:footer="0" w:header="0"/>
          <w:type w:val="continuous"/>
        </w:sectPr>
      </w:pPr>
    </w:p>
    <w:p>
      <w:pPr>
        <w:spacing w:after="0" w:line="182" w:lineRule="exact"/>
        <w:rPr>
          <w:sz w:val="24"/>
          <w:szCs w:val="24"/>
          <w:color w:val="auto"/>
        </w:rPr>
      </w:pPr>
    </w:p>
    <w:p>
      <w:pPr>
        <w:ind w:left="40"/>
        <w:spacing w:after="0"/>
        <w:rPr>
          <w:sz w:val="20"/>
          <w:szCs w:val="20"/>
          <w:color w:val="auto"/>
        </w:rPr>
      </w:pPr>
      <w:r>
        <w:rPr>
          <w:rFonts w:ascii="Arial" w:cs="Arial" w:eastAsia="Arial" w:hAnsi="Arial"/>
          <w:sz w:val="16"/>
          <w:szCs w:val="16"/>
          <w:color w:val="231F20"/>
        </w:rPr>
        <w:t>Large 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Arial" w:cs="Arial" w:eastAsia="Arial" w:hAnsi="Arial"/>
          <w:sz w:val="16"/>
          <w:szCs w:val="16"/>
          <w:color w:val="231F20"/>
        </w:rPr>
        <w:t>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Arial" w:cs="Arial" w:eastAsia="Arial" w:hAnsi="Arial"/>
          <w:sz w:val="16"/>
          <w:szCs w:val="16"/>
          <w:color w:val="231F20"/>
        </w:rPr>
        <w:t>Non-accelerated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Arial" w:cs="Arial" w:eastAsia="Arial" w:hAnsi="Arial"/>
          <w:sz w:val="16"/>
          <w:szCs w:val="16"/>
          <w:color w:val="231F20"/>
        </w:rPr>
        <w:t>Smaller reporting company</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07" w:lineRule="exact"/>
        <w:rPr>
          <w:sz w:val="24"/>
          <w:szCs w:val="24"/>
          <w:color w:val="auto"/>
        </w:rPr>
      </w:pPr>
    </w:p>
    <w:p>
      <w:pPr>
        <w:sectPr>
          <w:pgSz w:w="11900" w:h="16838" w:orient="portrait"/>
          <w:cols w:equalWidth="0" w:num="8">
            <w:col w:w="1640" w:space="560"/>
            <w:col w:w="100" w:space="500"/>
            <w:col w:w="1320" w:space="720"/>
            <w:col w:w="100" w:space="480"/>
            <w:col w:w="1500" w:space="660"/>
            <w:col w:w="320" w:space="720"/>
            <w:col w:w="1920" w:space="680"/>
            <w:col w:w="120"/>
          </w:cols>
          <w:pgMar w:left="240" w:top="249" w:right="319" w:bottom="1440" w:gutter="0" w:footer="0" w:header="0"/>
          <w:type w:val="continuous"/>
        </w:sectPr>
      </w:pPr>
    </w:p>
    <w:p>
      <w:pPr>
        <w:jc w:val="center"/>
        <w:ind w:left="1760"/>
        <w:spacing w:after="0"/>
        <w:rPr>
          <w:sz w:val="20"/>
          <w:szCs w:val="20"/>
          <w:color w:val="auto"/>
        </w:rPr>
      </w:pPr>
      <w:r>
        <w:rPr>
          <w:rFonts w:ascii="Arial" w:cs="Arial" w:eastAsia="Arial" w:hAnsi="Arial"/>
          <w:sz w:val="16"/>
          <w:szCs w:val="16"/>
          <w:color w:val="auto"/>
        </w:rPr>
        <w:t>(Do not check if a smaller</w:t>
      </w:r>
    </w:p>
    <w:p>
      <w:pPr>
        <w:spacing w:after="0" w:line="5" w:lineRule="exact"/>
        <w:rPr>
          <w:sz w:val="24"/>
          <w:szCs w:val="24"/>
          <w:color w:val="auto"/>
        </w:rPr>
      </w:pPr>
    </w:p>
    <w:p>
      <w:pPr>
        <w:jc w:val="center"/>
        <w:ind w:left="1760"/>
        <w:spacing w:after="0"/>
        <w:rPr>
          <w:sz w:val="20"/>
          <w:szCs w:val="20"/>
          <w:color w:val="auto"/>
        </w:rPr>
      </w:pPr>
      <w:r>
        <w:rPr>
          <w:rFonts w:ascii="Arial" w:cs="Arial" w:eastAsia="Arial" w:hAnsi="Arial"/>
          <w:sz w:val="16"/>
          <w:szCs w:val="16"/>
          <w:color w:val="auto"/>
        </w:rPr>
        <w:t>reporting company)</w:t>
      </w:r>
    </w:p>
    <w:p>
      <w:pPr>
        <w:sectPr>
          <w:pgSz w:w="11900" w:h="16838" w:orient="portrait"/>
          <w:cols w:equalWidth="0" w:num="1">
            <w:col w:w="11340"/>
          </w:cols>
          <w:pgMar w:left="240" w:top="249" w:right="319" w:bottom="1440" w:gutter="0" w:footer="0" w:header="0"/>
          <w:type w:val="continuous"/>
        </w:sectPr>
      </w:pPr>
    </w:p>
    <w:p>
      <w:pPr>
        <w:spacing w:after="0" w:line="248" w:lineRule="exact"/>
        <w:rPr>
          <w:sz w:val="24"/>
          <w:szCs w:val="24"/>
          <w:color w:val="auto"/>
        </w:rPr>
      </w:pPr>
    </w:p>
    <w:p>
      <w:pPr>
        <w:spacing w:after="0"/>
        <w:tabs>
          <w:tab w:leader="none" w:pos="82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5" w:lineRule="exact"/>
        <w:rPr>
          <w:sz w:val="24"/>
          <w:szCs w:val="24"/>
          <w:color w:val="auto"/>
        </w:rPr>
      </w:pPr>
    </w:p>
    <w:p>
      <w:pPr>
        <w:sectPr>
          <w:pgSz w:w="11900" w:h="16838" w:orient="portrait"/>
          <w:cols w:equalWidth="0" w:num="4">
            <w:col w:w="8540" w:space="80"/>
            <w:col w:w="160" w:space="160"/>
            <w:col w:w="200" w:space="80"/>
            <w:col w:w="2120"/>
          </w:cols>
          <w:pgMar w:left="240" w:top="249" w:right="319" w:bottom="1440" w:gutter="0" w:footer="0" w:header="0"/>
          <w:type w:val="continuous"/>
        </w:sectPr>
      </w:pPr>
    </w:p>
    <w:p>
      <w:pPr>
        <w:spacing w:after="0"/>
        <w:rPr>
          <w:sz w:val="20"/>
          <w:szCs w:val="20"/>
          <w:color w:val="auto"/>
        </w:rPr>
      </w:pPr>
      <w:r>
        <w:rPr>
          <w:rFonts w:ascii="Arial" w:cs="Arial" w:eastAsia="Arial" w:hAnsi="Arial"/>
          <w:sz w:val="16"/>
          <w:szCs w:val="16"/>
          <w:color w:val="auto"/>
        </w:rPr>
        <w:t>The number of shares of the Registrant's common stock outstanding as of October 31, 2016 was 35,692,293.</w:t>
      </w:r>
    </w:p>
    <w:p>
      <w:pPr>
        <w:sectPr>
          <w:pgSz w:w="11900" w:h="16838" w:orient="portrait"/>
          <w:cols w:equalWidth="0" w:num="1">
            <w:col w:w="11340"/>
          </w:cols>
          <w:pgMar w:left="240" w:top="249" w:right="31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31F20"/>
        </w:rPr>
        <w:t>Qualys, Inc.</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31F20"/>
        </w:rPr>
        <w:t>TABLE OF CONTENTS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gridSpan w:val="3"/>
          </w:tcPr>
          <w:p>
            <w:pPr>
              <w:spacing w:after="0"/>
              <w:rPr>
                <w:sz w:val="20"/>
                <w:szCs w:val="20"/>
                <w:color w:val="auto"/>
              </w:rPr>
            </w:pPr>
            <w:r>
              <w:rPr>
                <w:rFonts w:ascii="Arial" w:cs="Arial" w:eastAsia="Arial" w:hAnsi="Arial"/>
                <w:sz w:val="16"/>
                <w:szCs w:val="16"/>
                <w:color w:val="auto"/>
                <w:w w:val="96"/>
              </w:rPr>
              <w:t>Page</w:t>
            </w:r>
          </w:p>
        </w:tc>
      </w:tr>
      <w:tr>
        <w:trPr>
          <w:trHeight w:val="243"/>
        </w:trPr>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540" w:type="dxa"/>
            <w:vAlign w:val="bottom"/>
            <w:gridSpan w:val="9"/>
          </w:tcPr>
          <w:p>
            <w:pPr>
              <w:ind w:left="1000"/>
              <w:spacing w:after="0"/>
              <w:rPr>
                <w:sz w:val="20"/>
                <w:szCs w:val="20"/>
                <w:color w:val="auto"/>
              </w:rPr>
            </w:pPr>
            <w:r>
              <w:rPr>
                <w:rFonts w:ascii="Arial" w:cs="Arial" w:eastAsia="Arial" w:hAnsi="Arial"/>
                <w:sz w:val="16"/>
                <w:szCs w:val="16"/>
                <w:b w:val="1"/>
                <w:bCs w:val="1"/>
                <w:color w:val="auto"/>
              </w:rPr>
              <w:t>PART I – FINANCIAL INFORMATION</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36"/>
        </w:trPr>
        <w:tc>
          <w:tcPr>
            <w:tcW w:w="1040" w:type="dxa"/>
            <w:vAlign w:val="bottom"/>
          </w:tcPr>
          <w:p>
            <w:pPr>
              <w:spacing w:after="0"/>
              <w:rPr>
                <w:sz w:val="20"/>
                <w:szCs w:val="20"/>
                <w:color w:val="auto"/>
              </w:rPr>
            </w:pPr>
            <w:r>
              <w:rPr>
                <w:rFonts w:ascii="Arial" w:cs="Arial" w:eastAsia="Arial" w:hAnsi="Arial"/>
                <w:sz w:val="16"/>
                <w:szCs w:val="16"/>
                <w:color w:val="auto"/>
              </w:rPr>
              <w:t>Item 1.</w:t>
            </w:r>
          </w:p>
        </w:tc>
        <w:tc>
          <w:tcPr>
            <w:tcW w:w="9800" w:type="dxa"/>
            <w:vAlign w:val="bottom"/>
            <w:gridSpan w:val="18"/>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Financial Statements</w:t>
              </w:r>
            </w:hyperlink>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8"/>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Condensed Consolidated Balance Sheets as of September 30, 2016 and December 31, 2015</w:t>
              </w:r>
            </w:hyperlink>
          </w:p>
        </w:tc>
        <w:tc>
          <w:tcPr>
            <w:tcW w:w="80" w:type="dxa"/>
            <w:vAlign w:val="bottom"/>
          </w:tcPr>
          <w:p>
            <w:pPr>
              <w:spacing w:after="0"/>
              <w:rPr>
                <w:rFonts w:ascii="Arial" w:cs="Arial" w:eastAsia="Arial" w:hAnsi="Arial"/>
                <w:sz w:val="15"/>
                <w:szCs w:val="15"/>
                <w:color w:val="0000EE"/>
                <w:w w:val="71"/>
              </w:rPr>
            </w:pPr>
            <w:hyperlink w:anchor="page3">
              <w:r>
                <w:rPr>
                  <w:rFonts w:ascii="Arial" w:cs="Arial" w:eastAsia="Arial" w:hAnsi="Arial"/>
                  <w:sz w:val="15"/>
                  <w:szCs w:val="15"/>
                  <w:color w:val="0000EE"/>
                  <w:w w:val="71"/>
                </w:rPr>
                <w:t>3</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8600" w:type="dxa"/>
            <w:vAlign w:val="bottom"/>
            <w:tcBorders>
              <w:bottom w:val="single" w:sz="8" w:color="0000EE"/>
            </w:tcBorders>
            <w:gridSpan w:val="16"/>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Condensed Consolidated Statements of Operations for the three and nine months ended September 30, 2016 and 2015</w:t>
              </w:r>
            </w:hyperlink>
          </w:p>
        </w:tc>
        <w:tc>
          <w:tcPr>
            <w:tcW w:w="1200" w:type="dxa"/>
            <w:vAlign w:val="bottom"/>
            <w:gridSpan w:val="2"/>
          </w:tcPr>
          <w:p>
            <w:pPr>
              <w:spacing w:after="0"/>
              <w:rPr>
                <w:sz w:val="21"/>
                <w:szCs w:val="21"/>
                <w:color w:val="auto"/>
              </w:rPr>
            </w:pPr>
          </w:p>
        </w:tc>
        <w:tc>
          <w:tcPr>
            <w:tcW w:w="80" w:type="dxa"/>
            <w:vAlign w:val="bottom"/>
            <w:tcBorders>
              <w:bottom w:val="single" w:sz="8" w:color="0000EE"/>
            </w:tcBorders>
          </w:tcPr>
          <w:p>
            <w:pPr>
              <w:spacing w:after="0"/>
              <w:rPr>
                <w:rFonts w:ascii="Arial" w:cs="Arial" w:eastAsia="Arial" w:hAnsi="Arial"/>
                <w:sz w:val="15"/>
                <w:szCs w:val="15"/>
                <w:color w:val="0000EE"/>
                <w:w w:val="71"/>
              </w:rPr>
            </w:pPr>
            <w:hyperlink w:anchor="page4">
              <w:r>
                <w:rPr>
                  <w:rFonts w:ascii="Arial" w:cs="Arial" w:eastAsia="Arial" w:hAnsi="Arial"/>
                  <w:sz w:val="15"/>
                  <w:szCs w:val="15"/>
                  <w:color w:val="0000EE"/>
                  <w:w w:val="71"/>
                </w:rPr>
                <w:t>4</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8"/>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Condensed Consolidated Statements of Comprehensive Income for the three and nine months ended September 30, 2016 and 2015</w:t>
              </w:r>
            </w:hyperlink>
          </w:p>
        </w:tc>
        <w:tc>
          <w:tcPr>
            <w:tcW w:w="80" w:type="dxa"/>
            <w:vAlign w:val="bottom"/>
          </w:tcPr>
          <w:p>
            <w:pPr>
              <w:spacing w:after="0"/>
              <w:rPr>
                <w:rFonts w:ascii="Arial" w:cs="Arial" w:eastAsia="Arial" w:hAnsi="Arial"/>
                <w:sz w:val="15"/>
                <w:szCs w:val="15"/>
                <w:color w:val="0000EE"/>
                <w:w w:val="71"/>
              </w:rPr>
            </w:pPr>
            <w:hyperlink w:anchor="page5">
              <w:r>
                <w:rPr>
                  <w:rFonts w:ascii="Arial" w:cs="Arial" w:eastAsia="Arial" w:hAnsi="Arial"/>
                  <w:sz w:val="15"/>
                  <w:szCs w:val="15"/>
                  <w:color w:val="0000EE"/>
                  <w:w w:val="71"/>
                </w:rPr>
                <w:t>5</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7920" w:type="dxa"/>
            <w:vAlign w:val="bottom"/>
            <w:tcBorders>
              <w:top w:val="single" w:sz="8" w:color="0000EE"/>
              <w:bottom w:val="single" w:sz="8" w:color="0000EE"/>
            </w:tcBorders>
            <w:gridSpan w:val="15"/>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Condensed Consolidated Statements of Cash Flows for the nine months ended September 30, 2016 and 2015</w:t>
              </w:r>
            </w:hyperlink>
          </w:p>
        </w:tc>
        <w:tc>
          <w:tcPr>
            <w:tcW w:w="1580" w:type="dxa"/>
            <w:vAlign w:val="bottom"/>
            <w:tcBorders>
              <w:top w:val="single" w:sz="8" w:color="0000EE"/>
            </w:tcBorders>
            <w:gridSpan w:val="2"/>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Borders>
              <w:top w:val="single" w:sz="8" w:color="0000EE"/>
              <w:bottom w:val="single" w:sz="8" w:color="0000EE"/>
            </w:tcBorders>
          </w:tcPr>
          <w:p>
            <w:pPr>
              <w:spacing w:after="0"/>
              <w:rPr>
                <w:rFonts w:ascii="Arial" w:cs="Arial" w:eastAsia="Arial" w:hAnsi="Arial"/>
                <w:sz w:val="15"/>
                <w:szCs w:val="15"/>
                <w:color w:val="0000EE"/>
                <w:w w:val="71"/>
              </w:rPr>
            </w:pPr>
            <w:hyperlink w:anchor="page6">
              <w:r>
                <w:rPr>
                  <w:rFonts w:ascii="Arial" w:cs="Arial" w:eastAsia="Arial" w:hAnsi="Arial"/>
                  <w:sz w:val="15"/>
                  <w:szCs w:val="15"/>
                  <w:color w:val="0000EE"/>
                  <w:w w:val="71"/>
                </w:rPr>
                <w:t>6</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8"/>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Notes to Condensed Consolidated Financial Statements</w:t>
              </w:r>
            </w:hyperlink>
          </w:p>
        </w:tc>
        <w:tc>
          <w:tcPr>
            <w:tcW w:w="80" w:type="dxa"/>
            <w:vAlign w:val="bottom"/>
          </w:tcPr>
          <w:p>
            <w:pPr>
              <w:spacing w:after="0"/>
              <w:rPr>
                <w:rFonts w:ascii="Arial" w:cs="Arial" w:eastAsia="Arial" w:hAnsi="Arial"/>
                <w:sz w:val="15"/>
                <w:szCs w:val="15"/>
                <w:color w:val="0000FF"/>
                <w:w w:val="71"/>
              </w:rPr>
            </w:pPr>
            <w:hyperlink w:anchor="page7">
              <w:r>
                <w:rPr>
                  <w:rFonts w:ascii="Arial" w:cs="Arial" w:eastAsia="Arial" w:hAnsi="Arial"/>
                  <w:sz w:val="15"/>
                  <w:szCs w:val="15"/>
                  <w:color w:val="0000FF"/>
                  <w:w w:val="71"/>
                </w:rPr>
                <w:t>7</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45"/>
        </w:trPr>
        <w:tc>
          <w:tcPr>
            <w:tcW w:w="1040" w:type="dxa"/>
            <w:vAlign w:val="bottom"/>
          </w:tcPr>
          <w:p>
            <w:pPr>
              <w:spacing w:after="0"/>
              <w:rPr>
                <w:sz w:val="20"/>
                <w:szCs w:val="20"/>
                <w:color w:val="auto"/>
              </w:rPr>
            </w:pPr>
            <w:r>
              <w:rPr>
                <w:rFonts w:ascii="Arial" w:cs="Arial" w:eastAsia="Arial" w:hAnsi="Arial"/>
                <w:sz w:val="16"/>
                <w:szCs w:val="16"/>
                <w:color w:val="auto"/>
              </w:rPr>
              <w:t>Item 2.</w:t>
            </w:r>
          </w:p>
        </w:tc>
        <w:tc>
          <w:tcPr>
            <w:tcW w:w="9800" w:type="dxa"/>
            <w:vAlign w:val="bottom"/>
            <w:gridSpan w:val="18"/>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Management’s Discussion and Analysis of Financial Condition and Results of Operations</w:t>
              </w:r>
            </w:hyperlink>
          </w:p>
        </w:tc>
        <w:tc>
          <w:tcPr>
            <w:tcW w:w="380" w:type="dxa"/>
            <w:vAlign w:val="bottom"/>
            <w:gridSpan w:val="3"/>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20</w:t>
              </w:r>
            </w:hyperlink>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3.</w:t>
            </w:r>
          </w:p>
        </w:tc>
        <w:tc>
          <w:tcPr>
            <w:tcW w:w="4240" w:type="dxa"/>
            <w:vAlign w:val="bottom"/>
            <w:tcBorders>
              <w:top w:val="single" w:sz="8" w:color="0000EE"/>
              <w:bottom w:val="single" w:sz="8" w:color="0000FF"/>
            </w:tcBorders>
            <w:gridSpan w:val="11"/>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Quantitative and Qualitative Disclosures About Market Risk</w:t>
              </w:r>
            </w:hyperlink>
          </w:p>
        </w:tc>
        <w:tc>
          <w:tcPr>
            <w:tcW w:w="2120" w:type="dxa"/>
            <w:vAlign w:val="bottom"/>
            <w:tcBorders>
              <w:top w:val="single" w:sz="8" w:color="0000EE"/>
            </w:tcBorders>
            <w:gridSpan w:val="2"/>
          </w:tcPr>
          <w:p>
            <w:pPr>
              <w:spacing w:after="0"/>
              <w:rPr>
                <w:sz w:val="19"/>
                <w:szCs w:val="19"/>
                <w:color w:val="auto"/>
              </w:rPr>
            </w:pPr>
          </w:p>
        </w:tc>
        <w:tc>
          <w:tcPr>
            <w:tcW w:w="3440" w:type="dxa"/>
            <w:vAlign w:val="bottom"/>
            <w:gridSpan w:val="5"/>
          </w:tcPr>
          <w:p>
            <w:pPr>
              <w:spacing w:after="0"/>
              <w:rPr>
                <w:sz w:val="19"/>
                <w:szCs w:val="19"/>
                <w:color w:val="auto"/>
              </w:rPr>
            </w:pPr>
          </w:p>
        </w:tc>
        <w:tc>
          <w:tcPr>
            <w:tcW w:w="180" w:type="dxa"/>
            <w:vAlign w:val="bottom"/>
            <w:tcBorders>
              <w:top w:val="single" w:sz="8" w:color="0000EE"/>
              <w:bottom w:val="single" w:sz="8" w:color="0000FF"/>
            </w:tcBorders>
            <w:gridSpan w:val="2"/>
          </w:tcPr>
          <w:p>
            <w:pPr>
              <w:spacing w:after="0"/>
              <w:rPr>
                <w:rFonts w:ascii="Arial" w:cs="Arial" w:eastAsia="Arial" w:hAnsi="Arial"/>
                <w:sz w:val="16"/>
                <w:szCs w:val="16"/>
                <w:color w:val="0000FF"/>
                <w:w w:val="89"/>
              </w:rPr>
            </w:pPr>
            <w:hyperlink w:anchor="page35">
              <w:r>
                <w:rPr>
                  <w:rFonts w:ascii="Arial" w:cs="Arial" w:eastAsia="Arial" w:hAnsi="Arial"/>
                  <w:sz w:val="16"/>
                  <w:szCs w:val="16"/>
                  <w:color w:val="0000FF"/>
                  <w:w w:val="89"/>
                </w:rPr>
                <w:t>35</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4.</w:t>
            </w:r>
          </w:p>
        </w:tc>
        <w:tc>
          <w:tcPr>
            <w:tcW w:w="9800" w:type="dxa"/>
            <w:vAlign w:val="bottom"/>
            <w:gridSpan w:val="18"/>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Controls and Procedures</w:t>
              </w:r>
            </w:hyperlink>
          </w:p>
        </w:tc>
        <w:tc>
          <w:tcPr>
            <w:tcW w:w="380" w:type="dxa"/>
            <w:vAlign w:val="bottom"/>
            <w:gridSpan w:val="3"/>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36</w:t>
              </w:r>
            </w:hyperlink>
          </w:p>
        </w:tc>
      </w:tr>
      <w:tr>
        <w:trPr>
          <w:trHeight w:val="258"/>
        </w:trPr>
        <w:tc>
          <w:tcPr>
            <w:tcW w:w="1040" w:type="dxa"/>
            <w:vAlign w:val="bottom"/>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80" w:type="dxa"/>
            <w:vAlign w:val="bottom"/>
          </w:tcPr>
          <w:p>
            <w:pPr>
              <w:spacing w:after="0"/>
              <w:rPr>
                <w:sz w:val="22"/>
                <w:szCs w:val="22"/>
                <w:color w:val="auto"/>
              </w:rPr>
            </w:pPr>
          </w:p>
        </w:tc>
        <w:tc>
          <w:tcPr>
            <w:tcW w:w="7540" w:type="dxa"/>
            <w:vAlign w:val="bottom"/>
            <w:gridSpan w:val="9"/>
          </w:tcPr>
          <w:p>
            <w:pPr>
              <w:ind w:left="1220"/>
              <w:spacing w:after="0"/>
              <w:rPr>
                <w:sz w:val="20"/>
                <w:szCs w:val="20"/>
                <w:color w:val="auto"/>
              </w:rPr>
            </w:pPr>
            <w:r>
              <w:rPr>
                <w:rFonts w:ascii="Arial" w:cs="Arial" w:eastAsia="Arial" w:hAnsi="Arial"/>
                <w:sz w:val="16"/>
                <w:szCs w:val="16"/>
                <w:b w:val="1"/>
                <w:bCs w:val="1"/>
                <w:color w:val="auto"/>
              </w:rPr>
              <w:t>PART II – OTHER INFORMATION</w:t>
            </w: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0" w:type="dxa"/>
            <w:vAlign w:val="bottom"/>
          </w:tcPr>
          <w:p>
            <w:pPr>
              <w:spacing w:after="0"/>
              <w:rPr>
                <w:sz w:val="22"/>
                <w:szCs w:val="22"/>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6"/>
                <w:szCs w:val="16"/>
                <w:color w:val="auto"/>
              </w:rPr>
              <w:t>Item 1.</w:t>
            </w:r>
          </w:p>
        </w:tc>
        <w:tc>
          <w:tcPr>
            <w:tcW w:w="1340" w:type="dxa"/>
            <w:vAlign w:val="bottom"/>
            <w:tcBorders>
              <w:bottom w:val="single" w:sz="8" w:color="0000FF"/>
            </w:tcBorders>
            <w:gridSpan w:val="5"/>
          </w:tcPr>
          <w:p>
            <w:pPr>
              <w:spacing w:after="0"/>
              <w:rPr>
                <w:rFonts w:ascii="Arial" w:cs="Arial" w:eastAsia="Arial" w:hAnsi="Arial"/>
                <w:sz w:val="16"/>
                <w:szCs w:val="16"/>
                <w:color w:val="0000FF"/>
                <w:w w:val="99"/>
              </w:rPr>
            </w:pPr>
            <w:hyperlink w:anchor="page37">
              <w:r>
                <w:rPr>
                  <w:rFonts w:ascii="Arial" w:cs="Arial" w:eastAsia="Arial" w:hAnsi="Arial"/>
                  <w:sz w:val="16"/>
                  <w:szCs w:val="16"/>
                  <w:color w:val="0000FF"/>
                  <w:w w:val="99"/>
                </w:rPr>
                <w:t>Legal Proceedings</w:t>
              </w:r>
            </w:hyperlink>
          </w:p>
        </w:tc>
        <w:tc>
          <w:tcPr>
            <w:tcW w:w="8460" w:type="dxa"/>
            <w:vAlign w:val="bottom"/>
            <w:gridSpan w:val="13"/>
          </w:tcPr>
          <w:p>
            <w:pPr>
              <w:spacing w:after="0"/>
              <w:rPr>
                <w:sz w:val="18"/>
                <w:szCs w:val="18"/>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37">
              <w:r>
                <w:rPr>
                  <w:rFonts w:ascii="Arial" w:cs="Arial" w:eastAsia="Arial" w:hAnsi="Arial"/>
                  <w:sz w:val="16"/>
                  <w:szCs w:val="16"/>
                  <w:color w:val="0000FF"/>
                  <w:w w:val="89"/>
                </w:rPr>
                <w:t>37</w:t>
              </w:r>
            </w:hyperlink>
          </w:p>
        </w:tc>
        <w:tc>
          <w:tcPr>
            <w:tcW w:w="200" w:type="dxa"/>
            <w:vAlign w:val="bottom"/>
          </w:tcPr>
          <w:p>
            <w:pPr>
              <w:spacing w:after="0"/>
              <w:rPr>
                <w:sz w:val="18"/>
                <w:szCs w:val="18"/>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1A.</w:t>
            </w:r>
          </w:p>
        </w:tc>
        <w:tc>
          <w:tcPr>
            <w:tcW w:w="900" w:type="dxa"/>
            <w:vAlign w:val="bottom"/>
            <w:tcBorders>
              <w:bottom w:val="single" w:sz="8" w:color="0000FF"/>
            </w:tcBorders>
            <w:gridSpan w:val="3"/>
          </w:tcPr>
          <w:p>
            <w:pPr>
              <w:spacing w:after="0"/>
              <w:rPr>
                <w:rFonts w:ascii="Arial" w:cs="Arial" w:eastAsia="Arial" w:hAnsi="Arial"/>
                <w:sz w:val="16"/>
                <w:szCs w:val="16"/>
                <w:color w:val="0000FF"/>
                <w:w w:val="98"/>
              </w:rPr>
            </w:pPr>
            <w:hyperlink w:anchor="page37">
              <w:r>
                <w:rPr>
                  <w:rFonts w:ascii="Arial" w:cs="Arial" w:eastAsia="Arial" w:hAnsi="Arial"/>
                  <w:sz w:val="16"/>
                  <w:szCs w:val="16"/>
                  <w:color w:val="0000FF"/>
                  <w:w w:val="98"/>
                </w:rPr>
                <w:t>Risk Factors</w:t>
              </w:r>
            </w:hyperlink>
          </w:p>
        </w:tc>
        <w:tc>
          <w:tcPr>
            <w:tcW w:w="8900" w:type="dxa"/>
            <w:vAlign w:val="bottom"/>
            <w:gridSpan w:val="15"/>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37">
              <w:r>
                <w:rPr>
                  <w:rFonts w:ascii="Arial" w:cs="Arial" w:eastAsia="Arial" w:hAnsi="Arial"/>
                  <w:sz w:val="16"/>
                  <w:szCs w:val="16"/>
                  <w:color w:val="0000FF"/>
                  <w:w w:val="89"/>
                </w:rPr>
                <w:t>37</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2.</w:t>
            </w:r>
          </w:p>
        </w:tc>
        <w:tc>
          <w:tcPr>
            <w:tcW w:w="9800" w:type="dxa"/>
            <w:vAlign w:val="bottom"/>
            <w:gridSpan w:val="18"/>
          </w:tcPr>
          <w:p>
            <w:pPr>
              <w:spacing w:after="0"/>
              <w:rPr>
                <w:rFonts w:ascii="Arial" w:cs="Arial" w:eastAsia="Arial" w:hAnsi="Arial"/>
                <w:sz w:val="16"/>
                <w:szCs w:val="16"/>
                <w:color w:val="0000FF"/>
              </w:rPr>
            </w:pPr>
            <w:hyperlink w:anchor="page58">
              <w:r>
                <w:rPr>
                  <w:rFonts w:ascii="Arial" w:cs="Arial" w:eastAsia="Arial" w:hAnsi="Arial"/>
                  <w:sz w:val="16"/>
                  <w:szCs w:val="16"/>
                  <w:color w:val="0000FF"/>
                </w:rPr>
                <w:t>Unregistered Sales of Equity Securities and Use of Proceeds</w:t>
              </w:r>
            </w:hyperlink>
          </w:p>
        </w:tc>
        <w:tc>
          <w:tcPr>
            <w:tcW w:w="380" w:type="dxa"/>
            <w:vAlign w:val="bottom"/>
            <w:gridSpan w:val="3"/>
          </w:tcPr>
          <w:p>
            <w:pPr>
              <w:spacing w:after="0"/>
              <w:rPr>
                <w:rFonts w:ascii="Arial" w:cs="Arial" w:eastAsia="Arial" w:hAnsi="Arial"/>
                <w:sz w:val="16"/>
                <w:szCs w:val="16"/>
                <w:color w:val="0000FF"/>
              </w:rPr>
            </w:pPr>
            <w:hyperlink w:anchor="page58">
              <w:r>
                <w:rPr>
                  <w:rFonts w:ascii="Arial" w:cs="Arial" w:eastAsia="Arial" w:hAnsi="Arial"/>
                  <w:sz w:val="16"/>
                  <w:szCs w:val="16"/>
                  <w:color w:val="0000FF"/>
                </w:rPr>
                <w:t>58</w:t>
              </w:r>
            </w:hyperlink>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3.</w:t>
            </w:r>
          </w:p>
        </w:tc>
        <w:tc>
          <w:tcPr>
            <w:tcW w:w="4360" w:type="dxa"/>
            <w:vAlign w:val="bottom"/>
            <w:tcBorders>
              <w:top w:val="single" w:sz="8" w:color="0000FF"/>
            </w:tcBorders>
            <w:gridSpan w:val="12"/>
          </w:tcPr>
          <w:p>
            <w:pPr>
              <w:spacing w:after="0"/>
              <w:rPr>
                <w:rFonts w:ascii="Arial" w:cs="Arial" w:eastAsia="Arial" w:hAnsi="Arial"/>
                <w:sz w:val="16"/>
                <w:szCs w:val="16"/>
                <w:color w:val="0000FF"/>
              </w:rPr>
            </w:pPr>
            <w:hyperlink w:anchor="page58">
              <w:r>
                <w:rPr>
                  <w:rFonts w:ascii="Arial" w:cs="Arial" w:eastAsia="Arial" w:hAnsi="Arial"/>
                  <w:sz w:val="16"/>
                  <w:szCs w:val="16"/>
                  <w:color w:val="0000FF"/>
                </w:rPr>
                <w:t>Defaults upon Senior Securities</w:t>
              </w:r>
            </w:hyperlink>
          </w:p>
        </w:tc>
        <w:tc>
          <w:tcPr>
            <w:tcW w:w="5440" w:type="dxa"/>
            <w:vAlign w:val="bottom"/>
            <w:gridSpan w:val="6"/>
          </w:tcPr>
          <w:p>
            <w:pPr>
              <w:spacing w:after="0"/>
              <w:rPr>
                <w:sz w:val="19"/>
                <w:szCs w:val="19"/>
                <w:color w:val="auto"/>
              </w:rPr>
            </w:pPr>
          </w:p>
        </w:tc>
        <w:tc>
          <w:tcPr>
            <w:tcW w:w="180" w:type="dxa"/>
            <w:vAlign w:val="bottom"/>
            <w:tcBorders>
              <w:top w:val="single" w:sz="8" w:color="0000FF"/>
            </w:tcBorders>
            <w:gridSpan w:val="2"/>
          </w:tcPr>
          <w:p>
            <w:pPr>
              <w:spacing w:after="0"/>
              <w:rPr>
                <w:rFonts w:ascii="Arial" w:cs="Arial" w:eastAsia="Arial" w:hAnsi="Arial"/>
                <w:sz w:val="16"/>
                <w:szCs w:val="16"/>
                <w:color w:val="0000FF"/>
                <w:w w:val="89"/>
              </w:rPr>
            </w:pPr>
            <w:hyperlink w:anchor="page58">
              <w:r>
                <w:rPr>
                  <w:rFonts w:ascii="Arial" w:cs="Arial" w:eastAsia="Arial" w:hAnsi="Arial"/>
                  <w:sz w:val="16"/>
                  <w:szCs w:val="16"/>
                  <w:color w:val="0000FF"/>
                  <w:w w:val="89"/>
                </w:rPr>
                <w:t>58</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4.</w:t>
            </w:r>
          </w:p>
        </w:tc>
        <w:tc>
          <w:tcPr>
            <w:tcW w:w="1740" w:type="dxa"/>
            <w:vAlign w:val="bottom"/>
            <w:tcBorders>
              <w:top w:val="single" w:sz="8" w:color="0000FF"/>
              <w:bottom w:val="single" w:sz="8" w:color="0000FF"/>
            </w:tcBorders>
            <w:gridSpan w:val="7"/>
          </w:tcPr>
          <w:p>
            <w:pPr>
              <w:spacing w:after="0"/>
              <w:rPr>
                <w:rFonts w:ascii="Arial" w:cs="Arial" w:eastAsia="Arial" w:hAnsi="Arial"/>
                <w:sz w:val="16"/>
                <w:szCs w:val="16"/>
                <w:color w:val="0000FF"/>
              </w:rPr>
            </w:pPr>
            <w:hyperlink w:anchor="page58">
              <w:r>
                <w:rPr>
                  <w:rFonts w:ascii="Arial" w:cs="Arial" w:eastAsia="Arial" w:hAnsi="Arial"/>
                  <w:sz w:val="16"/>
                  <w:szCs w:val="16"/>
                  <w:color w:val="0000FF"/>
                </w:rPr>
                <w:t>Mine Safety Disclosures</w:t>
              </w:r>
            </w:hyperlink>
          </w:p>
        </w:tc>
        <w:tc>
          <w:tcPr>
            <w:tcW w:w="520" w:type="dxa"/>
            <w:vAlign w:val="bottom"/>
            <w:tcBorders>
              <w:top w:val="single" w:sz="8" w:color="0000FF"/>
            </w:tcBorders>
            <w:gridSpan w:val="2"/>
          </w:tcPr>
          <w:p>
            <w:pPr>
              <w:spacing w:after="0"/>
              <w:rPr>
                <w:sz w:val="19"/>
                <w:szCs w:val="19"/>
                <w:color w:val="auto"/>
              </w:rPr>
            </w:pPr>
          </w:p>
        </w:tc>
        <w:tc>
          <w:tcPr>
            <w:tcW w:w="7540" w:type="dxa"/>
            <w:vAlign w:val="bottom"/>
            <w:gridSpan w:val="9"/>
          </w:tcPr>
          <w:p>
            <w:pPr>
              <w:spacing w:after="0"/>
              <w:rPr>
                <w:sz w:val="19"/>
                <w:szCs w:val="19"/>
                <w:color w:val="auto"/>
              </w:rPr>
            </w:pPr>
          </w:p>
        </w:tc>
        <w:tc>
          <w:tcPr>
            <w:tcW w:w="18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89"/>
              </w:rPr>
            </w:pPr>
            <w:hyperlink w:anchor="page58">
              <w:r>
                <w:rPr>
                  <w:rFonts w:ascii="Arial" w:cs="Arial" w:eastAsia="Arial" w:hAnsi="Arial"/>
                  <w:sz w:val="16"/>
                  <w:szCs w:val="16"/>
                  <w:color w:val="0000FF"/>
                  <w:w w:val="89"/>
                </w:rPr>
                <w:t>58</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5.</w:t>
            </w:r>
          </w:p>
        </w:tc>
        <w:tc>
          <w:tcPr>
            <w:tcW w:w="1260" w:type="dxa"/>
            <w:vAlign w:val="bottom"/>
            <w:tcBorders>
              <w:bottom w:val="single" w:sz="8" w:color="0000FF"/>
            </w:tcBorders>
            <w:gridSpan w:val="4"/>
          </w:tcPr>
          <w:p>
            <w:pPr>
              <w:spacing w:after="0"/>
              <w:rPr>
                <w:rFonts w:ascii="Arial" w:cs="Arial" w:eastAsia="Arial" w:hAnsi="Arial"/>
                <w:sz w:val="16"/>
                <w:szCs w:val="16"/>
                <w:color w:val="0000FF"/>
                <w:w w:val="99"/>
              </w:rPr>
            </w:pPr>
            <w:hyperlink w:anchor="page58">
              <w:r>
                <w:rPr>
                  <w:rFonts w:ascii="Arial" w:cs="Arial" w:eastAsia="Arial" w:hAnsi="Arial"/>
                  <w:sz w:val="16"/>
                  <w:szCs w:val="16"/>
                  <w:color w:val="0000FF"/>
                  <w:w w:val="99"/>
                </w:rPr>
                <w:t>Other Information</w:t>
              </w:r>
            </w:hyperlink>
          </w:p>
        </w:tc>
        <w:tc>
          <w:tcPr>
            <w:tcW w:w="8540" w:type="dxa"/>
            <w:vAlign w:val="bottom"/>
            <w:gridSpan w:val="14"/>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58">
              <w:r>
                <w:rPr>
                  <w:rFonts w:ascii="Arial" w:cs="Arial" w:eastAsia="Arial" w:hAnsi="Arial"/>
                  <w:sz w:val="16"/>
                  <w:szCs w:val="16"/>
                  <w:color w:val="0000FF"/>
                  <w:w w:val="89"/>
                </w:rPr>
                <w:t>58</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6.</w:t>
            </w:r>
          </w:p>
        </w:tc>
        <w:tc>
          <w:tcPr>
            <w:tcW w:w="9800" w:type="dxa"/>
            <w:vAlign w:val="bottom"/>
            <w:gridSpan w:val="18"/>
          </w:tcPr>
          <w:p>
            <w:pPr>
              <w:spacing w:after="0"/>
              <w:rPr>
                <w:rFonts w:ascii="Arial" w:cs="Arial" w:eastAsia="Arial" w:hAnsi="Arial"/>
                <w:sz w:val="16"/>
                <w:szCs w:val="16"/>
                <w:color w:val="0000FF"/>
              </w:rPr>
            </w:pPr>
            <w:hyperlink w:anchor="page58">
              <w:r>
                <w:rPr>
                  <w:rFonts w:ascii="Arial" w:cs="Arial" w:eastAsia="Arial" w:hAnsi="Arial"/>
                  <w:sz w:val="16"/>
                  <w:szCs w:val="16"/>
                  <w:color w:val="0000FF"/>
                </w:rPr>
                <w:t>Exhibits</w:t>
              </w:r>
            </w:hyperlink>
          </w:p>
        </w:tc>
        <w:tc>
          <w:tcPr>
            <w:tcW w:w="380" w:type="dxa"/>
            <w:vAlign w:val="bottom"/>
            <w:gridSpan w:val="3"/>
          </w:tcPr>
          <w:p>
            <w:pPr>
              <w:spacing w:after="0"/>
              <w:rPr>
                <w:rFonts w:ascii="Arial" w:cs="Arial" w:eastAsia="Arial" w:hAnsi="Arial"/>
                <w:sz w:val="16"/>
                <w:szCs w:val="16"/>
                <w:color w:val="0000FF"/>
              </w:rPr>
            </w:pPr>
            <w:hyperlink w:anchor="page58">
              <w:r>
                <w:rPr>
                  <w:rFonts w:ascii="Arial" w:cs="Arial" w:eastAsia="Arial" w:hAnsi="Arial"/>
                  <w:sz w:val="16"/>
                  <w:szCs w:val="16"/>
                  <w:color w:val="0000FF"/>
                </w:rPr>
                <w:t>58</w:t>
              </w:r>
            </w:hyperlink>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40" w:type="dxa"/>
            <w:vAlign w:val="bottom"/>
            <w:gridSpan w:val="16"/>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8"/>
          </w:tcPr>
          <w:p>
            <w:pPr>
              <w:spacing w:after="0"/>
              <w:rPr>
                <w:rFonts w:ascii="Arial" w:cs="Arial" w:eastAsia="Arial" w:hAnsi="Arial"/>
                <w:sz w:val="16"/>
                <w:szCs w:val="16"/>
                <w:color w:val="0000FF"/>
              </w:rPr>
            </w:pPr>
            <w:hyperlink w:anchor="page59">
              <w:r>
                <w:rPr>
                  <w:rFonts w:ascii="Arial" w:cs="Arial" w:eastAsia="Arial" w:hAnsi="Arial"/>
                  <w:sz w:val="16"/>
                  <w:szCs w:val="16"/>
                  <w:color w:val="0000FF"/>
                </w:rPr>
                <w:t>Signatures</w:t>
              </w:r>
            </w:hyperlink>
          </w:p>
        </w:tc>
        <w:tc>
          <w:tcPr>
            <w:tcW w:w="380" w:type="dxa"/>
            <w:vAlign w:val="bottom"/>
            <w:gridSpan w:val="3"/>
          </w:tcPr>
          <w:p>
            <w:pPr>
              <w:spacing w:after="0"/>
              <w:rPr>
                <w:rFonts w:ascii="Arial" w:cs="Arial" w:eastAsia="Arial" w:hAnsi="Arial"/>
                <w:sz w:val="16"/>
                <w:szCs w:val="16"/>
                <w:color w:val="0000FF"/>
              </w:rPr>
            </w:pPr>
            <w:hyperlink w:anchor="page59">
              <w:r>
                <w:rPr>
                  <w:rFonts w:ascii="Arial" w:cs="Arial" w:eastAsia="Arial" w:hAnsi="Arial"/>
                  <w:sz w:val="16"/>
                  <w:szCs w:val="16"/>
                  <w:color w:val="0000FF"/>
                </w:rPr>
                <w:t>59</w:t>
              </w:r>
            </w:hyperlink>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141" w:right="39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 FINANCIAL INFORMATION</w:t>
      </w:r>
    </w:p>
    <w:p>
      <w:pPr>
        <w:spacing w:after="0" w:line="10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231F20"/>
        </w:rPr>
        <w:t>Item 1.</w:t>
      </w:r>
      <w:r>
        <w:rPr>
          <w:sz w:val="20"/>
          <w:szCs w:val="20"/>
          <w:color w:val="auto"/>
        </w:rPr>
        <w:tab/>
      </w:r>
      <w:r>
        <w:rPr>
          <w:rFonts w:ascii="Arial" w:cs="Arial" w:eastAsia="Arial" w:hAnsi="Arial"/>
          <w:sz w:val="17"/>
          <w:szCs w:val="17"/>
          <w:b w:val="1"/>
          <w:bCs w:val="1"/>
          <w:color w:val="231F20"/>
        </w:rPr>
        <w:t>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6"/>
        </w:trPr>
        <w:tc>
          <w:tcPr>
            <w:tcW w:w="8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7"/>
                <w:szCs w:val="17"/>
                <w:color w:val="auto"/>
              </w:rPr>
            </w:pPr>
          </w:p>
        </w:tc>
        <w:tc>
          <w:tcPr>
            <w:tcW w:w="14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December 31, 2015</w:t>
            </w:r>
          </w:p>
        </w:tc>
      </w:tr>
      <w:tr>
        <w:trPr>
          <w:trHeight w:val="283"/>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98,299</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91,698</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Short-term investments</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111,678</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87,268</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 net of allowance of $744 and $769 as of September 30, 2016 and December 31, 2015, respectively</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41,910</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42,325</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9,072</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7,945</w:t>
            </w:r>
          </w:p>
        </w:tc>
      </w:tr>
      <w:tr>
        <w:trPr>
          <w:trHeight w:val="25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current assets</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260,959</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229,236</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Long-term investments</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64,930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43,277</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40,670</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31,329</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Deferred tax assets, net</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15,141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16,079</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1,080</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1,360</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Goodwill</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317</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317</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assets</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1,939</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1,916</w:t>
            </w:r>
          </w:p>
        </w:tc>
      </w:tr>
      <w:tr>
        <w:trPr>
          <w:trHeight w:val="283"/>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385,036</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323,514</w:t>
            </w:r>
          </w:p>
        </w:tc>
      </w:tr>
      <w:tr>
        <w:trPr>
          <w:trHeight w:val="25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1,491</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2,368</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Accrued liabilities</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16,324</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11,786</w:t>
            </w:r>
          </w:p>
        </w:tc>
      </w:tr>
      <w:tr>
        <w:trPr>
          <w:trHeight w:val="270"/>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revenues, current</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109,026</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98,025</w:t>
            </w:r>
          </w:p>
        </w:tc>
      </w:tr>
      <w:tr>
        <w:trPr>
          <w:trHeight w:val="250"/>
        </w:trPr>
        <w:tc>
          <w:tcPr>
            <w:tcW w:w="8340" w:type="dxa"/>
            <w:vAlign w:val="bottom"/>
          </w:tcPr>
          <w:p>
            <w:pPr>
              <w:ind w:left="500"/>
              <w:spacing w:after="0"/>
              <w:rPr>
                <w:sz w:val="20"/>
                <w:szCs w:val="20"/>
                <w:color w:val="auto"/>
              </w:rPr>
            </w:pPr>
            <w:r>
              <w:rPr>
                <w:rFonts w:ascii="Arial" w:cs="Arial" w:eastAsia="Arial" w:hAnsi="Arial"/>
                <w:sz w:val="14"/>
                <w:szCs w:val="14"/>
                <w:color w:val="auto"/>
              </w:rPr>
              <w:t>Total current liabilities</w:t>
            </w:r>
          </w:p>
        </w:tc>
        <w:tc>
          <w:tcPr>
            <w:tcW w:w="180" w:type="dxa"/>
            <w:vAlign w:val="bottom"/>
          </w:tcPr>
          <w:p>
            <w:pPr>
              <w:spacing w:after="0"/>
              <w:rPr>
                <w:sz w:val="21"/>
                <w:szCs w:val="21"/>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126,841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112,179</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revenues, noncurrent</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14,416</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14,564</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noncurrent liabilities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2,386</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1,205</w:t>
            </w:r>
          </w:p>
        </w:tc>
      </w:tr>
      <w:tr>
        <w:trPr>
          <w:trHeight w:val="25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liabilities</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143,643</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127,948</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Commitments and contingencies (Note 5)</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194"/>
        </w:trPr>
        <w:tc>
          <w:tcPr>
            <w:tcW w:w="8340" w:type="dxa"/>
            <w:vAlign w:val="bottom"/>
          </w:tcPr>
          <w:p>
            <w:pPr>
              <w:ind w:left="280"/>
              <w:spacing w:after="0"/>
              <w:rPr>
                <w:sz w:val="20"/>
                <w:szCs w:val="20"/>
                <w:color w:val="auto"/>
              </w:rPr>
            </w:pPr>
            <w:r>
              <w:rPr>
                <w:rFonts w:ascii="Arial" w:cs="Arial" w:eastAsia="Arial" w:hAnsi="Arial"/>
                <w:sz w:val="14"/>
                <w:szCs w:val="14"/>
                <w:color w:val="auto"/>
              </w:rPr>
              <w:t>Preferred stock, $0.001 par value; 20,000,000 shares authorized, no shares issued and outstanding at September 30, 2016</w:t>
            </w: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78"/>
        </w:trPr>
        <w:tc>
          <w:tcPr>
            <w:tcW w:w="8340" w:type="dxa"/>
            <w:vAlign w:val="bottom"/>
          </w:tcPr>
          <w:p>
            <w:pPr>
              <w:ind w:left="280"/>
              <w:spacing w:after="0"/>
              <w:rPr>
                <w:sz w:val="20"/>
                <w:szCs w:val="20"/>
                <w:color w:val="auto"/>
              </w:rPr>
            </w:pPr>
            <w:r>
              <w:rPr>
                <w:rFonts w:ascii="Arial" w:cs="Arial" w:eastAsia="Arial" w:hAnsi="Arial"/>
                <w:sz w:val="14"/>
                <w:szCs w:val="14"/>
                <w:color w:val="auto"/>
              </w:rPr>
              <w:t>and December 31, 2015</w:t>
            </w:r>
          </w:p>
        </w:tc>
        <w:tc>
          <w:tcPr>
            <w:tcW w:w="180" w:type="dxa"/>
            <w:vAlign w:val="bottom"/>
          </w:tcPr>
          <w:p>
            <w:pPr>
              <w:spacing w:after="0"/>
              <w:rPr>
                <w:sz w:val="15"/>
                <w:szCs w:val="15"/>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0"/>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Common stock, $0.001 par value; 1,000,000,000 shares authorized; 35,680,925 and 34,414,631 shares issued and</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4"/>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outstanding at September 30, 2016 and December 31, 2015, respectively</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255,509</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223,228</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Accumulated other comprehensive income (loss)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Accumulated deficit</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(14,168)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(27,485)</w:t>
            </w:r>
          </w:p>
        </w:tc>
      </w:tr>
      <w:tr>
        <w:trPr>
          <w:trHeight w:val="250"/>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stockholders’ equity</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241,393</w:t>
            </w:r>
          </w:p>
        </w:tc>
        <w:tc>
          <w:tcPr>
            <w:tcW w:w="12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195,566</w:t>
            </w:r>
          </w:p>
        </w:tc>
      </w:tr>
      <w:tr>
        <w:trPr>
          <w:trHeight w:val="243"/>
        </w:trPr>
        <w:tc>
          <w:tcPr>
            <w:tcW w:w="8340" w:type="dxa"/>
            <w:vAlign w:val="bottom"/>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385,036</w:t>
            </w:r>
          </w:p>
        </w:tc>
        <w:tc>
          <w:tcPr>
            <w:tcW w:w="120" w:type="dxa"/>
            <w:vAlign w:val="bottom"/>
          </w:tcPr>
          <w:p>
            <w:pPr>
              <w:spacing w:after="0"/>
              <w:rPr>
                <w:sz w:val="21"/>
                <w:szCs w:val="21"/>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323,514</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1"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50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50,987</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42,469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145,701</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119,839</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revenues</w:t>
            </w:r>
          </w:p>
        </w:tc>
        <w:tc>
          <w:tcPr>
            <w:tcW w:w="320" w:type="dxa"/>
            <w:vAlign w:val="bottom"/>
            <w:tcBorders>
              <w:bottom w:val="single" w:sz="8" w:color="231F20"/>
            </w:tcBorders>
          </w:tcPr>
          <w:p>
            <w:pPr>
              <w:spacing w:after="0"/>
              <w:rPr>
                <w:sz w:val="22"/>
                <w:szCs w:val="22"/>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11,288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231F20"/>
            </w:tcBorders>
          </w:tcPr>
          <w:p>
            <w:pPr>
              <w:spacing w:after="0"/>
              <w:rPr>
                <w:sz w:val="22"/>
                <w:szCs w:val="22"/>
                <w:color w:val="auto"/>
              </w:rPr>
            </w:pPr>
          </w:p>
        </w:tc>
        <w:tc>
          <w:tcPr>
            <w:tcW w:w="90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8,762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30,796</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231F20"/>
            </w:tcBorders>
          </w:tcPr>
          <w:p>
            <w:pPr>
              <w:spacing w:after="0"/>
              <w:rPr>
                <w:sz w:val="22"/>
                <w:szCs w:val="22"/>
                <w:color w:val="auto"/>
              </w:rPr>
            </w:pPr>
          </w:p>
        </w:tc>
        <w:tc>
          <w:tcPr>
            <w:tcW w:w="86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24,883</w:t>
            </w: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39,699</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33,707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114,905</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94,956</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Research and development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9,405</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7,564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26,382</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21,919</w:t>
            </w:r>
          </w:p>
        </w:tc>
        <w:tc>
          <w:tcPr>
            <w:tcW w:w="0" w:type="dxa"/>
            <w:vAlign w:val="bottom"/>
          </w:tcPr>
          <w:p>
            <w:pPr>
              <w:spacing w:after="0"/>
              <w:rPr>
                <w:sz w:val="1"/>
                <w:szCs w:val="1"/>
                <w:color w:val="auto"/>
              </w:rPr>
            </w:pP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Sales and marketing</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14,240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12,282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42,624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36,501</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320" w:type="dxa"/>
            <w:vAlign w:val="bottom"/>
            <w:tcBorders>
              <w:bottom w:val="single" w:sz="8" w:color="231F20"/>
            </w:tcBorders>
            <w:shd w:val="clear" w:color="auto" w:fill="CCEEFF"/>
          </w:tcPr>
          <w:p>
            <w:pPr>
              <w:spacing w:after="0"/>
              <w:rPr>
                <w:sz w:val="23"/>
                <w:szCs w:val="23"/>
                <w:color w:val="auto"/>
              </w:rPr>
            </w:pPr>
          </w:p>
        </w:tc>
        <w:tc>
          <w:tcPr>
            <w:tcW w:w="1060" w:type="dxa"/>
            <w:vAlign w:val="bottom"/>
            <w:tcBorders>
              <w:bottom w:val="single" w:sz="8" w:color="231F20"/>
            </w:tcBorders>
            <w:shd w:val="clear" w:color="auto" w:fill="CCEEFF"/>
          </w:tcPr>
          <w:p>
            <w:pPr>
              <w:jc w:val="right"/>
              <w:ind w:right="48"/>
              <w:spacing w:after="0"/>
              <w:rPr>
                <w:sz w:val="20"/>
                <w:szCs w:val="20"/>
                <w:color w:val="auto"/>
              </w:rPr>
            </w:pPr>
            <w:r>
              <w:rPr>
                <w:rFonts w:ascii="Arial" w:cs="Arial" w:eastAsia="Arial" w:hAnsi="Arial"/>
                <w:sz w:val="14"/>
                <w:szCs w:val="14"/>
                <w:color w:val="auto"/>
              </w:rPr>
              <w:t>8,067</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231F20"/>
            </w:tcBorders>
            <w:shd w:val="clear" w:color="auto" w:fill="CCEEFF"/>
          </w:tcPr>
          <w:p>
            <w:pPr>
              <w:spacing w:after="0"/>
              <w:rPr>
                <w:sz w:val="23"/>
                <w:szCs w:val="23"/>
                <w:color w:val="auto"/>
              </w:rPr>
            </w:pPr>
          </w:p>
        </w:tc>
        <w:tc>
          <w:tcPr>
            <w:tcW w:w="90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6,983</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24,603</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231F20"/>
            </w:tcBorders>
            <w:shd w:val="clear" w:color="auto" w:fill="CCEEFF"/>
          </w:tcPr>
          <w:p>
            <w:pPr>
              <w:spacing w:after="0"/>
              <w:rPr>
                <w:sz w:val="23"/>
                <w:szCs w:val="23"/>
                <w:color w:val="auto"/>
              </w:rPr>
            </w:pPr>
          </w:p>
        </w:tc>
        <w:tc>
          <w:tcPr>
            <w:tcW w:w="86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19,426</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31,712</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26,829</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93,609</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77,846</w:t>
            </w: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7,987</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6,878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21,296</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17,110</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Other income (expense), net:</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expense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Interest income</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363</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903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expense, net</w:t>
            </w:r>
          </w:p>
        </w:tc>
        <w:tc>
          <w:tcPr>
            <w:tcW w:w="320" w:type="dxa"/>
            <w:vAlign w:val="bottom"/>
            <w:tcBorders>
              <w:bottom w:val="single" w:sz="8" w:color="231F20"/>
            </w:tcBorders>
            <w:shd w:val="clear" w:color="auto" w:fill="CCEEFF"/>
          </w:tcPr>
          <w:p>
            <w:pPr>
              <w:spacing w:after="0"/>
              <w:rPr>
                <w:sz w:val="23"/>
                <w:szCs w:val="23"/>
                <w:color w:val="auto"/>
              </w:rPr>
            </w:pPr>
          </w:p>
        </w:tc>
        <w:tc>
          <w:tcPr>
            <w:tcW w:w="106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231F20"/>
            </w:tcBorders>
            <w:shd w:val="clear" w:color="auto" w:fill="CCEEFF"/>
          </w:tcPr>
          <w:p>
            <w:pPr>
              <w:spacing w:after="0"/>
              <w:rPr>
                <w:sz w:val="23"/>
                <w:szCs w:val="23"/>
                <w:color w:val="auto"/>
              </w:rPr>
            </w:pPr>
          </w:p>
        </w:tc>
        <w:tc>
          <w:tcPr>
            <w:tcW w:w="90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231F20"/>
            </w:tcBorders>
            <w:shd w:val="clear" w:color="auto" w:fill="CCEEFF"/>
          </w:tcPr>
          <w:p>
            <w:pPr>
              <w:spacing w:after="0"/>
              <w:rPr>
                <w:sz w:val="23"/>
                <w:szCs w:val="23"/>
                <w:color w:val="auto"/>
              </w:rPr>
            </w:pPr>
          </w:p>
        </w:tc>
        <w:tc>
          <w:tcPr>
            <w:tcW w:w="86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(485)</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other income (expense), net</w:t>
            </w:r>
          </w:p>
        </w:tc>
        <w:tc>
          <w:tcPr>
            <w:tcW w:w="32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230</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(154)</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438</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8,217</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6,724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21,734</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17,007</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income taxes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3,221</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2,601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8,417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6,566</w:t>
            </w: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4,996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13,317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10,441</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4"/>
                <w:szCs w:val="14"/>
                <w:color w:val="auto"/>
              </w:rPr>
              <w:t>Net income per share:</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62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0.14</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0.38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Diluted</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0.13</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0.11</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0.35</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251"/>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shares used in computing net income per share:</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Basic</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35,477</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34,119</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35,074</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33,967</w:t>
            </w: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38,712</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37,938</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38,205</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38,202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1"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60" w:type="dxa"/>
            <w:vAlign w:val="bottom"/>
          </w:tcPr>
          <w:p>
            <w:pPr>
              <w:spacing w:after="0"/>
              <w:rPr>
                <w:sz w:val="16"/>
                <w:szCs w:val="16"/>
                <w:color w:val="auto"/>
              </w:rPr>
            </w:pPr>
          </w:p>
        </w:tc>
        <w:tc>
          <w:tcPr>
            <w:tcW w:w="258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4"/>
          </w:tcPr>
          <w:p>
            <w:pPr>
              <w:jc w:val="right"/>
              <w:ind w:right="708"/>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2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24"/>
                <w:szCs w:val="24"/>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2015</w:t>
            </w:r>
          </w:p>
        </w:tc>
      </w:tr>
      <w:tr>
        <w:trPr>
          <w:trHeight w:val="25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4,996</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4,123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13,317</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10,441</w:t>
            </w:r>
          </w:p>
        </w:tc>
      </w:tr>
      <w:tr>
        <w:trPr>
          <w:trHeight w:val="264"/>
        </w:trPr>
        <w:tc>
          <w:tcPr>
            <w:tcW w:w="5260" w:type="dxa"/>
            <w:vAlign w:val="bottom"/>
          </w:tcPr>
          <w:p>
            <w:pPr>
              <w:ind w:left="180"/>
              <w:spacing w:after="0"/>
              <w:rPr>
                <w:sz w:val="20"/>
                <w:szCs w:val="20"/>
                <w:color w:val="auto"/>
              </w:rPr>
            </w:pPr>
            <w:r>
              <w:rPr>
                <w:rFonts w:ascii="Arial" w:cs="Arial" w:eastAsia="Arial" w:hAnsi="Arial"/>
                <w:sz w:val="14"/>
                <w:szCs w:val="14"/>
                <w:color w:val="auto"/>
              </w:rPr>
              <w:t>Available-for-sale investments:</w:t>
            </w:r>
          </w:p>
        </w:tc>
        <w:tc>
          <w:tcPr>
            <w:tcW w:w="9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6"/>
        </w:trPr>
        <w:tc>
          <w:tcPr>
            <w:tcW w:w="5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 in net unrealized gain (loss) on investments, net of tax</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r>
      <w:tr>
        <w:trPr>
          <w:trHeight w:val="194"/>
        </w:trPr>
        <w:tc>
          <w:tcPr>
            <w:tcW w:w="5260" w:type="dxa"/>
            <w:vAlign w:val="bottom"/>
          </w:tcPr>
          <w:p>
            <w:pPr>
              <w:ind w:left="280"/>
              <w:spacing w:after="0"/>
              <w:rPr>
                <w:sz w:val="20"/>
                <w:szCs w:val="20"/>
                <w:color w:val="auto"/>
              </w:rPr>
            </w:pPr>
            <w:r>
              <w:rPr>
                <w:rFonts w:ascii="Arial" w:cs="Arial" w:eastAsia="Arial" w:hAnsi="Arial"/>
                <w:sz w:val="14"/>
                <w:szCs w:val="14"/>
                <w:color w:val="auto"/>
              </w:rPr>
              <w:t>Less: reclassification adjustment for net realized gain (loss) included in net</w:t>
            </w: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78"/>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income</w:t>
            </w:r>
          </w:p>
        </w:tc>
        <w:tc>
          <w:tcPr>
            <w:tcW w:w="9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r>
      <w:tr>
        <w:trPr>
          <w:trHeight w:val="250"/>
        </w:trPr>
        <w:tc>
          <w:tcPr>
            <w:tcW w:w="5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change, net of tax</w:t>
            </w:r>
          </w:p>
        </w:tc>
        <w:tc>
          <w:tcPr>
            <w:tcW w:w="9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227</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r>
      <w:tr>
        <w:trPr>
          <w:trHeight w:val="250"/>
        </w:trPr>
        <w:tc>
          <w:tcPr>
            <w:tcW w:w="52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Other comprehensive income (loss), net</w:t>
            </w:r>
          </w:p>
        </w:tc>
        <w:tc>
          <w:tcPr>
            <w:tcW w:w="960" w:type="dxa"/>
            <w:vAlign w:val="bottom"/>
            <w:tcBorders>
              <w:bottom w:val="single" w:sz="8" w:color="231F20"/>
            </w:tcBorders>
          </w:tcPr>
          <w:p>
            <w:pPr>
              <w:spacing w:after="0"/>
              <w:rPr>
                <w:sz w:val="21"/>
                <w:szCs w:val="21"/>
                <w:color w:val="auto"/>
              </w:rPr>
            </w:pPr>
          </w:p>
        </w:tc>
        <w:tc>
          <w:tcPr>
            <w:tcW w:w="540" w:type="dxa"/>
            <w:vAlign w:val="bottom"/>
            <w:tcBorders>
              <w:bottom w:val="single" w:sz="8" w:color="231F20"/>
            </w:tcBorders>
          </w:tcPr>
          <w:p>
            <w:pPr>
              <w:jc w:val="right"/>
              <w:ind w:right="8"/>
              <w:spacing w:after="0"/>
              <w:rPr>
                <w:sz w:val="20"/>
                <w:szCs w:val="20"/>
                <w:color w:val="auto"/>
              </w:rPr>
            </w:pPr>
            <w:r>
              <w:rPr>
                <w:rFonts w:ascii="Arial" w:cs="Arial" w:eastAsia="Arial" w:hAnsi="Arial"/>
                <w:sz w:val="14"/>
                <w:szCs w:val="14"/>
                <w:color w:val="auto"/>
              </w:rPr>
              <w:t>(96)</w:t>
            </w:r>
          </w:p>
        </w:tc>
        <w:tc>
          <w:tcPr>
            <w:tcW w:w="120" w:type="dxa"/>
            <w:vAlign w:val="bottom"/>
            <w:tcBorders>
              <w:bottom w:val="single" w:sz="8" w:color="CCEEFF"/>
            </w:tcBorders>
          </w:tcPr>
          <w:p>
            <w:pPr>
              <w:spacing w:after="0"/>
              <w:rPr>
                <w:sz w:val="21"/>
                <w:szCs w:val="21"/>
                <w:color w:val="auto"/>
              </w:rPr>
            </w:pPr>
          </w:p>
        </w:tc>
        <w:tc>
          <w:tcPr>
            <w:tcW w:w="960" w:type="dxa"/>
            <w:vAlign w:val="bottom"/>
            <w:tcBorders>
              <w:bottom w:val="single" w:sz="8" w:color="231F20"/>
            </w:tcBorders>
          </w:tcPr>
          <w:p>
            <w:pPr>
              <w:spacing w:after="0"/>
              <w:rPr>
                <w:sz w:val="21"/>
                <w:szCs w:val="21"/>
                <w:color w:val="auto"/>
              </w:rPr>
            </w:pPr>
          </w:p>
        </w:tc>
        <w:tc>
          <w:tcPr>
            <w:tcW w:w="54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231F20"/>
            </w:tcBorders>
          </w:tcPr>
          <w:p>
            <w:pPr>
              <w:spacing w:after="0"/>
              <w:rPr>
                <w:sz w:val="21"/>
                <w:szCs w:val="21"/>
                <w:color w:val="auto"/>
              </w:rPr>
            </w:pPr>
          </w:p>
        </w:tc>
        <w:tc>
          <w:tcPr>
            <w:tcW w:w="104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227</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27</w:t>
            </w:r>
          </w:p>
        </w:tc>
      </w:tr>
      <w:tr>
        <w:trPr>
          <w:trHeight w:val="243"/>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4,900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13,544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10,468</w:t>
            </w:r>
          </w:p>
        </w:tc>
      </w:tr>
      <w:tr>
        <w:trPr>
          <w:trHeight w:val="20"/>
        </w:trPr>
        <w:tc>
          <w:tcPr>
            <w:tcW w:w="5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1"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right"/>
              <w:ind w:right="788"/>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8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24"/>
                <w:szCs w:val="24"/>
                <w:color w:val="auto"/>
              </w:rPr>
            </w:pPr>
          </w:p>
        </w:tc>
      </w:tr>
      <w:tr>
        <w:trPr>
          <w:trHeight w:val="263"/>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2015</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Cash flows from operating activities: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13,317</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10,441</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Depreciation and amortization expense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12,364</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10,424</w:t>
            </w: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Bad debt expense</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629</w:t>
            </w: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Loss on disposal of property and equipment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Stock-based compensation</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15,122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12,678</w:t>
            </w: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Amortization of premiums and accretion of discounts on investments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617</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429</w:t>
            </w: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Excess tax benefits from stock-based compensation</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(4,832)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(315)</w:t>
            </w: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Deferred income taxes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931</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5,105</w:t>
            </w: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83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Accounts receivable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(5,512)</w:t>
            </w:r>
          </w:p>
        </w:tc>
      </w:tr>
      <w:tr>
        <w:trPr>
          <w:trHeight w:val="264"/>
        </w:trPr>
        <w:tc>
          <w:tcPr>
            <w:tcW w:w="8340" w:type="dxa"/>
            <w:vAlign w:val="bottom"/>
          </w:tcPr>
          <w:p>
            <w:pPr>
              <w:ind w:left="720"/>
              <w:spacing w:after="0"/>
              <w:rPr>
                <w:sz w:val="20"/>
                <w:szCs w:val="20"/>
                <w:color w:val="auto"/>
              </w:rPr>
            </w:pPr>
            <w:r>
              <w:rPr>
                <w:rFonts w:ascii="Arial" w:cs="Arial" w:eastAsia="Arial" w:hAnsi="Arial"/>
                <w:sz w:val="14"/>
                <w:szCs w:val="14"/>
                <w:color w:val="auto"/>
              </w:rPr>
              <w:t>Prepaid expenses and other assets</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(1,196)</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(2,143)</w:t>
            </w:r>
          </w:p>
        </w:tc>
      </w:tr>
      <w:tr>
        <w:trPr>
          <w:trHeight w:val="276"/>
        </w:trPr>
        <w:tc>
          <w:tcPr>
            <w:tcW w:w="83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Accounts payable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(877)</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(3,606)</w:t>
            </w:r>
          </w:p>
        </w:tc>
      </w:tr>
      <w:tr>
        <w:trPr>
          <w:trHeight w:val="264"/>
        </w:trPr>
        <w:tc>
          <w:tcPr>
            <w:tcW w:w="8340" w:type="dxa"/>
            <w:vAlign w:val="bottom"/>
          </w:tcPr>
          <w:p>
            <w:pPr>
              <w:ind w:left="720"/>
              <w:spacing w:after="0"/>
              <w:rPr>
                <w:sz w:val="20"/>
                <w:szCs w:val="20"/>
                <w:color w:val="auto"/>
              </w:rPr>
            </w:pPr>
            <w:r>
              <w:rPr>
                <w:rFonts w:ascii="Arial" w:cs="Arial" w:eastAsia="Arial" w:hAnsi="Arial"/>
                <w:sz w:val="14"/>
                <w:szCs w:val="14"/>
                <w:color w:val="auto"/>
              </w:rPr>
              <w:t>Accrued liabilities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6,763</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2,735</w:t>
            </w:r>
          </w:p>
        </w:tc>
      </w:tr>
      <w:tr>
        <w:trPr>
          <w:trHeight w:val="276"/>
        </w:trPr>
        <w:tc>
          <w:tcPr>
            <w:tcW w:w="83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Deferred revenues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10,853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10,612</w:t>
            </w:r>
          </w:p>
        </w:tc>
      </w:tr>
      <w:tr>
        <w:trPr>
          <w:trHeight w:val="264"/>
        </w:trPr>
        <w:tc>
          <w:tcPr>
            <w:tcW w:w="834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Other noncurrent liabilities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1,188</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w:t>
            </w:r>
          </w:p>
        </w:tc>
      </w:tr>
      <w:tr>
        <w:trPr>
          <w:trHeight w:val="256"/>
        </w:trPr>
        <w:tc>
          <w:tcPr>
            <w:tcW w:w="8340" w:type="dxa"/>
            <w:vAlign w:val="bottom"/>
            <w:shd w:val="clear" w:color="auto" w:fill="CCEEFF"/>
          </w:tcPr>
          <w:p>
            <w:pPr>
              <w:ind w:left="92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54,704</w:t>
            </w:r>
          </w:p>
        </w:tc>
        <w:tc>
          <w:tcPr>
            <w:tcW w:w="12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41,668</w:t>
            </w:r>
          </w:p>
        </w:tc>
      </w:tr>
      <w:tr>
        <w:trPr>
          <w:trHeight w:val="258"/>
        </w:trPr>
        <w:tc>
          <w:tcPr>
            <w:tcW w:w="834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investments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(180,161)</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(88,694)</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Sales and maturities of investments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133,708</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73,340</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property and equipment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(18,809)</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(14,865)</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Capitalized software development costs</w:t>
            </w:r>
          </w:p>
        </w:tc>
        <w:tc>
          <w:tcPr>
            <w:tcW w:w="34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(99)</w:t>
            </w:r>
          </w:p>
        </w:tc>
      </w:tr>
      <w:tr>
        <w:trPr>
          <w:trHeight w:val="256"/>
        </w:trPr>
        <w:tc>
          <w:tcPr>
            <w:tcW w:w="8340" w:type="dxa"/>
            <w:vAlign w:val="bottom"/>
            <w:tcBorders>
              <w:top w:val="single" w:sz="8" w:color="CCEEFF"/>
            </w:tcBorders>
            <w:shd w:val="clear" w:color="auto" w:fill="CCEEFF"/>
          </w:tcPr>
          <w:p>
            <w:pPr>
              <w:ind w:left="920"/>
              <w:spacing w:after="0"/>
              <w:rPr>
                <w:sz w:val="20"/>
                <w:szCs w:val="20"/>
                <w:color w:val="auto"/>
              </w:rPr>
            </w:pPr>
            <w:r>
              <w:rPr>
                <w:rFonts w:ascii="Arial" w:cs="Arial" w:eastAsia="Arial" w:hAnsi="Arial"/>
                <w:sz w:val="14"/>
                <w:szCs w:val="14"/>
                <w:color w:val="auto"/>
              </w:rPr>
              <w:t>Net cash used in investing activities</w:t>
            </w: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(65,262)</w:t>
            </w:r>
          </w:p>
        </w:tc>
        <w:tc>
          <w:tcPr>
            <w:tcW w:w="12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(30,318)</w:t>
            </w:r>
          </w:p>
        </w:tc>
      </w:tr>
      <w:tr>
        <w:trPr>
          <w:trHeight w:val="258"/>
        </w:trPr>
        <w:tc>
          <w:tcPr>
            <w:tcW w:w="834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exercise of stock options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12,529</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6,594</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Excess tax benefits from stock-based compensation</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4,832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315</w:t>
            </w:r>
          </w:p>
        </w:tc>
      </w:tr>
      <w:tr>
        <w:trPr>
          <w:trHeight w:val="270"/>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Payments for taxes related to net share settlement of equity awards</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(202)</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834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Net cash provided by financing activities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17,159</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6,909</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6,601</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18,259</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91,698</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76,504</w:t>
            </w:r>
          </w:p>
        </w:tc>
      </w:tr>
      <w:tr>
        <w:trPr>
          <w:trHeight w:val="243"/>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98,299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94,763</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64"/>
        </w:trPr>
        <w:tc>
          <w:tcPr>
            <w:tcW w:w="8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Purchases of property and equipment recorded in accrued liabilities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2,606</w:t>
            </w:r>
          </w:p>
        </w:tc>
        <w:tc>
          <w:tcPr>
            <w:tcW w:w="120" w:type="dxa"/>
            <w:vAlign w:val="bottom"/>
          </w:tcPr>
          <w:p>
            <w:pPr>
              <w:spacing w:after="0"/>
              <w:rPr>
                <w:sz w:val="22"/>
                <w:szCs w:val="22"/>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Vesting of early exercised common stock options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r>
    </w:tbl>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Condensed Consolidated Financial Statements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41" w:right="239" w:bottom="1440" w:gutter="0" w:footer="0" w:header="0"/>
          <w:type w:val="continuous"/>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color w:val="231F20"/>
        </w:rPr>
        <w:t>The Company and Summary of Significant Accounting Policies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Description of Business</w:t>
      </w:r>
    </w:p>
    <w:p>
      <w:pPr>
        <w:spacing w:after="0" w:line="24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231F20"/>
        </w:rPr>
        <w:t>Qualys, Inc. (the “Company”) was incorporated in the state of Delaware on December 30, 1999. The Company is headquartered in Redwood City, California and has majority-owned subsidiaries throughout the world. The Company is a pioneer and leading provider of cloud-based security and compliance solutions that enable organizations to identify security risks to their IT infrastructures, help protect their IT systems and applications from ever-evolving cyber-attacks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its Qualys Cloud Platform to cost-effectively obtain a unified view of their security and compliance posture across globally-distributed IT infrastructures.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Basis of Presentation</w:t>
      </w:r>
    </w:p>
    <w:p>
      <w:pPr>
        <w:spacing w:after="0" w:line="247"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231F20"/>
        </w:rPr>
        <w:t xml:space="preserve">The accompanying unaudited condensed consolidated financial statements and condensed footnotes have been prepared by the Company in accordance with accounting principles generally accepted in the United States ("U.S. GAAP") for interim financial information as well as the instructions to Form 10-Q and the rules and regulations of the U.S. Securities and Exchange Commission ("SEC"). Certain information and note disclosures normally included in the financial statements prepared in accordance with U.S. GAAP have been condensed or omitted pursuant to such rules and regulations. The condensed consolidated balance sheet as of </w:t>
      </w:r>
      <w:r>
        <w:rPr>
          <w:rFonts w:ascii="Arial" w:cs="Arial" w:eastAsia="Arial" w:hAnsi="Arial"/>
          <w:sz w:val="18"/>
          <w:szCs w:val="18"/>
          <w:color w:val="000000"/>
        </w:rPr>
        <w:t>December 31, 2015</w:t>
      </w:r>
      <w:r>
        <w:rPr>
          <w:rFonts w:ascii="Arial" w:cs="Arial" w:eastAsia="Arial" w:hAnsi="Arial"/>
          <w:sz w:val="18"/>
          <w:szCs w:val="18"/>
          <w:color w:val="231F20"/>
        </w:rPr>
        <w:t xml:space="preserve">, included herein, was derived from the audited financial statements as of that date but does not include all disclosures, including notes required by U.S. GAAP. In the opinion of management, the accompanying unaudited condensed consolidated financial statements reflect all adjustments, which include only normal recurring adjustments, necessary for the fair presentation of the financial position, results of operations and cash flows for the interim periods. The results of operations for the three and nine month periods ended September 30, 2016 are not necessarily indicative of the results of operations expected for the entire year ending December 31, 2016 or for any other future annual or interim period. These condensed consolidated financial statements should be read in conjunction with the consolidated financial statements and related notes included in the Company’s Annual Report on Form 10-K for the year ended </w:t>
      </w:r>
      <w:r>
        <w:rPr>
          <w:rFonts w:ascii="Arial" w:cs="Arial" w:eastAsia="Arial" w:hAnsi="Arial"/>
          <w:sz w:val="18"/>
          <w:szCs w:val="18"/>
          <w:color w:val="000000"/>
        </w:rPr>
        <w:t>December 31, 2015</w:t>
      </w:r>
      <w:r>
        <w:rPr>
          <w:rFonts w:ascii="Arial" w:cs="Arial" w:eastAsia="Arial" w:hAnsi="Arial"/>
          <w:sz w:val="18"/>
          <w:szCs w:val="18"/>
          <w:color w:val="231F20"/>
        </w:rPr>
        <w:t xml:space="preserve"> filed with the SEC on February 26, 2016.</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Principles of Consolidation</w:t>
      </w:r>
    </w:p>
    <w:p>
      <w:pPr>
        <w:spacing w:after="0" w:line="247" w:lineRule="exact"/>
        <w:rPr>
          <w:sz w:val="20"/>
          <w:szCs w:val="20"/>
          <w:color w:val="auto"/>
        </w:rPr>
      </w:pPr>
    </w:p>
    <w:p>
      <w:pPr>
        <w:ind w:right="860" w:firstLine="486"/>
        <w:spacing w:after="0" w:line="262" w:lineRule="auto"/>
        <w:rPr>
          <w:sz w:val="20"/>
          <w:szCs w:val="20"/>
          <w:color w:val="auto"/>
        </w:rPr>
      </w:pPr>
      <w:r>
        <w:rPr>
          <w:rFonts w:ascii="Arial" w:cs="Arial" w:eastAsia="Arial" w:hAnsi="Arial"/>
          <w:sz w:val="18"/>
          <w:szCs w:val="18"/>
          <w:color w:val="231F20"/>
        </w:rPr>
        <w:t>The accompanying condensed consolidated financial statements include the accounts of the Company and its majority-owned subsidiaries. All significant intercompany transactions and balances have been eliminated upon consolidation.</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Use of Estimates</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231F20"/>
        </w:rPr>
        <w:t>The preparation of the condensed consolidated financial statements in conformity with U.S. GAAP requires management to make certain estimates and assumptions that affect the reported amounts of assets and liabilities and disclosure of contingent assets and liabilities at the date of the condensed consolidated financial statements and the reported results of operations during the reporting period. The Company’s management regularly assesses these estimates, which primarily affect revenue recognition, the valuation of accounts receivable, goodwill and intangible assets, stock-based compensation and the provision for income taxes. Actual results could differ from those estimates and such differences may be material to the accompanying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41" w:right="27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Concentration of Credit Risk</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The Company invests its cash and cash equivalents with major financial institutions. Cash balances with any one institution at times may be in excess of federally insured limits. Cash equivalents are invested in high-quality investment grade financial instruments and are diversified. The Company has not experienced any losses in such accounts and believes it is not exposed to any significant credit risk.</w:t>
      </w:r>
    </w:p>
    <w:p>
      <w:pPr>
        <w:spacing w:after="0" w:line="202"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231F20"/>
        </w:rPr>
        <w:t xml:space="preserve">Credit risk with respect to accounts receivable is dispersed due to the large number of customers. Collateral is not required for accounts receivable. The Company maintains an allowance for potential credit losses based upon the expected collectability of accounts receivable. The Company writes off its receivables once collection efforts are unsuccessful. As of </w:t>
      </w:r>
      <w:r>
        <w:rPr>
          <w:rFonts w:ascii="Arial" w:cs="Arial" w:eastAsia="Arial" w:hAnsi="Arial"/>
          <w:sz w:val="18"/>
          <w:szCs w:val="18"/>
          <w:color w:val="000000"/>
        </w:rPr>
        <w:t>September 30, 2016</w:t>
      </w:r>
      <w:r>
        <w:rPr>
          <w:rFonts w:ascii="Arial" w:cs="Arial" w:eastAsia="Arial" w:hAnsi="Arial"/>
          <w:sz w:val="18"/>
          <w:szCs w:val="18"/>
          <w:color w:val="231F20"/>
        </w:rPr>
        <w:t xml:space="preserve">, there is one customer with a multi-year contract that accounted for approximately 10% of the Company's accounts receivable balance. As of </w:t>
      </w:r>
      <w:r>
        <w:rPr>
          <w:rFonts w:ascii="Arial" w:cs="Arial" w:eastAsia="Arial" w:hAnsi="Arial"/>
          <w:sz w:val="18"/>
          <w:szCs w:val="18"/>
          <w:color w:val="000000"/>
        </w:rPr>
        <w:t>December 31, 2015</w:t>
      </w:r>
      <w:r>
        <w:rPr>
          <w:rFonts w:ascii="Arial" w:cs="Arial" w:eastAsia="Arial" w:hAnsi="Arial"/>
          <w:sz w:val="18"/>
          <w:szCs w:val="18"/>
          <w:color w:val="231F20"/>
        </w:rPr>
        <w:t xml:space="preserve">, </w:t>
      </w:r>
      <w:r>
        <w:rPr>
          <w:rFonts w:ascii="Arial" w:cs="Arial" w:eastAsia="Arial" w:hAnsi="Arial"/>
          <w:sz w:val="18"/>
          <w:szCs w:val="18"/>
          <w:color w:val="000000"/>
        </w:rPr>
        <w:t>no</w:t>
      </w:r>
      <w:r>
        <w:rPr>
          <w:rFonts w:ascii="Arial" w:cs="Arial" w:eastAsia="Arial" w:hAnsi="Arial"/>
          <w:sz w:val="18"/>
          <w:szCs w:val="18"/>
          <w:color w:val="231F20"/>
        </w:rPr>
        <w:t xml:space="preserve"> customer or channel partner accounted for more than 10% of the Company's accounts receivable balance.</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Cash Equivalents, Short-Term and Long-Term Investments</w:t>
      </w:r>
    </w:p>
    <w:p>
      <w:pPr>
        <w:spacing w:after="0" w:line="24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231F20"/>
        </w:rPr>
        <w:t xml:space="preserve">Cash and cash equivalents include cash held in banks, highly liquid money market funds, commercial paper and fixed-income U.S. government agency securities, all with original maturities of three months or less when acquired. </w:t>
      </w:r>
      <w:r>
        <w:rPr>
          <w:rFonts w:ascii="Arial" w:cs="Arial" w:eastAsia="Arial" w:hAnsi="Arial"/>
          <w:sz w:val="18"/>
          <w:szCs w:val="18"/>
          <w:color w:val="000000"/>
        </w:rPr>
        <w:t>The Company’s investments consist of</w:t>
      </w:r>
      <w:r>
        <w:rPr>
          <w:rFonts w:ascii="Arial" w:cs="Arial" w:eastAsia="Arial" w:hAnsi="Arial"/>
          <w:sz w:val="18"/>
          <w:szCs w:val="18"/>
          <w:color w:val="231F20"/>
        </w:rPr>
        <w:t xml:space="preserve"> fixed-income U.S. government agency securities, corporate bonds, asset-backed securities, and commercial paper. Management determines the appropriate classification of the Company's investments at the time of purchase and reevaluates such designation at each balance sheet date. The Company classifies its investments as either short-term or long-term based on each instrument's underlying contractual maturity date.</w:t>
      </w:r>
    </w:p>
    <w:p>
      <w:pPr>
        <w:spacing w:after="0" w:line="206"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231F20"/>
        </w:rPr>
        <w:t xml:space="preserve">Cash equivalents are stated at cost, which approximates fair market value. Short-term and long-term investments are classified as available-for-sale and are carried at fair value. Unrealized gains and losses in fair value are reported in other comprehensive income (loss). When the available-for-sale securities are sold, cost is based on the specific </w:t>
      </w:r>
      <w:r>
        <w:rPr>
          <w:rFonts w:ascii="Arial" w:cs="Arial" w:eastAsia="Arial" w:hAnsi="Arial"/>
          <w:sz w:val="18"/>
          <w:szCs w:val="18"/>
          <w:color w:val="000000"/>
        </w:rPr>
        <w:t>identification method, and the realized gains and losses are</w:t>
      </w:r>
      <w:r>
        <w:rPr>
          <w:rFonts w:ascii="Arial" w:cs="Arial" w:eastAsia="Arial" w:hAnsi="Arial"/>
          <w:sz w:val="18"/>
          <w:szCs w:val="18"/>
          <w:color w:val="231F20"/>
        </w:rPr>
        <w:t xml:space="preserve"> </w:t>
      </w:r>
      <w:r>
        <w:rPr>
          <w:rFonts w:ascii="Arial" w:cs="Arial" w:eastAsia="Arial" w:hAnsi="Arial"/>
          <w:sz w:val="18"/>
          <w:szCs w:val="18"/>
          <w:color w:val="000000"/>
        </w:rPr>
        <w:t>included in other income (expense) in the condensed consolidated statements of operations. Short-term and long-term investments are reviewed quarterly for impairment that is deemed to be other-than-temporary. An investment is considered other-than-temporarily impaired when its fair value is below its amortized cost and (1) there is an intent to sell the security, (2) it is “more likely than not” that the security will be sold before recovery of its amortized cost basis or (3) the present value of expected cash flows from the investment is not expected to recover the entire amortized cost basis. Declines in value that are considered to be other-than-temporary and adjustments to amortized cost for the amortization of premiums and the accretion of discounts are recorded in other income (expense). Interest and dividends are recorded in interest income as earned.</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Recent Accounting Pronouncements</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231F20"/>
        </w:rPr>
        <w:t>In May 2014, the Financial Accounting Standards Board (“FASB”) issued an Accounting Standard Update (“ASU”) amending revenue recognition guidance and requiring more detailed disclosures to enable users of financial statements to understand the nature, amount, timing, and uncertainty of revenue and cash flows arising from contracts with customers. The ASU will be effective for fiscal years, and interim periods within those years, beginning after December 15, 2017, but entities will be permitted to early adopt the standard only as of annual reporting periods beginning after December 15, 2016, including interim reporting periods within that reporting period. The new revenue standard may be applied retrospectively to each prior period presented or retrospectively with the cumulative effect recognized on date of adoption. The Company is currently evaluating the impact this ASU will have on its consolidated financial statements.</w:t>
      </w:r>
    </w:p>
    <w:p>
      <w:pPr>
        <w:spacing w:after="0" w:line="207"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231F20"/>
        </w:rPr>
        <w:t xml:space="preserve">In January 2016, the FASB issued an ASU that will impact certain aspects of recognition, measurement, presentation and disclosure of financial instruments. This guidance is effective for public business entities in </w:t>
      </w:r>
      <w:r>
        <w:rPr>
          <w:rFonts w:ascii="Arial" w:cs="Arial" w:eastAsia="Arial" w:hAnsi="Arial"/>
          <w:sz w:val="18"/>
          <w:szCs w:val="18"/>
          <w:color w:val="000000"/>
        </w:rPr>
        <w:t>fiscal years, and interim periods within those fiscal years,</w:t>
      </w:r>
      <w:r>
        <w:rPr>
          <w:rFonts w:ascii="Arial" w:cs="Arial" w:eastAsia="Arial" w:hAnsi="Arial"/>
          <w:sz w:val="18"/>
          <w:szCs w:val="18"/>
          <w:color w:val="231F20"/>
        </w:rPr>
        <w:t xml:space="preserve"> beginning after December 15, 2017. The Company is currently evaluating the impact this ASU will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41" w:right="25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231F20"/>
        </w:rPr>
        <w:t xml:space="preserve">In February 2016, the FASB issued an ASU which requires, among other things, lease assets and lease liabilities arising from leases, including operating leases, to be recognized on the balance sheet. In addition, the ASU requires disclosing key information about leasing arrangements. This guidance supersedes existing lease guidance and is effective for public business entities in </w:t>
      </w:r>
      <w:r>
        <w:rPr>
          <w:rFonts w:ascii="Arial" w:cs="Arial" w:eastAsia="Arial" w:hAnsi="Arial"/>
          <w:sz w:val="18"/>
          <w:szCs w:val="18"/>
          <w:color w:val="000000"/>
        </w:rPr>
        <w:t>fiscal years, and interim</w:t>
      </w:r>
      <w:r>
        <w:rPr>
          <w:rFonts w:ascii="Arial" w:cs="Arial" w:eastAsia="Arial" w:hAnsi="Arial"/>
          <w:sz w:val="18"/>
          <w:szCs w:val="18"/>
          <w:color w:val="231F20"/>
        </w:rPr>
        <w:t xml:space="preserve"> </w:t>
      </w:r>
      <w:r>
        <w:rPr>
          <w:rFonts w:ascii="Arial" w:cs="Arial" w:eastAsia="Arial" w:hAnsi="Arial"/>
          <w:sz w:val="18"/>
          <w:szCs w:val="18"/>
          <w:color w:val="000000"/>
        </w:rPr>
        <w:t xml:space="preserve">periods within those fiscal years, </w:t>
      </w:r>
      <w:r>
        <w:rPr>
          <w:rFonts w:ascii="Arial" w:cs="Arial" w:eastAsia="Arial" w:hAnsi="Arial"/>
          <w:sz w:val="18"/>
          <w:szCs w:val="18"/>
          <w:color w:val="231F20"/>
        </w:rPr>
        <w:t>beginning after December 15, 2018. The Company is currently evaluating the impact this ASU will have on its</w:t>
      </w:r>
      <w:r>
        <w:rPr>
          <w:rFonts w:ascii="Arial" w:cs="Arial" w:eastAsia="Arial" w:hAnsi="Arial"/>
          <w:sz w:val="18"/>
          <w:szCs w:val="18"/>
          <w:color w:val="000000"/>
        </w:rPr>
        <w:t xml:space="preserve"> </w:t>
      </w:r>
      <w:r>
        <w:rPr>
          <w:rFonts w:ascii="Arial" w:cs="Arial" w:eastAsia="Arial" w:hAnsi="Arial"/>
          <w:sz w:val="18"/>
          <w:szCs w:val="18"/>
          <w:color w:val="231F20"/>
        </w:rPr>
        <w:t>consolidated financial statements.</w:t>
      </w:r>
    </w:p>
    <w:p>
      <w:pPr>
        <w:spacing w:after="0" w:line="206"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 xml:space="preserve">In March 2016, the FASB issued an ASU intended to simplify and improve various aspects related to how employee-share based payment transactions are accounted for and presented in the financial statements. The ASU addresses income tax consequences, classification of awards as either equity or liabilities, classification on the statement of cash flows and forfeiture rate calculations. </w:t>
      </w:r>
      <w:r>
        <w:rPr>
          <w:rFonts w:ascii="Arial" w:cs="Arial" w:eastAsia="Arial" w:hAnsi="Arial"/>
          <w:sz w:val="18"/>
          <w:szCs w:val="18"/>
          <w:color w:val="231F20"/>
        </w:rPr>
        <w:t>This guidance</w:t>
      </w:r>
      <w:r>
        <w:rPr>
          <w:rFonts w:ascii="Arial" w:cs="Arial" w:eastAsia="Arial" w:hAnsi="Arial"/>
          <w:sz w:val="18"/>
          <w:szCs w:val="18"/>
          <w:color w:val="auto"/>
        </w:rPr>
        <w:t xml:space="preserve"> </w:t>
      </w:r>
      <w:r>
        <w:rPr>
          <w:rFonts w:ascii="Arial" w:cs="Arial" w:eastAsia="Arial" w:hAnsi="Arial"/>
          <w:sz w:val="18"/>
          <w:szCs w:val="18"/>
          <w:color w:val="231F20"/>
        </w:rPr>
        <w:t xml:space="preserve">is effective for public business entities in </w:t>
      </w:r>
      <w:r>
        <w:rPr>
          <w:rFonts w:ascii="Arial" w:cs="Arial" w:eastAsia="Arial" w:hAnsi="Arial"/>
          <w:sz w:val="18"/>
          <w:szCs w:val="18"/>
          <w:color w:val="000000"/>
        </w:rPr>
        <w:t>fiscal years, and interim periods within those fiscal years,</w:t>
      </w:r>
      <w:r>
        <w:rPr>
          <w:rFonts w:ascii="Arial" w:cs="Arial" w:eastAsia="Arial" w:hAnsi="Arial"/>
          <w:sz w:val="18"/>
          <w:szCs w:val="18"/>
          <w:color w:val="231F20"/>
        </w:rPr>
        <w:t xml:space="preserve"> beginning after December 15, 2016. Early adoption is permitted. The Company is currently evaluating the impact this ASU will have on its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Fair Value of Financial Instruments</w:t>
      </w:r>
    </w:p>
    <w:p>
      <w:pPr>
        <w:spacing w:after="0" w:line="355"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Fair value is defined as the price that would be received to sell an asset or paid to transfer a liability in an orderly transaction between market participants at the measurement date. For certain of the Company’s financial instruments, including certain cash equivalents, accounts receivable, accounts payable, and other current liabilities, the carrying amounts approximate their fair values due to the relatively short maturity of these balances.</w:t>
      </w:r>
    </w:p>
    <w:p>
      <w:pPr>
        <w:spacing w:after="0" w:line="204" w:lineRule="exact"/>
        <w:rPr>
          <w:sz w:val="20"/>
          <w:szCs w:val="20"/>
          <w:color w:val="auto"/>
        </w:rPr>
      </w:pPr>
    </w:p>
    <w:p>
      <w:pPr>
        <w:jc w:val="both"/>
        <w:ind w:right="60" w:firstLine="405"/>
        <w:spacing w:after="0" w:line="253" w:lineRule="auto"/>
        <w:rPr>
          <w:sz w:val="20"/>
          <w:szCs w:val="20"/>
          <w:color w:val="auto"/>
        </w:rPr>
      </w:pPr>
      <w:r>
        <w:rPr>
          <w:rFonts w:ascii="Arial" w:cs="Arial" w:eastAsia="Arial" w:hAnsi="Arial"/>
          <w:sz w:val="18"/>
          <w:szCs w:val="18"/>
          <w:color w:val="231F20"/>
        </w:rPr>
        <w:t>The Company measures and reports certain cash equivalents, investments and derivative foreign currency forward contracts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Level 1</w:t>
      </w:r>
      <w:r>
        <w:rPr>
          <w:rFonts w:ascii="Arial" w:cs="Arial" w:eastAsia="Arial" w:hAnsi="Arial"/>
          <w:sz w:val="18"/>
          <w:szCs w:val="18"/>
          <w:color w:val="231F20"/>
        </w:rPr>
        <w:t>—Valuations based on quoted prices in active markets for identical assets or liabilities.</w:t>
      </w:r>
    </w:p>
    <w:p>
      <w:pPr>
        <w:spacing w:after="0" w:line="225" w:lineRule="exact"/>
        <w:rPr>
          <w:sz w:val="20"/>
          <w:szCs w:val="20"/>
          <w:color w:val="auto"/>
        </w:rPr>
      </w:pPr>
    </w:p>
    <w:p>
      <w:pPr>
        <w:ind w:right="140" w:firstLine="486"/>
        <w:spacing w:after="0" w:line="266" w:lineRule="auto"/>
        <w:rPr>
          <w:sz w:val="20"/>
          <w:szCs w:val="20"/>
          <w:color w:val="auto"/>
        </w:rPr>
      </w:pPr>
      <w:r>
        <w:rPr>
          <w:rFonts w:ascii="Arial" w:cs="Arial" w:eastAsia="Arial" w:hAnsi="Arial"/>
          <w:sz w:val="18"/>
          <w:szCs w:val="18"/>
          <w:i w:val="1"/>
          <w:iCs w:val="1"/>
          <w:color w:val="231F20"/>
        </w:rPr>
        <w:t>Level 2</w:t>
      </w:r>
      <w:r>
        <w:rPr>
          <w:rFonts w:ascii="Arial" w:cs="Arial" w:eastAsia="Arial" w:hAnsi="Arial"/>
          <w:sz w:val="18"/>
          <w:szCs w:val="18"/>
          <w:color w:val="231F20"/>
        </w:rPr>
        <w:t>—Valuations based on other than quoted prices in active markets for identical assets and liabilities, quoted prices for identical or</w:t>
      </w:r>
      <w:r>
        <w:rPr>
          <w:rFonts w:ascii="Arial" w:cs="Arial" w:eastAsia="Arial" w:hAnsi="Arial"/>
          <w:sz w:val="18"/>
          <w:szCs w:val="18"/>
          <w:i w:val="1"/>
          <w:iCs w:val="1"/>
          <w:color w:val="231F20"/>
        </w:rPr>
        <w:t xml:space="preserve"> </w:t>
      </w:r>
      <w:r>
        <w:rPr>
          <w:rFonts w:ascii="Arial" w:cs="Arial" w:eastAsia="Arial" w:hAnsi="Arial"/>
          <w:sz w:val="18"/>
          <w:szCs w:val="18"/>
          <w:color w:val="231F20"/>
        </w:rPr>
        <w:t>similar assets or liabilities in inactive markets, or other inputs that are observable or can be corroborated by observable market data for substantially the full term of the assets or liabilities.</w:t>
      </w:r>
    </w:p>
    <w:p>
      <w:pPr>
        <w:spacing w:after="0" w:line="176" w:lineRule="exact"/>
        <w:rPr>
          <w:sz w:val="20"/>
          <w:szCs w:val="20"/>
          <w:color w:val="auto"/>
        </w:rPr>
      </w:pPr>
    </w:p>
    <w:p>
      <w:pPr>
        <w:ind w:right="160" w:firstLine="486"/>
        <w:spacing w:after="0" w:line="282" w:lineRule="auto"/>
        <w:rPr>
          <w:sz w:val="20"/>
          <w:szCs w:val="20"/>
          <w:color w:val="auto"/>
        </w:rPr>
      </w:pPr>
      <w:r>
        <w:rPr>
          <w:rFonts w:ascii="Arial" w:cs="Arial" w:eastAsia="Arial" w:hAnsi="Arial"/>
          <w:sz w:val="18"/>
          <w:szCs w:val="18"/>
          <w:i w:val="1"/>
          <w:iCs w:val="1"/>
          <w:color w:val="231F20"/>
        </w:rPr>
        <w:t>Level 3—</w:t>
      </w:r>
      <w:r>
        <w:rPr>
          <w:rFonts w:ascii="Arial" w:cs="Arial" w:eastAsia="Arial" w:hAnsi="Arial"/>
          <w:sz w:val="18"/>
          <w:szCs w:val="18"/>
          <w:color w:val="231F20"/>
        </w:rPr>
        <w:t>Valuations based on inputs that are generally unobservable and typically reflect management’s estimates of assumptions that</w:t>
      </w:r>
      <w:r>
        <w:rPr>
          <w:rFonts w:ascii="Arial" w:cs="Arial" w:eastAsia="Arial" w:hAnsi="Arial"/>
          <w:sz w:val="18"/>
          <w:szCs w:val="18"/>
          <w:i w:val="1"/>
          <w:iCs w:val="1"/>
          <w:color w:val="231F20"/>
        </w:rPr>
        <w:t xml:space="preserve"> </w:t>
      </w:r>
      <w:r>
        <w:rPr>
          <w:rFonts w:ascii="Arial" w:cs="Arial" w:eastAsia="Arial" w:hAnsi="Arial"/>
          <w:sz w:val="18"/>
          <w:szCs w:val="18"/>
          <w:color w:val="231F20"/>
        </w:rPr>
        <w:t>market participants would use in pricing the asset or liability.</w:t>
      </w:r>
    </w:p>
    <w:p>
      <w:pPr>
        <w:spacing w:after="0" w:line="180"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 xml:space="preserve">The Company's financial instruments consist of assets and liabilities measured using Level 1 and 2 inputs. Level 1 assets include a highly liquid money market fund, which is valued using unadjusted quoted prices that are available in an active market for an identical asset. Level 2 assets include </w:t>
      </w:r>
      <w:r>
        <w:rPr>
          <w:rFonts w:ascii="Arial" w:cs="Arial" w:eastAsia="Arial" w:hAnsi="Arial"/>
          <w:sz w:val="18"/>
          <w:szCs w:val="18"/>
          <w:color w:val="000000"/>
        </w:rPr>
        <w:t>fixed-income U.S. government agency securities, commercial paper, corporate bonds, asset-backed securities and derivative</w:t>
      </w:r>
      <w:r>
        <w:rPr>
          <w:rFonts w:ascii="Arial" w:cs="Arial" w:eastAsia="Arial" w:hAnsi="Arial"/>
          <w:sz w:val="18"/>
          <w:szCs w:val="18"/>
          <w:color w:val="231F20"/>
        </w:rPr>
        <w:t xml:space="preserve"> </w:t>
      </w:r>
      <w:r>
        <w:rPr>
          <w:rFonts w:ascii="Arial" w:cs="Arial" w:eastAsia="Arial" w:hAnsi="Arial"/>
          <w:sz w:val="18"/>
          <w:szCs w:val="18"/>
          <w:color w:val="000000"/>
        </w:rPr>
        <w:t xml:space="preserve">financial instruments consisting of foreign currency forward contracts. The securities, bonds and commercial paper are valued using prices from independent pricing services based on quoted prices in active markets for similar instruments or on industry models using data inputs such as interest rates and prices that can be directly observed or corroborated in active markets. </w:t>
      </w:r>
      <w:r>
        <w:rPr>
          <w:rFonts w:ascii="Arial" w:cs="Arial" w:eastAsia="Arial" w:hAnsi="Arial"/>
          <w:sz w:val="18"/>
          <w:szCs w:val="18"/>
          <w:color w:val="231F20"/>
        </w:rPr>
        <w:t>The foreign currency forward contracts are</w:t>
      </w:r>
      <w:r>
        <w:rPr>
          <w:rFonts w:ascii="Arial" w:cs="Arial" w:eastAsia="Arial" w:hAnsi="Arial"/>
          <w:sz w:val="18"/>
          <w:szCs w:val="18"/>
          <w:color w:val="000000"/>
        </w:rPr>
        <w:t xml:space="preserve"> </w:t>
      </w:r>
      <w:r>
        <w:rPr>
          <w:rFonts w:ascii="Arial" w:cs="Arial" w:eastAsia="Arial" w:hAnsi="Arial"/>
          <w:sz w:val="18"/>
          <w:szCs w:val="18"/>
          <w:color w:val="231F20"/>
        </w:rPr>
        <w:t>valued usi</w:t>
      </w:r>
      <w:r>
        <w:rPr>
          <w:rFonts w:ascii="Arial" w:cs="Arial" w:eastAsia="Arial" w:hAnsi="Arial"/>
          <w:sz w:val="18"/>
          <w:szCs w:val="18"/>
          <w:color w:val="000000"/>
        </w:rPr>
        <w:t>ng observable inputs, such as quotations on forward foreign exchange points and foreign interest rates.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41" w:right="27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Company's cash and cash equivalents, short-term investments, and long-term investments consist of the following:</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5"/>
          </w:tcPr>
          <w:p>
            <w:pPr>
              <w:jc w:val="center"/>
              <w:ind w:right="560"/>
              <w:spacing w:after="0"/>
              <w:rPr>
                <w:sz w:val="20"/>
                <w:szCs w:val="20"/>
                <w:color w:val="auto"/>
              </w:rPr>
            </w:pPr>
            <w:r>
              <w:rPr>
                <w:rFonts w:ascii="Arial" w:cs="Arial" w:eastAsia="Arial" w:hAnsi="Arial"/>
                <w:sz w:val="16"/>
                <w:szCs w:val="16"/>
                <w:b w:val="1"/>
                <w:bCs w:val="1"/>
                <w:color w:val="auto"/>
              </w:rPr>
              <w:t>September 30, 2016</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198"/>
        </w:trPr>
        <w:tc>
          <w:tcPr>
            <w:tcW w:w="5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Unrealized</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8"/>
        </w:trPr>
        <w:tc>
          <w:tcPr>
            <w:tcW w:w="5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Amortized Cost</w:t>
            </w: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Unrealized Gains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rPr>
              <w:t>Losses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720" w:type="dxa"/>
            <w:vAlign w:val="bottom"/>
            <w:gridSpan w:val="5"/>
          </w:tcPr>
          <w:p>
            <w:pPr>
              <w:jc w:val="center"/>
              <w:ind w:right="56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0"/>
        </w:trPr>
        <w:tc>
          <w:tcPr>
            <w:tcW w:w="5160" w:type="dxa"/>
            <w:vAlign w:val="bottom"/>
          </w:tcPr>
          <w:p>
            <w:pPr>
              <w:ind w:left="280"/>
              <w:spacing w:after="0"/>
              <w:rPr>
                <w:sz w:val="20"/>
                <w:szCs w:val="20"/>
                <w:color w:val="auto"/>
              </w:rPr>
            </w:pPr>
            <w:r>
              <w:rPr>
                <w:rFonts w:ascii="Arial" w:cs="Arial" w:eastAsia="Arial" w:hAnsi="Arial"/>
                <w:sz w:val="16"/>
                <w:szCs w:val="16"/>
                <w:color w:val="auto"/>
              </w:rPr>
              <w:t>Cash</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58,277</w:t>
            </w:r>
          </w:p>
        </w:tc>
        <w:tc>
          <w:tcPr>
            <w:tcW w:w="120" w:type="dxa"/>
            <w:vAlign w:val="bottom"/>
          </w:tcPr>
          <w:p>
            <w:pPr>
              <w:spacing w:after="0"/>
              <w:rPr>
                <w:sz w:val="22"/>
                <w:szCs w:val="22"/>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58,277</w:t>
            </w:r>
          </w:p>
        </w:tc>
      </w:tr>
      <w:tr>
        <w:trPr>
          <w:trHeight w:val="280"/>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19,713</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19,713</w:t>
            </w:r>
          </w:p>
        </w:tc>
      </w:tr>
      <w:tr>
        <w:trPr>
          <w:trHeight w:val="264"/>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20,308</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20,309</w:t>
            </w:r>
          </w:p>
        </w:tc>
      </w:tr>
      <w:tr>
        <w:trPr>
          <w:trHeight w:val="257"/>
        </w:trPr>
        <w:tc>
          <w:tcPr>
            <w:tcW w:w="51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98,298</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98,299</w:t>
            </w:r>
          </w:p>
        </w:tc>
      </w:tr>
      <w:tr>
        <w:trPr>
          <w:trHeight w:val="254"/>
        </w:trPr>
        <w:tc>
          <w:tcPr>
            <w:tcW w:w="516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14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r>
      <w:tr>
        <w:trPr>
          <w:trHeight w:val="280"/>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6,863</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6,864</w:t>
            </w:r>
          </w:p>
        </w:tc>
      </w:tr>
      <w:tr>
        <w:trPr>
          <w:trHeight w:val="260"/>
        </w:trPr>
        <w:tc>
          <w:tcPr>
            <w:tcW w:w="5160" w:type="dxa"/>
            <w:vAlign w:val="bottom"/>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11,173</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11,170</w:t>
            </w:r>
          </w:p>
        </w:tc>
      </w:tr>
      <w:tr>
        <w:trPr>
          <w:trHeight w:val="280"/>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256</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256</w:t>
            </w:r>
          </w:p>
        </w:tc>
      </w:tr>
      <w:tr>
        <w:trPr>
          <w:trHeight w:val="264"/>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U.S. government agencies</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93,372</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93,388</w:t>
            </w:r>
          </w:p>
        </w:tc>
      </w:tr>
      <w:tr>
        <w:trPr>
          <w:trHeight w:val="257"/>
        </w:trPr>
        <w:tc>
          <w:tcPr>
            <w:tcW w:w="51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111,664</w:t>
            </w:r>
          </w:p>
        </w:tc>
        <w:tc>
          <w:tcPr>
            <w:tcW w:w="12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111,678</w:t>
            </w:r>
          </w:p>
        </w:tc>
      </w:tr>
      <w:tr>
        <w:trPr>
          <w:trHeight w:val="254"/>
        </w:trPr>
        <w:tc>
          <w:tcPr>
            <w:tcW w:w="516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0"/>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5,696</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5,705</w:t>
            </w:r>
          </w:p>
        </w:tc>
      </w:tr>
      <w:tr>
        <w:trPr>
          <w:trHeight w:val="260"/>
        </w:trPr>
        <w:tc>
          <w:tcPr>
            <w:tcW w:w="516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43,776</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43,775</w:t>
            </w:r>
          </w:p>
        </w:tc>
      </w:tr>
      <w:tr>
        <w:trPr>
          <w:trHeight w:val="273"/>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15,457</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15,450</w:t>
            </w:r>
          </w:p>
        </w:tc>
      </w:tr>
      <w:tr>
        <w:trPr>
          <w:trHeight w:val="250"/>
        </w:trPr>
        <w:tc>
          <w:tcPr>
            <w:tcW w:w="516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64,929</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64,930</w:t>
            </w:r>
          </w:p>
        </w:tc>
      </w:tr>
      <w:tr>
        <w:trPr>
          <w:trHeight w:val="24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274,891</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274,907</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517"/>
        </w:trPr>
        <w:tc>
          <w:tcPr>
            <w:tcW w:w="5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jc w:val="center"/>
              <w:ind w:right="540"/>
              <w:spacing w:after="0"/>
              <w:rPr>
                <w:sz w:val="20"/>
                <w:szCs w:val="20"/>
                <w:color w:val="auto"/>
              </w:rPr>
            </w:pPr>
            <w:r>
              <w:rPr>
                <w:rFonts w:ascii="Arial" w:cs="Arial" w:eastAsia="Arial" w:hAnsi="Arial"/>
                <w:sz w:val="16"/>
                <w:szCs w:val="16"/>
                <w:b w:val="1"/>
                <w:bCs w:val="1"/>
                <w:color w:val="auto"/>
              </w:rPr>
              <w:t>December 31, 2015</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98"/>
        </w:trPr>
        <w:tc>
          <w:tcPr>
            <w:tcW w:w="5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Unrealized</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8"/>
        </w:trPr>
        <w:tc>
          <w:tcPr>
            <w:tcW w:w="5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Amortized Cost</w:t>
            </w: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Unrealized Gains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rPr>
              <w:t>Losses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720" w:type="dxa"/>
            <w:vAlign w:val="bottom"/>
            <w:gridSpan w:val="5"/>
          </w:tcPr>
          <w:p>
            <w:pPr>
              <w:jc w:val="center"/>
              <w:ind w:right="56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0"/>
        </w:trPr>
        <w:tc>
          <w:tcPr>
            <w:tcW w:w="5160" w:type="dxa"/>
            <w:vAlign w:val="bottom"/>
          </w:tcPr>
          <w:p>
            <w:pPr>
              <w:ind w:left="280"/>
              <w:spacing w:after="0"/>
              <w:rPr>
                <w:sz w:val="20"/>
                <w:szCs w:val="20"/>
                <w:color w:val="auto"/>
              </w:rPr>
            </w:pPr>
            <w:r>
              <w:rPr>
                <w:rFonts w:ascii="Arial" w:cs="Arial" w:eastAsia="Arial" w:hAnsi="Arial"/>
                <w:sz w:val="16"/>
                <w:szCs w:val="16"/>
                <w:color w:val="auto"/>
              </w:rPr>
              <w:t>Cash</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61,372</w:t>
            </w:r>
          </w:p>
        </w:tc>
        <w:tc>
          <w:tcPr>
            <w:tcW w:w="120" w:type="dxa"/>
            <w:vAlign w:val="bottom"/>
          </w:tcPr>
          <w:p>
            <w:pPr>
              <w:spacing w:after="0"/>
              <w:rPr>
                <w:sz w:val="22"/>
                <w:szCs w:val="22"/>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61,372</w:t>
            </w:r>
          </w:p>
        </w:tc>
      </w:tr>
      <w:tr>
        <w:trPr>
          <w:trHeight w:val="280"/>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3,980</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3,980</w:t>
            </w:r>
          </w:p>
        </w:tc>
      </w:tr>
      <w:tr>
        <w:trPr>
          <w:trHeight w:val="260"/>
        </w:trPr>
        <w:tc>
          <w:tcPr>
            <w:tcW w:w="516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8,999</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9,000</w:t>
            </w:r>
          </w:p>
        </w:tc>
      </w:tr>
      <w:tr>
        <w:trPr>
          <w:trHeight w:val="273"/>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17,345</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17,346</w:t>
            </w:r>
          </w:p>
        </w:tc>
      </w:tr>
      <w:tr>
        <w:trPr>
          <w:trHeight w:val="250"/>
        </w:trPr>
        <w:tc>
          <w:tcPr>
            <w:tcW w:w="5160" w:type="dxa"/>
            <w:vAlign w:val="bottom"/>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21"/>
                <w:szCs w:val="21"/>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91,696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91,698</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investments:</w:t>
            </w:r>
          </w:p>
        </w:tc>
        <w:tc>
          <w:tcPr>
            <w:tcW w:w="14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r>
      <w:tr>
        <w:trPr>
          <w:trHeight w:val="260"/>
        </w:trPr>
        <w:tc>
          <w:tcPr>
            <w:tcW w:w="5160" w:type="dxa"/>
            <w:vAlign w:val="bottom"/>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10,447</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10,448</w:t>
            </w:r>
          </w:p>
        </w:tc>
      </w:tr>
      <w:tr>
        <w:trPr>
          <w:trHeight w:val="280"/>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12,448</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12,435</w:t>
            </w:r>
          </w:p>
        </w:tc>
      </w:tr>
      <w:tr>
        <w:trPr>
          <w:trHeight w:val="264"/>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U.S. government agencies</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64,422</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64,385</w:t>
            </w:r>
          </w:p>
        </w:tc>
      </w:tr>
      <w:tr>
        <w:trPr>
          <w:trHeight w:val="257"/>
        </w:trPr>
        <w:tc>
          <w:tcPr>
            <w:tcW w:w="51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87,317</w:t>
            </w:r>
          </w:p>
        </w:tc>
        <w:tc>
          <w:tcPr>
            <w:tcW w:w="12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87,268</w:t>
            </w:r>
          </w:p>
        </w:tc>
      </w:tr>
      <w:tr>
        <w:trPr>
          <w:trHeight w:val="254"/>
        </w:trPr>
        <w:tc>
          <w:tcPr>
            <w:tcW w:w="516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0"/>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7,007</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6,989</w:t>
            </w:r>
          </w:p>
        </w:tc>
      </w:tr>
      <w:tr>
        <w:trPr>
          <w:trHeight w:val="260"/>
        </w:trPr>
        <w:tc>
          <w:tcPr>
            <w:tcW w:w="516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32,683</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32,541</w:t>
            </w:r>
          </w:p>
        </w:tc>
      </w:tr>
      <w:tr>
        <w:trPr>
          <w:trHeight w:val="273"/>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3,751</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3,747</w:t>
            </w:r>
          </w:p>
        </w:tc>
      </w:tr>
      <w:tr>
        <w:trPr>
          <w:trHeight w:val="250"/>
        </w:trPr>
        <w:tc>
          <w:tcPr>
            <w:tcW w:w="5160" w:type="dxa"/>
            <w:vAlign w:val="bottom"/>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21"/>
                <w:szCs w:val="21"/>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43,441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43,277</w:t>
            </w:r>
          </w:p>
        </w:tc>
      </w:tr>
      <w:tr>
        <w:trPr>
          <w:trHeight w:val="24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222,454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222,243</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141" w:right="239" w:bottom="1440" w:gutter="0" w:footer="0" w:header="0"/>
          <w:type w:val="continuous"/>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The following table shows the changes to accumulated other comprehensive income for the nine months ended September 30, 2016:</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center"/>
              <w:ind w:right="99"/>
              <w:spacing w:after="0"/>
              <w:rPr>
                <w:sz w:val="20"/>
                <w:szCs w:val="20"/>
                <w:color w:val="auto"/>
              </w:rPr>
            </w:pPr>
            <w:r>
              <w:rPr>
                <w:rFonts w:ascii="Arial" w:cs="Arial" w:eastAsia="Arial" w:hAnsi="Arial"/>
                <w:sz w:val="16"/>
                <w:szCs w:val="16"/>
                <w:b w:val="1"/>
                <w:bCs w:val="1"/>
                <w:color w:val="auto"/>
              </w:rPr>
              <w:t>Unrealized Gain</w:t>
            </w:r>
          </w:p>
        </w:tc>
      </w:tr>
      <w:tr>
        <w:trPr>
          <w:trHeight w:val="189"/>
        </w:trPr>
        <w:tc>
          <w:tcPr>
            <w:tcW w:w="9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center"/>
              <w:ind w:right="99"/>
              <w:spacing w:after="0"/>
              <w:rPr>
                <w:sz w:val="20"/>
                <w:szCs w:val="20"/>
                <w:color w:val="auto"/>
              </w:rPr>
            </w:pPr>
            <w:r>
              <w:rPr>
                <w:rFonts w:ascii="Arial" w:cs="Arial" w:eastAsia="Arial" w:hAnsi="Arial"/>
                <w:sz w:val="16"/>
                <w:szCs w:val="16"/>
                <w:b w:val="1"/>
                <w:bCs w:val="1"/>
                <w:color w:val="auto"/>
              </w:rPr>
              <w:t>(Loss) on</w:t>
            </w:r>
          </w:p>
        </w:tc>
      </w:tr>
      <w:tr>
        <w:trPr>
          <w:trHeight w:val="224"/>
        </w:trPr>
        <w:tc>
          <w:tcPr>
            <w:tcW w:w="9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center"/>
              <w:ind w:right="99"/>
              <w:spacing w:after="0"/>
              <w:rPr>
                <w:sz w:val="20"/>
                <w:szCs w:val="20"/>
                <w:color w:val="auto"/>
              </w:rPr>
            </w:pPr>
            <w:r>
              <w:rPr>
                <w:rFonts w:ascii="Arial" w:cs="Arial" w:eastAsia="Arial" w:hAnsi="Arial"/>
                <w:sz w:val="16"/>
                <w:szCs w:val="16"/>
                <w:b w:val="1"/>
                <w:bCs w:val="1"/>
                <w:color w:val="auto"/>
              </w:rPr>
              <w:t>Investments</w:t>
            </w:r>
          </w:p>
        </w:tc>
      </w:tr>
      <w:tr>
        <w:trPr>
          <w:trHeight w:val="253"/>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December 31, 2015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r>
      <w:tr>
        <w:trPr>
          <w:trHeight w:val="233"/>
        </w:trPr>
        <w:tc>
          <w:tcPr>
            <w:tcW w:w="9720" w:type="dxa"/>
            <w:vAlign w:val="bottom"/>
          </w:tcPr>
          <w:p>
            <w:pPr>
              <w:ind w:left="280"/>
              <w:spacing w:after="0"/>
              <w:rPr>
                <w:sz w:val="20"/>
                <w:szCs w:val="20"/>
                <w:color w:val="auto"/>
              </w:rPr>
            </w:pPr>
            <w:r>
              <w:rPr>
                <w:rFonts w:ascii="Arial" w:cs="Arial" w:eastAsia="Arial" w:hAnsi="Arial"/>
                <w:sz w:val="16"/>
                <w:szCs w:val="16"/>
                <w:color w:val="auto"/>
              </w:rPr>
              <w:t>Change in net realized gain (loss) on investments</w:t>
            </w:r>
          </w:p>
        </w:tc>
        <w:tc>
          <w:tcPr>
            <w:tcW w:w="1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140</w:t>
            </w:r>
          </w:p>
        </w:tc>
      </w:tr>
      <w:tr>
        <w:trPr>
          <w:trHeight w:val="246"/>
        </w:trPr>
        <w:tc>
          <w:tcPr>
            <w:tcW w:w="97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Amounts reclassified for net realized gain (loss) included in net income</w:t>
            </w:r>
          </w:p>
        </w:tc>
        <w:tc>
          <w:tcPr>
            <w:tcW w:w="1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87</w:t>
            </w:r>
          </w:p>
        </w:tc>
      </w:tr>
      <w:tr>
        <w:trPr>
          <w:trHeight w:val="237"/>
        </w:trPr>
        <w:tc>
          <w:tcPr>
            <w:tcW w:w="972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Other comprehensive income</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227</w:t>
            </w:r>
          </w:p>
        </w:tc>
      </w:tr>
      <w:tr>
        <w:trPr>
          <w:trHeight w:val="248"/>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Balance at September 30,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60" w:firstLine="405"/>
        <w:spacing w:after="0" w:line="262" w:lineRule="auto"/>
        <w:rPr>
          <w:sz w:val="20"/>
          <w:szCs w:val="20"/>
          <w:color w:val="auto"/>
        </w:rPr>
      </w:pPr>
      <w:r>
        <w:rPr>
          <w:rFonts w:ascii="Arial" w:cs="Arial" w:eastAsia="Arial" w:hAnsi="Arial"/>
          <w:sz w:val="18"/>
          <w:szCs w:val="18"/>
          <w:color w:val="231F20"/>
        </w:rPr>
        <w:t>The following table sets forth by level within the fair value hierarchy the fair value of the Company's available-for-sale securities measured on a recurring basis, excluding cash and money market funds: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September 30, 2016</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64"/>
        </w:trPr>
        <w:tc>
          <w:tcPr>
            <w:tcW w:w="5160" w:type="dxa"/>
            <w:vAlign w:val="bottom"/>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27,173</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27,173</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120" w:type="dxa"/>
            <w:vAlign w:val="bottom"/>
          </w:tcPr>
          <w:p>
            <w:pPr>
              <w:spacing w:after="0"/>
              <w:rPr>
                <w:sz w:val="22"/>
                <w:szCs w:val="22"/>
                <w:color w:val="auto"/>
              </w:rPr>
            </w:pPr>
          </w:p>
        </w:tc>
        <w:tc>
          <w:tcPr>
            <w:tcW w:w="5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137,163</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137,163</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1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26,620</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26,620</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Asset-backed securities</w:t>
            </w:r>
          </w:p>
        </w:tc>
        <w:tc>
          <w:tcPr>
            <w:tcW w:w="1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5,961</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5,961</w:t>
            </w:r>
          </w:p>
        </w:tc>
      </w:tr>
      <w:tr>
        <w:trPr>
          <w:trHeight w:val="24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196,917</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196,917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6"/>
                <w:szCs w:val="16"/>
                <w:b w:val="1"/>
                <w:bCs w:val="1"/>
                <w:color w:val="auto"/>
              </w:rPr>
              <w:t>December 31, 2015</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64"/>
        </w:trPr>
        <w:tc>
          <w:tcPr>
            <w:tcW w:w="5160" w:type="dxa"/>
            <w:vAlign w:val="bottom"/>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27,794</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27,794</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120" w:type="dxa"/>
            <w:vAlign w:val="bottom"/>
          </w:tcPr>
          <w:p>
            <w:pPr>
              <w:spacing w:after="0"/>
              <w:rPr>
                <w:sz w:val="22"/>
                <w:szCs w:val="22"/>
                <w:color w:val="auto"/>
              </w:rPr>
            </w:pPr>
          </w:p>
        </w:tc>
        <w:tc>
          <w:tcPr>
            <w:tcW w:w="5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105,926</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105,926</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1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16,182</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16,182</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Asset-backed securities</w:t>
            </w:r>
          </w:p>
        </w:tc>
        <w:tc>
          <w:tcPr>
            <w:tcW w:w="1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6,989</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6,989</w:t>
            </w:r>
          </w:p>
        </w:tc>
      </w:tr>
      <w:tr>
        <w:trPr>
          <w:trHeight w:val="24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156,891</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156,891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transfers between Level 1, Level 2 or Level 3 of the fair value hierarchy, as determined at the end of each reporting period.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1"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summarizes the fair value of securities classified as available-for-sale by contractual, or effective, maturity:</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gridSpan w:val="4"/>
          </w:tcPr>
          <w:p>
            <w:pPr>
              <w:jc w:val="right"/>
              <w:ind w:right="888"/>
              <w:spacing w:after="0"/>
              <w:rPr>
                <w:sz w:val="20"/>
                <w:szCs w:val="20"/>
                <w:color w:val="auto"/>
              </w:rPr>
            </w:pPr>
            <w:r>
              <w:rPr>
                <w:rFonts w:ascii="Arial" w:cs="Arial" w:eastAsia="Arial" w:hAnsi="Arial"/>
                <w:sz w:val="14"/>
                <w:szCs w:val="14"/>
                <w:b w:val="1"/>
                <w:bCs w:val="1"/>
                <w:color w:val="auto"/>
              </w:rPr>
              <w:t>September 30, 2016</w:t>
            </w: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175"/>
        </w:trPr>
        <w:tc>
          <w:tcPr>
            <w:tcW w:w="4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Mature within One</w:t>
            </w:r>
          </w:p>
        </w:tc>
        <w:tc>
          <w:tcPr>
            <w:tcW w:w="2180" w:type="dxa"/>
            <w:vAlign w:val="bottom"/>
            <w:gridSpan w:val="3"/>
          </w:tcPr>
          <w:p>
            <w:pPr>
              <w:ind w:left="80"/>
              <w:spacing w:after="0"/>
              <w:rPr>
                <w:sz w:val="20"/>
                <w:szCs w:val="20"/>
                <w:color w:val="auto"/>
              </w:rPr>
            </w:pPr>
            <w:r>
              <w:rPr>
                <w:rFonts w:ascii="Arial" w:cs="Arial" w:eastAsia="Arial" w:hAnsi="Arial"/>
                <w:sz w:val="14"/>
                <w:szCs w:val="14"/>
                <w:b w:val="1"/>
                <w:bCs w:val="1"/>
                <w:color w:val="auto"/>
              </w:rPr>
              <w:t>After One Year through Two</w:t>
            </w: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96"/>
        </w:trPr>
        <w:tc>
          <w:tcPr>
            <w:tcW w:w="4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Year</w:t>
            </w: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Years</w:t>
            </w: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Over Two Years</w:t>
            </w: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4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0" w:type="dxa"/>
            <w:vAlign w:val="bottom"/>
            <w:gridSpan w:val="3"/>
          </w:tcPr>
          <w:p>
            <w:pPr>
              <w:jc w:val="right"/>
              <w:ind w:right="1068"/>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 paper</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27,173</w:t>
            </w: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12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1148"/>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27,173</w:t>
            </w: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U.S. government agencies</w:t>
            </w:r>
          </w:p>
        </w:tc>
        <w:tc>
          <w:tcPr>
            <w:tcW w:w="14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97,192</w:t>
            </w: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39,971</w:t>
            </w: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60" w:type="dxa"/>
            <w:vAlign w:val="bottom"/>
            <w:gridSpan w:val="2"/>
          </w:tcPr>
          <w:p>
            <w:pPr>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137,163</w:t>
            </w: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bonds</w:t>
            </w: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12,833</w:t>
            </w: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13,787</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26,620</w:t>
            </w: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Asset-backed securities</w:t>
            </w: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5,961</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5,961</w:t>
            </w:r>
          </w:p>
        </w:tc>
      </w:tr>
      <w:tr>
        <w:trPr>
          <w:trHeight w:val="243"/>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143,159</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1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53,758</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48"/>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196,917</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Derivative Financial Instruments</w:t>
      </w:r>
    </w:p>
    <w:p>
      <w:pPr>
        <w:spacing w:after="0" w:line="288"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Derivative financial instruments are utilized by the Company to reduce foreign currency exchange risks. The Company uses foreign currency forward contracts to mitigate the impact of foreign currency fluctuations of certain non-U.S. dollar denominated asset positions, primarily cash and accounts receivable. These contracts are recorded within prepaid expenses and other current assets or accrued liabilities in the condensed consolidated balance sheets. Gains and losses resulting from currency exchange rate movements on these forward contracts are recognized in other income (expense) in the accompanying condensed consolidated statements of operations in the period in which the exchange rates change and offset the foreign currency gains and losses on the underlying exposure being hedged. The Company does not enter into derivative financial instruments for trading or speculative purposes.</w:t>
      </w:r>
    </w:p>
    <w:p>
      <w:pPr>
        <w:spacing w:after="0" w:line="207"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222222"/>
        </w:rPr>
        <w:t>At September 30, 2016, the Company had two outstanding forward contrac</w:t>
      </w:r>
      <w:r>
        <w:rPr>
          <w:rFonts w:ascii="Arial" w:cs="Arial" w:eastAsia="Arial" w:hAnsi="Arial"/>
          <w:sz w:val="18"/>
          <w:szCs w:val="18"/>
          <w:color w:val="000000"/>
        </w:rPr>
        <w:t>ts with notional amounts of 7.5 million Euros and 4.5 million</w:t>
      </w:r>
      <w:r>
        <w:rPr>
          <w:rFonts w:ascii="Arial" w:cs="Arial" w:eastAsia="Arial" w:hAnsi="Arial"/>
          <w:sz w:val="18"/>
          <w:szCs w:val="18"/>
          <w:color w:val="222222"/>
        </w:rPr>
        <w:t xml:space="preserve"> </w:t>
      </w:r>
      <w:r>
        <w:rPr>
          <w:rFonts w:ascii="Arial" w:cs="Arial" w:eastAsia="Arial" w:hAnsi="Arial"/>
          <w:sz w:val="18"/>
          <w:szCs w:val="18"/>
          <w:color w:val="000000"/>
        </w:rPr>
        <w:t xml:space="preserve">British Pounds, which expired on October 31, 2016. </w:t>
      </w:r>
      <w:r>
        <w:rPr>
          <w:rFonts w:ascii="Arial" w:cs="Arial" w:eastAsia="Arial" w:hAnsi="Arial"/>
          <w:sz w:val="18"/>
          <w:szCs w:val="18"/>
          <w:color w:val="222222"/>
        </w:rPr>
        <w:t>At December 31, 2015, the Company had two outstanding forward contracts with notional</w:t>
      </w:r>
      <w:r>
        <w:rPr>
          <w:rFonts w:ascii="Arial" w:cs="Arial" w:eastAsia="Arial" w:hAnsi="Arial"/>
          <w:sz w:val="18"/>
          <w:szCs w:val="18"/>
          <w:color w:val="000000"/>
        </w:rPr>
        <w:t xml:space="preserve"> </w:t>
      </w:r>
      <w:r>
        <w:rPr>
          <w:rFonts w:ascii="Arial" w:cs="Arial" w:eastAsia="Arial" w:hAnsi="Arial"/>
          <w:sz w:val="18"/>
          <w:szCs w:val="18"/>
          <w:color w:val="222222"/>
        </w:rPr>
        <w:t xml:space="preserve">amounts of 6.1 million Euros and 2.6 million British Pounds, which expired on January 31, 2016. These </w:t>
      </w:r>
      <w:r>
        <w:rPr>
          <w:rFonts w:ascii="Arial" w:cs="Arial" w:eastAsia="Arial" w:hAnsi="Arial"/>
          <w:sz w:val="18"/>
          <w:szCs w:val="18"/>
          <w:color w:val="231F20"/>
        </w:rPr>
        <w:t>forward contracts were entered into at</w:t>
      </w:r>
      <w:r>
        <w:rPr>
          <w:rFonts w:ascii="Arial" w:cs="Arial" w:eastAsia="Arial" w:hAnsi="Arial"/>
          <w:sz w:val="18"/>
          <w:szCs w:val="18"/>
          <w:color w:val="222222"/>
        </w:rPr>
        <w:t xml:space="preserve"> </w:t>
      </w:r>
      <w:r>
        <w:rPr>
          <w:rFonts w:ascii="Arial" w:cs="Arial" w:eastAsia="Arial" w:hAnsi="Arial"/>
          <w:sz w:val="18"/>
          <w:szCs w:val="18"/>
          <w:color w:val="231F20"/>
        </w:rPr>
        <w:t xml:space="preserve">the end of each month, and thus the fair value of these contracts was </w:t>
      </w:r>
      <w:r>
        <w:rPr>
          <w:rFonts w:ascii="Arial" w:cs="Arial" w:eastAsia="Arial" w:hAnsi="Arial"/>
          <w:sz w:val="18"/>
          <w:szCs w:val="18"/>
          <w:color w:val="000000"/>
        </w:rPr>
        <w:t>$0</w:t>
      </w:r>
      <w:r>
        <w:rPr>
          <w:rFonts w:ascii="Arial" w:cs="Arial" w:eastAsia="Arial" w:hAnsi="Arial"/>
          <w:sz w:val="18"/>
          <w:szCs w:val="18"/>
          <w:color w:val="231F20"/>
        </w:rPr>
        <w:t xml:space="preserve"> </w:t>
      </w:r>
      <w:r>
        <w:rPr>
          <w:rFonts w:ascii="Arial" w:cs="Arial" w:eastAsia="Arial" w:hAnsi="Arial"/>
          <w:sz w:val="18"/>
          <w:szCs w:val="18"/>
          <w:color w:val="222222"/>
        </w:rPr>
        <w:t>at</w:t>
      </w:r>
      <w:r>
        <w:rPr>
          <w:rFonts w:ascii="Arial" w:cs="Arial" w:eastAsia="Arial" w:hAnsi="Arial"/>
          <w:sz w:val="18"/>
          <w:szCs w:val="18"/>
          <w:color w:val="231F20"/>
        </w:rPr>
        <w:t xml:space="preserve"> </w:t>
      </w:r>
      <w:r>
        <w:rPr>
          <w:rFonts w:ascii="Arial" w:cs="Arial" w:eastAsia="Arial" w:hAnsi="Arial"/>
          <w:sz w:val="18"/>
          <w:szCs w:val="18"/>
          <w:color w:val="000000"/>
        </w:rPr>
        <w:t>September 30, 2016</w:t>
      </w:r>
      <w:r>
        <w:rPr>
          <w:rFonts w:ascii="Arial" w:cs="Arial" w:eastAsia="Arial" w:hAnsi="Arial"/>
          <w:sz w:val="18"/>
          <w:szCs w:val="18"/>
          <w:color w:val="231F20"/>
        </w:rPr>
        <w:t xml:space="preserve"> </w:t>
      </w:r>
      <w:r>
        <w:rPr>
          <w:rFonts w:ascii="Arial" w:cs="Arial" w:eastAsia="Arial" w:hAnsi="Arial"/>
          <w:sz w:val="18"/>
          <w:szCs w:val="18"/>
          <w:color w:val="222222"/>
        </w:rPr>
        <w:t>and</w:t>
      </w:r>
      <w:r>
        <w:rPr>
          <w:rFonts w:ascii="Arial" w:cs="Arial" w:eastAsia="Arial" w:hAnsi="Arial"/>
          <w:sz w:val="18"/>
          <w:szCs w:val="18"/>
          <w:color w:val="231F20"/>
        </w:rPr>
        <w:t xml:space="preserve"> </w:t>
      </w:r>
      <w:r>
        <w:rPr>
          <w:rFonts w:ascii="Arial" w:cs="Arial" w:eastAsia="Arial" w:hAnsi="Arial"/>
          <w:sz w:val="18"/>
          <w:szCs w:val="18"/>
          <w:color w:val="000000"/>
        </w:rPr>
        <w:t>December 31, 2015</w:t>
      </w:r>
      <w:r>
        <w:rPr>
          <w:rFonts w:ascii="Arial" w:cs="Arial" w:eastAsia="Arial" w:hAnsi="Arial"/>
          <w:sz w:val="18"/>
          <w:szCs w:val="18"/>
          <w:color w:val="222222"/>
        </w:rPr>
        <w:t>.</w:t>
      </w:r>
      <w:r>
        <w:rPr>
          <w:rFonts w:ascii="Arial" w:cs="Arial" w:eastAsia="Arial" w:hAnsi="Arial"/>
          <w:sz w:val="18"/>
          <w:szCs w:val="18"/>
          <w:color w:val="231F20"/>
        </w:rPr>
        <w:t xml:space="preserve"> These derivatives did not meet the criteria to be designated as hedges. These instruments were valued using Level 2 inputs.</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summarizes the gains (losses) recognized from forward contracts and other foreign currency transactions: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58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540" w:type="dxa"/>
            <w:vAlign w:val="bottom"/>
            <w:gridSpan w:val="4"/>
          </w:tcPr>
          <w:p>
            <w:pPr>
              <w:jc w:val="right"/>
              <w:ind w:right="748"/>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1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24"/>
                <w:szCs w:val="24"/>
                <w:color w:val="auto"/>
              </w:rPr>
            </w:pPr>
          </w:p>
        </w:tc>
      </w:tr>
      <w:tr>
        <w:trPr>
          <w:trHeight w:val="264"/>
        </w:trPr>
        <w:tc>
          <w:tcPr>
            <w:tcW w:w="5160" w:type="dxa"/>
            <w:vAlign w:val="bottom"/>
          </w:tcPr>
          <w:p>
            <w:pPr>
              <w:spacing w:after="0"/>
              <w:rPr>
                <w:sz w:val="22"/>
                <w:szCs w:val="22"/>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2015</w:t>
            </w:r>
          </w:p>
        </w:tc>
      </w:tr>
      <w:tr>
        <w:trPr>
          <w:trHeight w:val="250"/>
        </w:trPr>
        <w:tc>
          <w:tcPr>
            <w:tcW w:w="5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4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gain (loss) from forward contracts</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498</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foreign currency transactions losses</w:t>
            </w:r>
          </w:p>
        </w:tc>
        <w:tc>
          <w:tcPr>
            <w:tcW w:w="9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(377)</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(890)</w:t>
            </w:r>
          </w:p>
        </w:tc>
      </w:tr>
      <w:tr>
        <w:trPr>
          <w:trHeight w:val="243"/>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foreign exchange loss, net</w:t>
            </w: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w:t>
            </w: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1"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color w:val="231F20"/>
        </w:rPr>
        <w:t>Property and Equipment, Net</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Property and equipment consists of the following:</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8"/>
                <w:szCs w:val="18"/>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w:t>
            </w:r>
          </w:p>
        </w:tc>
      </w:tr>
      <w:tr>
        <w:trPr>
          <w:trHeight w:val="283"/>
        </w:trPr>
        <w:tc>
          <w:tcPr>
            <w:tcW w:w="79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600"/>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251"/>
        </w:trPr>
        <w:tc>
          <w:tcPr>
            <w:tcW w:w="7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320" w:type="dxa"/>
            <w:vAlign w:val="bottom"/>
            <w:gridSpan w:val="4"/>
          </w:tcPr>
          <w:p>
            <w:pPr>
              <w:jc w:val="right"/>
              <w:ind w:right="1179"/>
              <w:spacing w:after="0"/>
              <w:rPr>
                <w:sz w:val="20"/>
                <w:szCs w:val="20"/>
                <w:color w:val="auto"/>
              </w:rPr>
            </w:pPr>
            <w:r>
              <w:rPr>
                <w:rFonts w:ascii="Arial" w:cs="Arial" w:eastAsia="Arial" w:hAnsi="Arial"/>
                <w:sz w:val="14"/>
                <w:szCs w:val="14"/>
                <w:b w:val="1"/>
                <w:bCs w:val="1"/>
                <w:color w:val="auto"/>
              </w:rPr>
              <w:t>(in thousands)</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Computer equipment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59,142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48,192</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Computer software</w:t>
            </w:r>
          </w:p>
        </w:tc>
        <w:tc>
          <w:tcPr>
            <w:tcW w:w="200" w:type="dxa"/>
            <w:vAlign w:val="bottom"/>
          </w:tcPr>
          <w:p>
            <w:pPr>
              <w:spacing w:after="0"/>
              <w:rPr>
                <w:sz w:val="22"/>
                <w:szCs w:val="22"/>
                <w:color w:val="auto"/>
              </w:rPr>
            </w:pPr>
          </w:p>
        </w:tc>
        <w:tc>
          <w:tcPr>
            <w:tcW w:w="1520" w:type="dxa"/>
            <w:vAlign w:val="bottom"/>
          </w:tcPr>
          <w:p>
            <w:pPr>
              <w:jc w:val="right"/>
              <w:ind w:right="40"/>
              <w:spacing w:after="0"/>
              <w:rPr>
                <w:sz w:val="20"/>
                <w:szCs w:val="20"/>
                <w:color w:val="auto"/>
              </w:rPr>
            </w:pPr>
            <w:r>
              <w:rPr>
                <w:rFonts w:ascii="Arial" w:cs="Arial" w:eastAsia="Arial" w:hAnsi="Arial"/>
                <w:sz w:val="16"/>
                <w:szCs w:val="16"/>
                <w:color w:val="auto"/>
              </w:rPr>
              <w:t>19,621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12,484</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Furniture, fixtures and equipment</w:t>
            </w: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2,804</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Scanner appliances</w:t>
            </w:r>
          </w:p>
        </w:tc>
        <w:tc>
          <w:tcPr>
            <w:tcW w:w="200" w:type="dxa"/>
            <w:vAlign w:val="bottom"/>
          </w:tcPr>
          <w:p>
            <w:pPr>
              <w:spacing w:after="0"/>
              <w:rPr>
                <w:sz w:val="22"/>
                <w:szCs w:val="22"/>
                <w:color w:val="auto"/>
              </w:rPr>
            </w:pPr>
          </w:p>
        </w:tc>
        <w:tc>
          <w:tcPr>
            <w:tcW w:w="1520" w:type="dxa"/>
            <w:vAlign w:val="bottom"/>
          </w:tcPr>
          <w:p>
            <w:pPr>
              <w:jc w:val="right"/>
              <w:ind w:right="40"/>
              <w:spacing w:after="0"/>
              <w:rPr>
                <w:sz w:val="20"/>
                <w:szCs w:val="20"/>
                <w:color w:val="auto"/>
              </w:rPr>
            </w:pPr>
            <w:r>
              <w:rPr>
                <w:rFonts w:ascii="Arial" w:cs="Arial" w:eastAsia="Arial" w:hAnsi="Arial"/>
                <w:sz w:val="16"/>
                <w:szCs w:val="16"/>
                <w:color w:val="auto"/>
              </w:rPr>
              <w:t>24,491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22,627</w:t>
            </w: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Leasehold improvements</w:t>
            </w: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3,521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3,367</w:t>
            </w:r>
          </w:p>
        </w:tc>
      </w:tr>
      <w:tr>
        <w:trPr>
          <w:trHeight w:val="247"/>
        </w:trPr>
        <w:tc>
          <w:tcPr>
            <w:tcW w:w="7900" w:type="dxa"/>
            <w:vAlign w:val="bottom"/>
          </w:tcPr>
          <w:p>
            <w:pPr>
              <w:ind w:left="280"/>
              <w:spacing w:after="0"/>
              <w:rPr>
                <w:sz w:val="20"/>
                <w:szCs w:val="20"/>
                <w:color w:val="auto"/>
              </w:rPr>
            </w:pPr>
            <w:r>
              <w:rPr>
                <w:rFonts w:ascii="Arial" w:cs="Arial" w:eastAsia="Arial" w:hAnsi="Arial"/>
                <w:sz w:val="16"/>
                <w:szCs w:val="16"/>
                <w:color w:val="auto"/>
              </w:rPr>
              <w:t>Total property and equipment</w:t>
            </w:r>
          </w:p>
        </w:tc>
        <w:tc>
          <w:tcPr>
            <w:tcW w:w="200" w:type="dxa"/>
            <w:vAlign w:val="bottom"/>
          </w:tcPr>
          <w:p>
            <w:pPr>
              <w:spacing w:after="0"/>
              <w:rPr>
                <w:sz w:val="21"/>
                <w:szCs w:val="21"/>
                <w:color w:val="auto"/>
              </w:rPr>
            </w:pPr>
          </w:p>
        </w:tc>
        <w:tc>
          <w:tcPr>
            <w:tcW w:w="1520" w:type="dxa"/>
            <w:vAlign w:val="bottom"/>
          </w:tcPr>
          <w:p>
            <w:pPr>
              <w:jc w:val="right"/>
              <w:ind w:right="40"/>
              <w:spacing w:after="0"/>
              <w:rPr>
                <w:sz w:val="20"/>
                <w:szCs w:val="20"/>
                <w:color w:val="auto"/>
              </w:rPr>
            </w:pPr>
            <w:r>
              <w:rPr>
                <w:rFonts w:ascii="Arial" w:cs="Arial" w:eastAsia="Arial" w:hAnsi="Arial"/>
                <w:sz w:val="16"/>
                <w:szCs w:val="16"/>
                <w:color w:val="auto"/>
              </w:rPr>
              <w:t>109,975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89,474</w:t>
            </w: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accumulated depreciation and amortization</w:t>
            </w: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(69,305)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(58,145)</w:t>
            </w:r>
          </w:p>
        </w:tc>
      </w:tr>
      <w:tr>
        <w:trPr>
          <w:trHeight w:val="240"/>
        </w:trPr>
        <w:tc>
          <w:tcPr>
            <w:tcW w:w="7900" w:type="dxa"/>
            <w:vAlign w:val="bottom"/>
          </w:tcPr>
          <w:p>
            <w:pPr>
              <w:ind w:left="280"/>
              <w:spacing w:after="0"/>
              <w:rPr>
                <w:sz w:val="20"/>
                <w:szCs w:val="20"/>
                <w:color w:val="auto"/>
              </w:rPr>
            </w:pPr>
            <w:r>
              <w:rPr>
                <w:rFonts w:ascii="Arial" w:cs="Arial" w:eastAsia="Arial" w:hAnsi="Arial"/>
                <w:sz w:val="16"/>
                <w:szCs w:val="16"/>
                <w:color w:val="auto"/>
              </w:rPr>
              <w:t>Property and equipment, net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40,670</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31,329</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231F20"/>
        </w:rPr>
        <w:t xml:space="preserve">Physical scanner appliances and other computer equipment that are or will be subject to subscriptions by customers have a net carrying value of $ 8.8 million and </w:t>
      </w:r>
      <w:r>
        <w:rPr>
          <w:rFonts w:ascii="Arial" w:cs="Arial" w:eastAsia="Arial" w:hAnsi="Arial"/>
          <w:sz w:val="18"/>
          <w:szCs w:val="18"/>
          <w:color w:val="000000"/>
        </w:rPr>
        <w:t>$8.4 million</w:t>
      </w:r>
      <w:r>
        <w:rPr>
          <w:rFonts w:ascii="Arial" w:cs="Arial" w:eastAsia="Arial" w:hAnsi="Arial"/>
          <w:sz w:val="18"/>
          <w:szCs w:val="18"/>
          <w:color w:val="231F20"/>
        </w:rPr>
        <w:t xml:space="preserve"> at </w:t>
      </w:r>
      <w:r>
        <w:rPr>
          <w:rFonts w:ascii="Arial" w:cs="Arial" w:eastAsia="Arial" w:hAnsi="Arial"/>
          <w:sz w:val="18"/>
          <w:szCs w:val="18"/>
          <w:color w:val="000000"/>
        </w:rPr>
        <w:t>September 30, 2016</w:t>
      </w:r>
      <w:r>
        <w:rPr>
          <w:rFonts w:ascii="Arial" w:cs="Arial" w:eastAsia="Arial" w:hAnsi="Arial"/>
          <w:sz w:val="18"/>
          <w:szCs w:val="18"/>
          <w:color w:val="231F20"/>
        </w:rPr>
        <w:t xml:space="preserve"> and December 31, 2015, respectively, including assets that have not been placed in service of $1.6 million and </w:t>
      </w:r>
      <w:r>
        <w:rPr>
          <w:rFonts w:ascii="Arial" w:cs="Arial" w:eastAsia="Arial" w:hAnsi="Arial"/>
          <w:sz w:val="18"/>
          <w:szCs w:val="18"/>
          <w:color w:val="000000"/>
        </w:rPr>
        <w:t>$1.4</w:t>
      </w:r>
      <w:r>
        <w:rPr>
          <w:rFonts w:ascii="Arial" w:cs="Arial" w:eastAsia="Arial" w:hAnsi="Arial"/>
          <w:sz w:val="18"/>
          <w:szCs w:val="18"/>
          <w:color w:val="231F20"/>
        </w:rPr>
        <w:t xml:space="preserve"> million, respectively. Other fixed assets not placed in service at </w:t>
      </w:r>
      <w:r>
        <w:rPr>
          <w:rFonts w:ascii="Arial" w:cs="Arial" w:eastAsia="Arial" w:hAnsi="Arial"/>
          <w:sz w:val="18"/>
          <w:szCs w:val="18"/>
          <w:color w:val="000000"/>
        </w:rPr>
        <w:t>September 30, 2016</w:t>
      </w:r>
      <w:r>
        <w:rPr>
          <w:rFonts w:ascii="Arial" w:cs="Arial" w:eastAsia="Arial" w:hAnsi="Arial"/>
          <w:sz w:val="18"/>
          <w:szCs w:val="18"/>
          <w:color w:val="231F20"/>
        </w:rPr>
        <w:t xml:space="preserve"> and December 31, 2015, included in computer equipment and leasehold improvements, are approximately $2.8 million and </w:t>
      </w:r>
      <w:r>
        <w:rPr>
          <w:rFonts w:ascii="Arial" w:cs="Arial" w:eastAsia="Arial" w:hAnsi="Arial"/>
          <w:sz w:val="18"/>
          <w:szCs w:val="18"/>
          <w:color w:val="000000"/>
        </w:rPr>
        <w:t>$4.3 million</w:t>
      </w:r>
      <w:r>
        <w:rPr>
          <w:rFonts w:ascii="Arial" w:cs="Arial" w:eastAsia="Arial" w:hAnsi="Arial"/>
          <w:sz w:val="18"/>
          <w:szCs w:val="18"/>
          <w:color w:val="231F20"/>
        </w:rPr>
        <w:t xml:space="preserve">, respectively. Depreciation and amortization expense relating to property and equipment was $4.4 million and $3.7 million for the </w:t>
      </w:r>
      <w:r>
        <w:rPr>
          <w:rFonts w:ascii="Arial" w:cs="Arial" w:eastAsia="Arial" w:hAnsi="Arial"/>
          <w:sz w:val="18"/>
          <w:szCs w:val="18"/>
          <w:color w:val="000000"/>
        </w:rPr>
        <w:t>three months ended September 30, 2016</w:t>
      </w:r>
      <w:r>
        <w:rPr>
          <w:rFonts w:ascii="Arial" w:cs="Arial" w:eastAsia="Arial" w:hAnsi="Arial"/>
          <w:sz w:val="18"/>
          <w:szCs w:val="18"/>
          <w:color w:val="231F20"/>
        </w:rPr>
        <w:t xml:space="preserve"> and 2015, respectively, and $12.0 million and $10.1 million for the nine months ended September 30, 2016 and 2015,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4. Goodwill and Intangible Assets, Net</w:t>
      </w:r>
    </w:p>
    <w:p>
      <w:pPr>
        <w:spacing w:after="0" w:line="247"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231F20"/>
        </w:rPr>
        <w:t>Intangible assets consist primarily of existing technology and a patent license acquired in business combinations. Acquired intangibles are amortized on a straight-line basis over the respective estimated useful lives of the assets.</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carrying values of intangible assets are as follows (in thousands):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4"/>
          </w:tcPr>
          <w:p>
            <w:pPr>
              <w:jc w:val="right"/>
              <w:ind w:right="502"/>
              <w:spacing w:after="0"/>
              <w:rPr>
                <w:sz w:val="20"/>
                <w:szCs w:val="20"/>
                <w:color w:val="auto"/>
              </w:rPr>
            </w:pPr>
            <w:r>
              <w:rPr>
                <w:rFonts w:ascii="Arial" w:cs="Arial" w:eastAsia="Arial" w:hAnsi="Arial"/>
                <w:sz w:val="14"/>
                <w:szCs w:val="14"/>
                <w:b w:val="1"/>
                <w:bCs w:val="1"/>
                <w:color w:val="auto"/>
              </w:rPr>
              <w:t>September 30, 2016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4"/>
          </w:tcPr>
          <w:p>
            <w:pPr>
              <w:jc w:val="right"/>
              <w:ind w:right="502"/>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Estimated</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5"/>
                <w:szCs w:val="15"/>
                <w:color w:val="auto"/>
              </w:rPr>
            </w:pPr>
          </w:p>
        </w:tc>
        <w:tc>
          <w:tcPr>
            <w:tcW w:w="880" w:type="dxa"/>
            <w:vAlign w:val="bottom"/>
          </w:tcPr>
          <w:p>
            <w:pPr>
              <w:jc w:val="right"/>
              <w:ind w:right="122"/>
              <w:spacing w:after="0"/>
              <w:rPr>
                <w:sz w:val="20"/>
                <w:szCs w:val="20"/>
                <w:color w:val="auto"/>
              </w:rPr>
            </w:pPr>
            <w:r>
              <w:rPr>
                <w:rFonts w:ascii="Arial" w:cs="Arial" w:eastAsia="Arial" w:hAnsi="Arial"/>
                <w:sz w:val="14"/>
                <w:szCs w:val="14"/>
                <w:b w:val="1"/>
                <w:bCs w:val="1"/>
                <w:color w:val="auto"/>
              </w:rPr>
              <w:t>Net Book</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Lives</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Existing technology</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 years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1,910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250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Patent license</w:t>
            </w:r>
          </w:p>
        </w:tc>
        <w:tc>
          <w:tcPr>
            <w:tcW w:w="11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6"/>
                <w:szCs w:val="16"/>
                <w:color w:val="auto"/>
              </w:rPr>
              <w:t>14 years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1,388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790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866</w:t>
            </w:r>
          </w:p>
        </w:tc>
        <w:tc>
          <w:tcPr>
            <w:tcW w:w="0" w:type="dxa"/>
            <w:vAlign w:val="bottom"/>
          </w:tcPr>
          <w:p>
            <w:pPr>
              <w:spacing w:after="0"/>
              <w:rPr>
                <w:sz w:val="1"/>
                <w:szCs w:val="1"/>
                <w:color w:val="auto"/>
              </w:rPr>
            </w:pPr>
          </w:p>
        </w:tc>
      </w:tr>
      <w:tr>
        <w:trPr>
          <w:trHeight w:val="240"/>
        </w:trPr>
        <w:tc>
          <w:tcPr>
            <w:tcW w:w="40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intangibles subject to amortization</w:t>
            </w: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3,298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1,040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1,320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Intangible assets not subject to amortization</w:t>
            </w: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ind w:right="42"/>
              <w:spacing w:after="0"/>
              <w:rPr>
                <w:sz w:val="20"/>
                <w:szCs w:val="20"/>
                <w:color w:val="auto"/>
              </w:rPr>
            </w:pPr>
            <w:r>
              <w:rPr>
                <w:rFonts w:ascii="Arial" w:cs="Arial" w:eastAsia="Arial" w:hAnsi="Arial"/>
                <w:sz w:val="16"/>
                <w:szCs w:val="16"/>
                <w:color w:val="auto"/>
              </w:rPr>
              <w:t>40</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ind w:right="22"/>
              <w:spacing w:after="0"/>
              <w:rPr>
                <w:sz w:val="20"/>
                <w:szCs w:val="20"/>
                <w:color w:val="auto"/>
              </w:rPr>
            </w:pPr>
            <w:r>
              <w:rPr>
                <w:rFonts w:ascii="Arial" w:cs="Arial" w:eastAsia="Arial" w:hAnsi="Arial"/>
                <w:sz w:val="16"/>
                <w:szCs w:val="16"/>
                <w:color w:val="auto"/>
              </w:rPr>
              <w:t>40</w:t>
            </w:r>
          </w:p>
        </w:tc>
        <w:tc>
          <w:tcPr>
            <w:tcW w:w="0" w:type="dxa"/>
            <w:vAlign w:val="bottom"/>
          </w:tcPr>
          <w:p>
            <w:pPr>
              <w:spacing w:after="0" w:line="20" w:lineRule="exact"/>
              <w:rPr>
                <w:sz w:val="1"/>
                <w:szCs w:val="1"/>
                <w:color w:val="auto"/>
              </w:rPr>
            </w:pPr>
          </w:p>
        </w:tc>
      </w:tr>
      <w:tr>
        <w:trPr>
          <w:trHeight w:val="247"/>
        </w:trPr>
        <w:tc>
          <w:tcPr>
            <w:tcW w:w="4000" w:type="dxa"/>
            <w:vAlign w:val="bottom"/>
            <w:tcBorders>
              <w:bottom w:val="single" w:sz="8" w:color="CCEEFF"/>
            </w:tcBorders>
            <w:vMerge w:val="continue"/>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intangible assets, net</w:t>
            </w: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1,080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1,360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 xml:space="preserve">Intangibles amortization expense was $0.1 million for the </w:t>
      </w:r>
      <w:r>
        <w:rPr>
          <w:rFonts w:ascii="Arial" w:cs="Arial" w:eastAsia="Arial" w:hAnsi="Arial"/>
          <w:sz w:val="18"/>
          <w:szCs w:val="18"/>
          <w:color w:val="000000"/>
        </w:rPr>
        <w:t>three months ended September 30, 2016</w:t>
      </w:r>
      <w:r>
        <w:rPr>
          <w:rFonts w:ascii="Arial" w:cs="Arial" w:eastAsia="Arial" w:hAnsi="Arial"/>
          <w:sz w:val="18"/>
          <w:szCs w:val="18"/>
          <w:color w:val="231F20"/>
        </w:rPr>
        <w:t xml:space="preserve"> and </w:t>
      </w:r>
      <w:r>
        <w:rPr>
          <w:rFonts w:ascii="Arial" w:cs="Arial" w:eastAsia="Arial" w:hAnsi="Arial"/>
          <w:sz w:val="18"/>
          <w:szCs w:val="18"/>
          <w:color w:val="000000"/>
        </w:rPr>
        <w:t>2015</w:t>
      </w:r>
      <w:r>
        <w:rPr>
          <w:rFonts w:ascii="Arial" w:cs="Arial" w:eastAsia="Arial" w:hAnsi="Arial"/>
          <w:sz w:val="18"/>
          <w:szCs w:val="18"/>
          <w:color w:val="231F20"/>
        </w:rPr>
        <w:t xml:space="preserve"> and $0.3 million for the nine months ended September 30, 2016 and 2015.</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1"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September 30, 2016</w:t>
      </w:r>
      <w:r>
        <w:rPr>
          <w:rFonts w:ascii="Arial" w:cs="Arial" w:eastAsia="Arial" w:hAnsi="Arial"/>
          <w:sz w:val="18"/>
          <w:szCs w:val="18"/>
          <w:color w:val="231F20"/>
        </w:rPr>
        <w:t>, the Company expects amortization expense in future periods to be as follows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Remainder of 2016</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2017</w:t>
            </w:r>
          </w:p>
        </w:tc>
        <w:tc>
          <w:tcPr>
            <w:tcW w:w="5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282</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2019</w:t>
            </w:r>
          </w:p>
        </w:tc>
        <w:tc>
          <w:tcPr>
            <w:tcW w:w="5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100</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r>
      <w:tr>
        <w:trPr>
          <w:trHeight w:val="23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2021 and thereafter</w:t>
            </w: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365</w:t>
            </w:r>
          </w:p>
        </w:tc>
      </w:tr>
      <w:tr>
        <w:trPr>
          <w:trHeight w:val="24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expected future amortization expense</w:t>
            </w: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1,040</w:t>
            </w:r>
          </w:p>
        </w:tc>
      </w:tr>
      <w:tr>
        <w:trPr>
          <w:trHeight w:val="20"/>
        </w:trPr>
        <w:tc>
          <w:tcPr>
            <w:tcW w:w="9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Goodwill, which is not subject to amortization, totaled $0.3 million as of </w:t>
      </w:r>
      <w:r>
        <w:rPr>
          <w:rFonts w:ascii="Arial" w:cs="Arial" w:eastAsia="Arial" w:hAnsi="Arial"/>
          <w:sz w:val="18"/>
          <w:szCs w:val="18"/>
          <w:color w:val="000000"/>
        </w:rPr>
        <w:t>September 30, 2016</w:t>
      </w:r>
      <w:r>
        <w:rPr>
          <w:rFonts w:ascii="Arial" w:cs="Arial" w:eastAsia="Arial" w:hAnsi="Arial"/>
          <w:sz w:val="18"/>
          <w:szCs w:val="18"/>
          <w:color w:val="231F20"/>
        </w:rPr>
        <w:t xml:space="preserve"> and December 31, 2015.</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5. Commitments and Contingencies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Leases</w:t>
      </w:r>
    </w:p>
    <w:p>
      <w:pPr>
        <w:spacing w:after="0" w:line="193" w:lineRule="exact"/>
        <w:rPr>
          <w:sz w:val="20"/>
          <w:szCs w:val="20"/>
          <w:color w:val="auto"/>
        </w:rPr>
      </w:pPr>
    </w:p>
    <w:p>
      <w:pPr>
        <w:ind w:right="560" w:firstLine="486"/>
        <w:spacing w:after="0" w:line="262" w:lineRule="auto"/>
        <w:rPr>
          <w:sz w:val="20"/>
          <w:szCs w:val="20"/>
          <w:color w:val="auto"/>
        </w:rPr>
      </w:pPr>
      <w:r>
        <w:rPr>
          <w:rFonts w:ascii="Arial" w:cs="Arial" w:eastAsia="Arial" w:hAnsi="Arial"/>
          <w:sz w:val="18"/>
          <w:szCs w:val="18"/>
          <w:color w:val="231F20"/>
        </w:rPr>
        <w:t>The Company leases certain computer equipment and its corporate office and data center facilities under noncancelable operating leases for varying periods through 2022.</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The following are the minimum annual lease payments due under operating leases at </w:t>
      </w:r>
      <w:r>
        <w:rPr>
          <w:rFonts w:ascii="Arial" w:cs="Arial" w:eastAsia="Arial" w:hAnsi="Arial"/>
          <w:sz w:val="18"/>
          <w:szCs w:val="18"/>
          <w:color w:val="000000"/>
        </w:rPr>
        <w:t>September 30, 2016</w:t>
      </w:r>
      <w:r>
        <w:rPr>
          <w:rFonts w:ascii="Arial" w:cs="Arial" w:eastAsia="Arial" w:hAnsi="Arial"/>
          <w:sz w:val="18"/>
          <w:szCs w:val="18"/>
          <w:color w:val="231F20"/>
        </w:rPr>
        <w:t xml:space="preserve">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Remainder of 2016</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1,211</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2017</w:t>
            </w:r>
          </w:p>
        </w:tc>
        <w:tc>
          <w:tcPr>
            <w:tcW w:w="5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3,474</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1,495</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2019</w:t>
            </w:r>
          </w:p>
        </w:tc>
        <w:tc>
          <w:tcPr>
            <w:tcW w:w="5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1,175</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961</w:t>
            </w:r>
          </w:p>
        </w:tc>
      </w:tr>
      <w:tr>
        <w:trPr>
          <w:trHeight w:val="23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2021 and thereafter</w:t>
            </w: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712</w:t>
            </w:r>
          </w:p>
        </w:tc>
      </w:tr>
      <w:tr>
        <w:trPr>
          <w:trHeight w:val="24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minimum lease payments</w:t>
            </w: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9,028</w:t>
            </w:r>
          </w:p>
        </w:tc>
      </w:tr>
      <w:tr>
        <w:trPr>
          <w:trHeight w:val="20"/>
        </w:trPr>
        <w:tc>
          <w:tcPr>
            <w:tcW w:w="9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231F20"/>
        </w:rPr>
        <w:t xml:space="preserve">Rent expense was $1.8 million and $ 1.6 million for the </w:t>
      </w:r>
      <w:r>
        <w:rPr>
          <w:rFonts w:ascii="Arial" w:cs="Arial" w:eastAsia="Arial" w:hAnsi="Arial"/>
          <w:sz w:val="18"/>
          <w:szCs w:val="18"/>
          <w:color w:val="000000"/>
        </w:rPr>
        <w:t>three months ended September 30, 2016</w:t>
      </w:r>
      <w:r>
        <w:rPr>
          <w:rFonts w:ascii="Arial" w:cs="Arial" w:eastAsia="Arial" w:hAnsi="Arial"/>
          <w:sz w:val="18"/>
          <w:szCs w:val="18"/>
          <w:color w:val="231F20"/>
        </w:rPr>
        <w:t xml:space="preserve"> and </w:t>
      </w:r>
      <w:r>
        <w:rPr>
          <w:rFonts w:ascii="Arial" w:cs="Arial" w:eastAsia="Arial" w:hAnsi="Arial"/>
          <w:sz w:val="18"/>
          <w:szCs w:val="18"/>
          <w:color w:val="000000"/>
        </w:rPr>
        <w:t>2015</w:t>
      </w:r>
      <w:r>
        <w:rPr>
          <w:rFonts w:ascii="Arial" w:cs="Arial" w:eastAsia="Arial" w:hAnsi="Arial"/>
          <w:sz w:val="18"/>
          <w:szCs w:val="18"/>
          <w:color w:val="231F20"/>
        </w:rPr>
        <w:t xml:space="preserve">, respectively, and $5.3 million and $4.8 million for the nine months ended September 30, 2016 and 2015, respectively. Although certain of the operating lease agreements provide for escalating rent payments over the terms of the leases, rent expense under these agreements is recognized on a straight-line basis. As of </w:t>
      </w:r>
      <w:r>
        <w:rPr>
          <w:rFonts w:ascii="Arial" w:cs="Arial" w:eastAsia="Arial" w:hAnsi="Arial"/>
          <w:sz w:val="18"/>
          <w:szCs w:val="18"/>
          <w:color w:val="000000"/>
        </w:rPr>
        <w:t>September 30, 2016</w:t>
      </w:r>
      <w:r>
        <w:rPr>
          <w:rFonts w:ascii="Arial" w:cs="Arial" w:eastAsia="Arial" w:hAnsi="Arial"/>
          <w:sz w:val="18"/>
          <w:szCs w:val="18"/>
          <w:color w:val="231F20"/>
        </w:rPr>
        <w:t xml:space="preserve"> and </w:t>
      </w:r>
      <w:r>
        <w:rPr>
          <w:rFonts w:ascii="Arial" w:cs="Arial" w:eastAsia="Arial" w:hAnsi="Arial"/>
          <w:sz w:val="18"/>
          <w:szCs w:val="18"/>
          <w:color w:val="000000"/>
        </w:rPr>
        <w:t>December 31, 2015</w:t>
      </w:r>
      <w:r>
        <w:rPr>
          <w:rFonts w:ascii="Arial" w:cs="Arial" w:eastAsia="Arial" w:hAnsi="Arial"/>
          <w:sz w:val="18"/>
          <w:szCs w:val="18"/>
          <w:color w:val="231F20"/>
        </w:rPr>
        <w:t>, the Company has accrued $0.4 million and $0.5 million, respectively, of deferred rent related to these agreements, which is reflected in accrued liabilities and other noncurrent liabilities in the accompanying condensed consolidated balance sheets.</w:t>
      </w: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Indemnifications</w:t>
      </w:r>
    </w:p>
    <w:p>
      <w:pPr>
        <w:spacing w:after="0" w:line="193"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231F20"/>
        </w:rPr>
        <w:t>The Company from time to time enters into certain types of contracts that contingently require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(ii) contracts under which the Company must indemnify directors and certain officers for liabilities arising out of their relationship, and (iii) contracts under which the Company may be required to indemnify customers or resellers from certain liabilities arising from potential infringement of intellectual property rights, as well as potential damages caused by limited product defects. To date, the Company has not incurred and has not recorded any liability in connection with such indemnifications.</w:t>
      </w:r>
    </w:p>
    <w:p>
      <w:pPr>
        <w:spacing w:after="0" w:line="207" w:lineRule="exact"/>
        <w:rPr>
          <w:sz w:val="20"/>
          <w:szCs w:val="20"/>
          <w:color w:val="auto"/>
        </w:rPr>
      </w:pPr>
    </w:p>
    <w:p>
      <w:pPr>
        <w:ind w:right="560" w:firstLine="486"/>
        <w:spacing w:after="0" w:line="262" w:lineRule="auto"/>
        <w:rPr>
          <w:sz w:val="20"/>
          <w:szCs w:val="20"/>
          <w:color w:val="auto"/>
        </w:rPr>
      </w:pPr>
      <w:r>
        <w:rPr>
          <w:rFonts w:ascii="Arial" w:cs="Arial" w:eastAsia="Arial" w:hAnsi="Arial"/>
          <w:sz w:val="18"/>
          <w:szCs w:val="18"/>
          <w:color w:val="231F20"/>
        </w:rPr>
        <w:t>The Company maintains director and officer insurance, which may cover certain liabilities arising from its obligation to indemnify its directors.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1"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Contingencies</w:t>
      </w:r>
    </w:p>
    <w:p>
      <w:pPr>
        <w:spacing w:after="0" w:line="193" w:lineRule="exact"/>
        <w:rPr>
          <w:sz w:val="20"/>
          <w:szCs w:val="20"/>
          <w:color w:val="auto"/>
        </w:rPr>
      </w:pPr>
    </w:p>
    <w:p>
      <w:pPr>
        <w:ind w:right="420" w:firstLine="486"/>
        <w:spacing w:after="0" w:line="256" w:lineRule="auto"/>
        <w:rPr>
          <w:sz w:val="20"/>
          <w:szCs w:val="20"/>
          <w:color w:val="auto"/>
        </w:rPr>
      </w:pPr>
      <w:r>
        <w:rPr>
          <w:rFonts w:ascii="Arial" w:cs="Arial" w:eastAsia="Arial" w:hAnsi="Arial"/>
          <w:sz w:val="18"/>
          <w:szCs w:val="18"/>
          <w:color w:val="231F20"/>
        </w:rPr>
        <w:t xml:space="preserve">From time to time, the Company may have certain contingent liabilities that arise in the ordinary course of its business activities. The Company accrues a liability for such matters when it is probable a loss has been incurred and such loss can be reasonably estimated. At </w:t>
      </w:r>
      <w:r>
        <w:rPr>
          <w:rFonts w:ascii="Arial" w:cs="Arial" w:eastAsia="Arial" w:hAnsi="Arial"/>
          <w:sz w:val="18"/>
          <w:szCs w:val="18"/>
          <w:color w:val="000000"/>
        </w:rPr>
        <w:t>September 30, 2016</w:t>
      </w:r>
      <w:r>
        <w:rPr>
          <w:rFonts w:ascii="Arial" w:cs="Arial" w:eastAsia="Arial" w:hAnsi="Arial"/>
          <w:sz w:val="18"/>
          <w:szCs w:val="18"/>
          <w:color w:val="231F20"/>
        </w:rPr>
        <w:t>, the Company has not recorded any material liabilities in accordance with accounting for contingencies.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6. Stock-based Compensation</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Equity Incentive Plans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2012 Equity Incentive Plan</w:t>
      </w:r>
    </w:p>
    <w:p>
      <w:pPr>
        <w:spacing w:after="0" w:line="243"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231F20"/>
        </w:rPr>
        <w:t xml:space="preserve">Under the 2012 Equity Incentive Plan (the "2012 Plan"), the Company is authorized to grant to eligible participants incentive stock options (“ISOs”), non-statutory stock options (“NSOs”), stock appreciation rights ("SARs"), restricted stock awards ("RSAs"), restricted stock units ("RSUs"), performance units and performance shares equivalent to up to </w:t>
      </w:r>
      <w:r>
        <w:rPr>
          <w:rFonts w:ascii="Arial" w:cs="Arial" w:eastAsia="Arial" w:hAnsi="Arial"/>
          <w:sz w:val="18"/>
          <w:szCs w:val="18"/>
          <w:color w:val="000000"/>
        </w:rPr>
        <w:t>8,069,184</w:t>
      </w:r>
      <w:r>
        <w:rPr>
          <w:rFonts w:ascii="Arial" w:cs="Arial" w:eastAsia="Arial" w:hAnsi="Arial"/>
          <w:sz w:val="18"/>
          <w:szCs w:val="18"/>
          <w:color w:val="231F20"/>
        </w:rPr>
        <w:t xml:space="preserve"> shares of common stock. Options may be granted with an exercise price that is at least equal to the fair market value of the Company's stock at the date of grant and are exercisable when vested. As of September 30, 2016, </w:t>
      </w:r>
      <w:r>
        <w:rPr>
          <w:rFonts w:ascii="Arial" w:cs="Arial" w:eastAsia="Arial" w:hAnsi="Arial"/>
          <w:sz w:val="18"/>
          <w:szCs w:val="18"/>
          <w:color w:val="000000"/>
        </w:rPr>
        <w:t>1,478,776</w:t>
      </w:r>
      <w:r>
        <w:rPr>
          <w:rFonts w:ascii="Arial" w:cs="Arial" w:eastAsia="Arial" w:hAnsi="Arial"/>
          <w:sz w:val="18"/>
          <w:szCs w:val="18"/>
          <w:color w:val="231F20"/>
        </w:rPr>
        <w:t xml:space="preserve"> shares were available for grant under the 2012 Plan.</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2000 Equity Incentive Plan</w:t>
      </w:r>
    </w:p>
    <w:p>
      <w:pPr>
        <w:spacing w:after="0" w:line="243"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231F20"/>
        </w:rPr>
        <w:t>Under the 2000 Equity Incentive Plan (the "2000 Plan"), the Company was authorized to grant to eligible participants either ISOs or NSOs. The 2000 Plan was terminated in connection with the closing of the initial public offering ("IPO"), and accordingly, no shares are currently available for grant under the 2000 Plan. The 2000 Plan continues to govern outstanding awards granted thereunder.</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Stock-based compensation</w:t>
      </w:r>
    </w:p>
    <w:p>
      <w:pPr>
        <w:spacing w:after="0" w:line="247"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231F20"/>
        </w:rPr>
        <w:t>The following table shows a summary of the stock-based compensation expense included in the condensed consolidated statements of operation for the three and nine months ended September 30, 2016 and 2015.</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60" w:type="dxa"/>
            <w:vAlign w:val="bottom"/>
          </w:tcPr>
          <w:p>
            <w:pPr>
              <w:spacing w:after="0"/>
              <w:rPr>
                <w:sz w:val="18"/>
                <w:szCs w:val="18"/>
                <w:color w:val="auto"/>
              </w:rPr>
            </w:pPr>
          </w:p>
        </w:tc>
        <w:tc>
          <w:tcPr>
            <w:tcW w:w="256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2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51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6"/>
                <w:szCs w:val="16"/>
                <w:b w:val="1"/>
                <w:bCs w:val="1"/>
                <w:color w:val="auto"/>
              </w:rPr>
              <w:t>September 30,</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24"/>
                <w:szCs w:val="24"/>
                <w:color w:val="auto"/>
              </w:rPr>
            </w:pPr>
          </w:p>
        </w:tc>
      </w:tr>
      <w:tr>
        <w:trPr>
          <w:trHeight w:val="264"/>
        </w:trPr>
        <w:tc>
          <w:tcPr>
            <w:tcW w:w="516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47"/>
        </w:trPr>
        <w:tc>
          <w:tcPr>
            <w:tcW w:w="5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516</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333</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1,318</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1,005</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96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1,585</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1,294</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4,373</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3,584</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821</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1,015</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3,459</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2,806</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General and administrative</w:t>
            </w:r>
          </w:p>
        </w:tc>
        <w:tc>
          <w:tcPr>
            <w:tcW w:w="9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9"/>
              </w:rPr>
              <w:t>2,181</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1,779</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5,972</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5,283</w:t>
            </w:r>
          </w:p>
        </w:tc>
      </w:tr>
      <w:tr>
        <w:trPr>
          <w:trHeight w:val="24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stock-based compensation</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5,103</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4,421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15,122</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12,678</w:t>
            </w:r>
          </w:p>
        </w:tc>
      </w:tr>
      <w:tr>
        <w:trPr>
          <w:trHeight w:val="20"/>
        </w:trPr>
        <w:tc>
          <w:tcPr>
            <w:tcW w:w="5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September 30, 2016</w:t>
      </w:r>
      <w:r>
        <w:rPr>
          <w:rFonts w:ascii="Arial" w:cs="Arial" w:eastAsia="Arial" w:hAnsi="Arial"/>
          <w:sz w:val="18"/>
          <w:szCs w:val="18"/>
          <w:color w:val="231F20"/>
        </w:rPr>
        <w:t xml:space="preserve">, the Company had </w:t>
      </w:r>
      <w:r>
        <w:rPr>
          <w:rFonts w:ascii="Arial" w:cs="Arial" w:eastAsia="Arial" w:hAnsi="Arial"/>
          <w:sz w:val="18"/>
          <w:szCs w:val="18"/>
          <w:color w:val="000000"/>
        </w:rPr>
        <w:t>$25.1 million</w:t>
      </w:r>
      <w:r>
        <w:rPr>
          <w:rFonts w:ascii="Arial" w:cs="Arial" w:eastAsia="Arial" w:hAnsi="Arial"/>
          <w:sz w:val="18"/>
          <w:szCs w:val="18"/>
          <w:color w:val="231F20"/>
        </w:rPr>
        <w:t xml:space="preserve"> of total unrecognized employee compensation cost related to unvested option awards that it expects to recognize over a weighted-average period of </w:t>
      </w:r>
      <w:r>
        <w:rPr>
          <w:rFonts w:ascii="Arial" w:cs="Arial" w:eastAsia="Arial" w:hAnsi="Arial"/>
          <w:sz w:val="18"/>
          <w:szCs w:val="18"/>
          <w:color w:val="000000"/>
        </w:rPr>
        <w:t>2.9</w:t>
      </w:r>
      <w:r>
        <w:rPr>
          <w:rFonts w:ascii="Arial" w:cs="Arial" w:eastAsia="Arial" w:hAnsi="Arial"/>
          <w:sz w:val="18"/>
          <w:szCs w:val="18"/>
          <w:color w:val="231F20"/>
        </w:rPr>
        <w:t xml:space="preserve"> years, and </w:t>
      </w:r>
      <w:r>
        <w:rPr>
          <w:rFonts w:ascii="Arial" w:cs="Arial" w:eastAsia="Arial" w:hAnsi="Arial"/>
          <w:sz w:val="18"/>
          <w:szCs w:val="18"/>
          <w:color w:val="000000"/>
        </w:rPr>
        <w:t>$9.2 million of unrecognized compensation cost related to</w:t>
      </w:r>
      <w:r>
        <w:rPr>
          <w:rFonts w:ascii="Arial" w:cs="Arial" w:eastAsia="Arial" w:hAnsi="Arial"/>
          <w:sz w:val="18"/>
          <w:szCs w:val="18"/>
          <w:color w:val="231F20"/>
        </w:rPr>
        <w:t xml:space="preserve"> </w:t>
      </w:r>
      <w:r>
        <w:rPr>
          <w:rFonts w:ascii="Arial" w:cs="Arial" w:eastAsia="Arial" w:hAnsi="Arial"/>
          <w:sz w:val="18"/>
          <w:szCs w:val="18"/>
          <w:color w:val="000000"/>
        </w:rPr>
        <w:t xml:space="preserve">unvested RSUs that it expects to recognize over a weighted-average period of 3.4 years. </w:t>
      </w:r>
      <w:r>
        <w:rPr>
          <w:rFonts w:ascii="Arial" w:cs="Arial" w:eastAsia="Arial" w:hAnsi="Arial"/>
          <w:sz w:val="18"/>
          <w:szCs w:val="18"/>
          <w:color w:val="231F20"/>
        </w:rPr>
        <w:t>Compensation cost is recognized on a straight-line</w:t>
      </w:r>
      <w:r>
        <w:rPr>
          <w:rFonts w:ascii="Arial" w:cs="Arial" w:eastAsia="Arial" w:hAnsi="Arial"/>
          <w:sz w:val="18"/>
          <w:szCs w:val="18"/>
          <w:color w:val="000000"/>
        </w:rPr>
        <w:t xml:space="preserve"> </w:t>
      </w:r>
      <w:r>
        <w:rPr>
          <w:rFonts w:ascii="Arial" w:cs="Arial" w:eastAsia="Arial" w:hAnsi="Arial"/>
          <w:sz w:val="18"/>
          <w:szCs w:val="18"/>
          <w:color w:val="231F20"/>
        </w:rPr>
        <w:t>basis over the service period. Forfeitures are estimated at the time of grant and revised, if necessary, in subsequent periods if actual forfeitures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1"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3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 Options</w:t>
      </w:r>
    </w:p>
    <w:p>
      <w:pPr>
        <w:spacing w:after="0" w:line="31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Employee Stock-based Compensation</w:t>
      </w:r>
    </w:p>
    <w:p>
      <w:pPr>
        <w:spacing w:after="0" w:line="243"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231F20"/>
        </w:rPr>
        <w:t>The fair value of each option granted to employees is estimated on the date of grant using the Black-Scholes option-pricing model based on the following assumptions: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60" w:type="dxa"/>
            <w:vAlign w:val="bottom"/>
          </w:tcPr>
          <w:p>
            <w:pPr>
              <w:spacing w:after="0"/>
              <w:rPr>
                <w:sz w:val="18"/>
                <w:szCs w:val="18"/>
                <w:color w:val="auto"/>
              </w:rPr>
            </w:pPr>
          </w:p>
        </w:tc>
        <w:tc>
          <w:tcPr>
            <w:tcW w:w="320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rPr>
              <w:t>Three Months Ended</w:t>
            </w:r>
          </w:p>
        </w:tc>
        <w:tc>
          <w:tcPr>
            <w:tcW w:w="3060" w:type="dxa"/>
            <w:vAlign w:val="bottom"/>
            <w:gridSpan w:val="3"/>
          </w:tcPr>
          <w:p>
            <w:pPr>
              <w:jc w:val="center"/>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5160" w:type="dxa"/>
            <w:vAlign w:val="bottom"/>
          </w:tcPr>
          <w:p>
            <w:pPr>
              <w:spacing w:after="0"/>
              <w:rPr>
                <w:sz w:val="24"/>
                <w:szCs w:val="24"/>
                <w:color w:val="auto"/>
              </w:rPr>
            </w:pPr>
          </w:p>
        </w:tc>
        <w:tc>
          <w:tcPr>
            <w:tcW w:w="320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rPr>
              <w:t>September 30,</w:t>
            </w:r>
          </w:p>
        </w:tc>
        <w:tc>
          <w:tcPr>
            <w:tcW w:w="3060" w:type="dxa"/>
            <w:vAlign w:val="bottom"/>
            <w:gridSpan w:val="3"/>
          </w:tcPr>
          <w:p>
            <w:pPr>
              <w:jc w:val="center"/>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term (in years)</w:t>
            </w:r>
          </w:p>
        </w:tc>
        <w:tc>
          <w:tcPr>
            <w:tcW w:w="16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5.0 to 5.9</w:t>
            </w:r>
          </w:p>
        </w:tc>
        <w:tc>
          <w:tcPr>
            <w:tcW w:w="16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4.9 to 5.9</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5.0 to 5.9</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4.9 to 5.9</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Volatility</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49%</w:t>
            </w:r>
          </w:p>
        </w:tc>
        <w:tc>
          <w:tcPr>
            <w:tcW w:w="12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46%</w:t>
            </w:r>
          </w:p>
        </w:tc>
        <w:tc>
          <w:tcPr>
            <w:tcW w:w="120" w:type="dxa"/>
            <w:vAlign w:val="bottom"/>
          </w:tcPr>
          <w:p>
            <w:pPr>
              <w:spacing w:after="0"/>
              <w:rPr>
                <w:sz w:val="22"/>
                <w:szCs w:val="22"/>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rPr>
              <w:t>45% to 49%</w:t>
            </w:r>
          </w:p>
        </w:tc>
        <w:tc>
          <w:tcPr>
            <w:tcW w:w="1480" w:type="dxa"/>
            <w:vAlign w:val="bottom"/>
          </w:tcPr>
          <w:p>
            <w:pPr>
              <w:jc w:val="center"/>
              <w:spacing w:after="0"/>
              <w:rPr>
                <w:sz w:val="20"/>
                <w:szCs w:val="20"/>
                <w:color w:val="auto"/>
              </w:rPr>
            </w:pPr>
            <w:r>
              <w:rPr>
                <w:rFonts w:ascii="Arial" w:cs="Arial" w:eastAsia="Arial" w:hAnsi="Arial"/>
                <w:sz w:val="16"/>
                <w:szCs w:val="16"/>
                <w:color w:val="auto"/>
              </w:rPr>
              <w:t>45% to 48%</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Risk-free interest rate</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1.1%</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1.6%</w:t>
            </w:r>
          </w:p>
        </w:tc>
        <w:tc>
          <w:tcPr>
            <w:tcW w:w="12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1.1% to 1.3%</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1.3% to 1.65%</w:t>
            </w:r>
          </w:p>
        </w:tc>
      </w:tr>
      <w:tr>
        <w:trPr>
          <w:trHeight w:val="251"/>
        </w:trPr>
        <w:tc>
          <w:tcPr>
            <w:tcW w:w="5160" w:type="dxa"/>
            <w:vAlign w:val="bottom"/>
          </w:tcPr>
          <w:p>
            <w:pPr>
              <w:ind w:left="40"/>
              <w:spacing w:after="0"/>
              <w:rPr>
                <w:sz w:val="20"/>
                <w:szCs w:val="20"/>
                <w:color w:val="auto"/>
              </w:rPr>
            </w:pPr>
            <w:r>
              <w:rPr>
                <w:rFonts w:ascii="Arial" w:cs="Arial" w:eastAsia="Arial" w:hAnsi="Arial"/>
                <w:sz w:val="16"/>
                <w:szCs w:val="16"/>
                <w:color w:val="auto"/>
              </w:rPr>
              <w:t>Dividend yield</w:t>
            </w: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w:t>
            </w:r>
          </w:p>
        </w:tc>
      </w:tr>
    </w:tbl>
    <w:p>
      <w:pPr>
        <w:spacing w:after="0" w:line="235"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231F20"/>
        </w:rPr>
        <w:t>The expected term of the options is based on evaluations of historical and expected future employee exercise behavior. The risk-free interest rate is based on the U.S. Treasury rates at the date of grant with maturity dates approximately equal to the expected term at the grant date. Volatility is based on a combination of the historical volatility of the Company and of several public entities that are similar to the Company. The Company bases volatility on this combination because it does not have sufficient historical transactions in its own shares on which to solely base expected volatility. The Company has not historically declared any dividends and does not expect to in the future.</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Non-Employee Stock-based Compensation</w:t>
      </w:r>
    </w:p>
    <w:p>
      <w:pPr>
        <w:spacing w:after="0" w:line="243" w:lineRule="exact"/>
        <w:rPr>
          <w:sz w:val="20"/>
          <w:szCs w:val="20"/>
          <w:color w:val="auto"/>
        </w:rPr>
      </w:pPr>
    </w:p>
    <w:p>
      <w:pPr>
        <w:jc w:val="both"/>
        <w:ind w:right="20" w:firstLine="486"/>
        <w:spacing w:after="0" w:line="256" w:lineRule="auto"/>
        <w:rPr>
          <w:sz w:val="20"/>
          <w:szCs w:val="20"/>
          <w:color w:val="auto"/>
        </w:rPr>
      </w:pPr>
      <w:r>
        <w:rPr>
          <w:rFonts w:ascii="Arial" w:cs="Arial" w:eastAsia="Arial" w:hAnsi="Arial"/>
          <w:sz w:val="18"/>
          <w:szCs w:val="18"/>
          <w:color w:val="231F20"/>
        </w:rPr>
        <w:t>The Company records compensation representing the fair value of stock options granted to non-employees. Non-employee stock-based compensation is recognized over the vesting periods of the options. The value of options granted to non-employees is remeasured as they vest over their respective performance period.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Stock Option Plan Activity</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A summary of the Company’s stock option activity is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Weighted Average</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40" w:type="dxa"/>
            <w:vAlign w:val="bottom"/>
          </w:tcPr>
          <w:p>
            <w:pPr>
              <w:spacing w:after="0"/>
              <w:rPr>
                <w:sz w:val="16"/>
                <w:szCs w:val="16"/>
                <w:color w:val="auto"/>
              </w:rPr>
            </w:pPr>
          </w:p>
        </w:tc>
        <w:tc>
          <w:tcPr>
            <w:tcW w:w="1500" w:type="dxa"/>
            <w:vAlign w:val="bottom"/>
          </w:tcPr>
          <w:p>
            <w:pPr>
              <w:jc w:val="right"/>
              <w:ind w:right="199"/>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6"/>
                <w:szCs w:val="16"/>
                <w:color w:val="auto"/>
              </w:rPr>
            </w:pP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rPr>
              <w:t>Weighted Average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Contractual Life</w:t>
            </w: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rPr>
              <w:t>Aggregate Intrinsic</w:t>
            </w:r>
          </w:p>
        </w:tc>
      </w:tr>
      <w:tr>
        <w:trPr>
          <w:trHeight w:val="228"/>
        </w:trPr>
        <w:tc>
          <w:tcPr>
            <w:tcW w:w="5040" w:type="dxa"/>
            <w:vAlign w:val="bottom"/>
          </w:tcPr>
          <w:p>
            <w:pPr>
              <w:spacing w:after="0"/>
              <w:rPr>
                <w:sz w:val="19"/>
                <w:szCs w:val="19"/>
                <w:color w:val="auto"/>
              </w:rPr>
            </w:pPr>
          </w:p>
        </w:tc>
        <w:tc>
          <w:tcPr>
            <w:tcW w:w="1500" w:type="dxa"/>
            <w:vAlign w:val="bottom"/>
          </w:tcPr>
          <w:p>
            <w:pPr>
              <w:jc w:val="right"/>
              <w:ind w:right="379"/>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Exercise Price</w:t>
            </w:r>
          </w:p>
        </w:tc>
        <w:tc>
          <w:tcPr>
            <w:tcW w:w="15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(Years)</w:t>
            </w:r>
          </w:p>
        </w:tc>
        <w:tc>
          <w:tcPr>
            <w:tcW w:w="180" w:type="dxa"/>
            <w:vAlign w:val="bottom"/>
          </w:tcPr>
          <w:p>
            <w:pPr>
              <w:spacing w:after="0"/>
              <w:rPr>
                <w:sz w:val="19"/>
                <w:szCs w:val="19"/>
                <w:color w:val="auto"/>
              </w:rPr>
            </w:pPr>
          </w:p>
        </w:tc>
        <w:tc>
          <w:tcPr>
            <w:tcW w:w="142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Value</w:t>
            </w:r>
          </w:p>
        </w:tc>
      </w:tr>
      <w:tr>
        <w:trPr>
          <w:trHeight w:val="260"/>
        </w:trPr>
        <w:tc>
          <w:tcPr>
            <w:tcW w:w="5040" w:type="dxa"/>
            <w:vAlign w:val="bottom"/>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December 31, 2015</w:t>
            </w:r>
          </w:p>
        </w:tc>
        <w:tc>
          <w:tcPr>
            <w:tcW w:w="15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7,579,058</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16.88</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131,345</w:t>
            </w:r>
          </w:p>
        </w:tc>
      </w:tr>
      <w:tr>
        <w:trPr>
          <w:trHeight w:val="260"/>
        </w:trPr>
        <w:tc>
          <w:tcPr>
            <w:tcW w:w="5040" w:type="dxa"/>
            <w:vAlign w:val="bottom"/>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2,007,683</w:t>
            </w: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26.06</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5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(1,250,532)</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10.02</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(651,821)</w:t>
            </w:r>
          </w:p>
        </w:tc>
        <w:tc>
          <w:tcPr>
            <w:tcW w:w="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31.63</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r>
      <w:tr>
        <w:trPr>
          <w:trHeight w:val="24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September 30, 2016</w:t>
            </w:r>
          </w:p>
        </w:tc>
        <w:tc>
          <w:tcPr>
            <w:tcW w:w="15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7,684,388</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19.15</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149,030</w:t>
            </w:r>
          </w:p>
        </w:tc>
      </w:tr>
      <w:tr>
        <w:trPr>
          <w:trHeight w:val="20"/>
        </w:trPr>
        <w:tc>
          <w:tcPr>
            <w:tcW w:w="50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7"/>
        </w:trPr>
        <w:tc>
          <w:tcPr>
            <w:tcW w:w="5040" w:type="dxa"/>
            <w:vAlign w:val="bottom"/>
          </w:tcPr>
          <w:p>
            <w:pPr>
              <w:ind w:left="40"/>
              <w:spacing w:after="0"/>
              <w:rPr>
                <w:sz w:val="20"/>
                <w:szCs w:val="20"/>
                <w:color w:val="auto"/>
              </w:rPr>
            </w:pPr>
            <w:r>
              <w:rPr>
                <w:rFonts w:ascii="Arial" w:cs="Arial" w:eastAsia="Arial" w:hAnsi="Arial"/>
                <w:sz w:val="16"/>
                <w:szCs w:val="16"/>
                <w:color w:val="auto"/>
              </w:rPr>
              <w:t>Vested and expected to vest - September 30, 2016</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7,085,321</w:t>
            </w: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18.25</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143,568</w:t>
            </w:r>
          </w:p>
        </w:tc>
      </w:tr>
      <w:tr>
        <w:trPr>
          <w:trHeight w:val="28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Exercisable - September 30, 2016</w:t>
            </w:r>
          </w:p>
        </w:tc>
        <w:tc>
          <w:tcPr>
            <w:tcW w:w="15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4,955,900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13.69</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122,586</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1"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Restricted Stock</w:t>
      </w:r>
    </w:p>
    <w:p>
      <w:pPr>
        <w:spacing w:after="0" w:line="247" w:lineRule="exact"/>
        <w:rPr>
          <w:sz w:val="20"/>
          <w:szCs w:val="20"/>
          <w:color w:val="auto"/>
        </w:rPr>
      </w:pPr>
    </w:p>
    <w:p>
      <w:pPr>
        <w:ind w:right="320" w:firstLine="486"/>
        <w:spacing w:after="0" w:line="256" w:lineRule="auto"/>
        <w:rPr>
          <w:sz w:val="20"/>
          <w:szCs w:val="20"/>
          <w:color w:val="auto"/>
        </w:rPr>
      </w:pPr>
      <w:r>
        <w:rPr>
          <w:rFonts w:ascii="Arial" w:cs="Arial" w:eastAsia="Arial" w:hAnsi="Arial"/>
          <w:sz w:val="18"/>
          <w:szCs w:val="18"/>
          <w:color w:val="231F20"/>
        </w:rPr>
        <w:t>The terms and conditions of RSUs and RSAs, including vesting criteria and timing are set by the board of directors. The cost of RSUs and RSAs is determined using the fair value of the Company’s common stock on the date of grant. Compensation cost is recognized on a straight-line basis over the requisite service period of each grant, adjusted for estimated forfeitures.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A summary of the Company’s RSU and RSA activity is as follows:</w:t>
      </w:r>
    </w:p>
    <w:p>
      <w:pPr>
        <w:spacing w:after="0" w:line="356"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78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79"/>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7880" w:type="dxa"/>
            <w:vAlign w:val="bottom"/>
          </w:tcPr>
          <w:p>
            <w:pPr>
              <w:spacing w:after="0"/>
              <w:rPr>
                <w:sz w:val="16"/>
                <w:szCs w:val="16"/>
                <w:color w:val="auto"/>
              </w:rPr>
            </w:pPr>
          </w:p>
        </w:tc>
        <w:tc>
          <w:tcPr>
            <w:tcW w:w="1400" w:type="dxa"/>
            <w:vAlign w:val="bottom"/>
          </w:tcPr>
          <w:p>
            <w:pPr>
              <w:jc w:val="right"/>
              <w:ind w:right="159"/>
              <w:spacing w:after="0"/>
              <w:rPr>
                <w:sz w:val="20"/>
                <w:szCs w:val="20"/>
                <w:color w:val="auto"/>
              </w:rPr>
            </w:pPr>
            <w:r>
              <w:rPr>
                <w:rFonts w:ascii="Arial" w:cs="Arial" w:eastAsia="Arial" w:hAnsi="Arial"/>
                <w:sz w:val="16"/>
                <w:szCs w:val="16"/>
                <w:b w:val="1"/>
                <w:bCs w:val="1"/>
                <w:color w:val="auto"/>
              </w:rPr>
              <w:t>Outstanding</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79"/>
              <w:spacing w:after="0"/>
              <w:rPr>
                <w:sz w:val="20"/>
                <w:szCs w:val="20"/>
                <w:color w:val="auto"/>
              </w:rPr>
            </w:pPr>
            <w:r>
              <w:rPr>
                <w:rFonts w:ascii="Arial" w:cs="Arial" w:eastAsia="Arial" w:hAnsi="Arial"/>
                <w:sz w:val="16"/>
                <w:szCs w:val="16"/>
                <w:b w:val="1"/>
                <w:bCs w:val="1"/>
                <w:color w:val="auto"/>
              </w:rPr>
              <w:t>Average Fair</w:t>
            </w:r>
          </w:p>
        </w:tc>
      </w:tr>
      <w:tr>
        <w:trPr>
          <w:trHeight w:val="228"/>
        </w:trPr>
        <w:tc>
          <w:tcPr>
            <w:tcW w:w="7880" w:type="dxa"/>
            <w:vAlign w:val="bottom"/>
          </w:tcPr>
          <w:p>
            <w:pPr>
              <w:spacing w:after="0"/>
              <w:rPr>
                <w:sz w:val="19"/>
                <w:szCs w:val="19"/>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RSUs and RSAs</w:t>
            </w:r>
          </w:p>
        </w:tc>
        <w:tc>
          <w:tcPr>
            <w:tcW w:w="100" w:type="dxa"/>
            <w:vAlign w:val="bottom"/>
          </w:tcPr>
          <w:p>
            <w:pPr>
              <w:spacing w:after="0"/>
              <w:rPr>
                <w:sz w:val="19"/>
                <w:szCs w:val="19"/>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Value Per Share</w:t>
            </w:r>
          </w:p>
        </w:tc>
      </w:tr>
      <w:tr>
        <w:trPr>
          <w:trHeight w:val="284"/>
        </w:trPr>
        <w:tc>
          <w:tcPr>
            <w:tcW w:w="7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31, 2015</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47,500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37.28</w:t>
            </w:r>
          </w:p>
        </w:tc>
      </w:tr>
      <w:tr>
        <w:trPr>
          <w:trHeight w:val="260"/>
        </w:trPr>
        <w:tc>
          <w:tcPr>
            <w:tcW w:w="7880" w:type="dxa"/>
            <w:vAlign w:val="bottom"/>
          </w:tcPr>
          <w:p>
            <w:pPr>
              <w:ind w:left="260"/>
              <w:spacing w:after="0"/>
              <w:rPr>
                <w:sz w:val="20"/>
                <w:szCs w:val="20"/>
                <w:color w:val="auto"/>
              </w:rPr>
            </w:pPr>
            <w:r>
              <w:rPr>
                <w:rFonts w:ascii="Arial" w:cs="Arial" w:eastAsia="Arial" w:hAnsi="Arial"/>
                <w:sz w:val="16"/>
                <w:szCs w:val="16"/>
                <w:color w:val="auto"/>
              </w:rPr>
              <w:t>Granted</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588,527</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27.19</w:t>
            </w:r>
          </w:p>
        </w:tc>
      </w:tr>
      <w:tr>
        <w:trPr>
          <w:trHeight w:val="280"/>
        </w:trPr>
        <w:tc>
          <w:tcPr>
            <w:tcW w:w="78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Released</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(22,162)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28.23</w:t>
            </w:r>
          </w:p>
        </w:tc>
      </w:tr>
      <w:tr>
        <w:trPr>
          <w:trHeight w:val="264"/>
        </w:trPr>
        <w:tc>
          <w:tcPr>
            <w:tcW w:w="78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Canceled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(78,710)</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31.89</w:t>
            </w:r>
          </w:p>
        </w:tc>
      </w:tr>
      <w:tr>
        <w:trPr>
          <w:trHeight w:val="24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September 30, 2016</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535,155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27.35</w:t>
            </w:r>
          </w:p>
        </w:tc>
      </w:tr>
      <w:tr>
        <w:trPr>
          <w:trHeight w:val="20"/>
        </w:trPr>
        <w:tc>
          <w:tcPr>
            <w:tcW w:w="78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7"/>
        </w:trPr>
        <w:tc>
          <w:tcPr>
            <w:tcW w:w="7880" w:type="dxa"/>
            <w:vAlign w:val="bottom"/>
          </w:tcPr>
          <w:p>
            <w:pPr>
              <w:ind w:left="20"/>
              <w:spacing w:after="0"/>
              <w:rPr>
                <w:sz w:val="20"/>
                <w:szCs w:val="20"/>
                <w:color w:val="auto"/>
              </w:rPr>
            </w:pPr>
            <w:r>
              <w:rPr>
                <w:rFonts w:ascii="Arial" w:cs="Arial" w:eastAsia="Arial" w:hAnsi="Arial"/>
                <w:sz w:val="16"/>
                <w:szCs w:val="16"/>
                <w:color w:val="auto"/>
              </w:rPr>
              <w:t>Outstanding and expected to vest - September 30, 2016</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363,539</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27.41</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7. Other Income (Expense), Net</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Other income (expense), net consists of the following:</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60" w:type="dxa"/>
            <w:vAlign w:val="bottom"/>
          </w:tcPr>
          <w:p>
            <w:pPr>
              <w:spacing w:after="0"/>
              <w:rPr>
                <w:sz w:val="18"/>
                <w:szCs w:val="18"/>
                <w:color w:val="auto"/>
              </w:rPr>
            </w:pPr>
          </w:p>
        </w:tc>
        <w:tc>
          <w:tcPr>
            <w:tcW w:w="256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4"/>
          </w:tcPr>
          <w:p>
            <w:pPr>
              <w:jc w:val="right"/>
              <w:ind w:right="179"/>
              <w:spacing w:after="0"/>
              <w:rPr>
                <w:sz w:val="20"/>
                <w:szCs w:val="20"/>
                <w:color w:val="auto"/>
              </w:rPr>
            </w:pPr>
            <w:r>
              <w:rPr>
                <w:rFonts w:ascii="Arial" w:cs="Arial" w:eastAsia="Arial" w:hAnsi="Arial"/>
                <w:sz w:val="16"/>
                <w:szCs w:val="16"/>
                <w:b w:val="1"/>
                <w:bCs w:val="1"/>
                <w:color w:val="auto"/>
              </w:rPr>
              <w:t>Nine Months Ended</w:t>
            </w:r>
          </w:p>
        </w:tc>
        <w:tc>
          <w:tcPr>
            <w:tcW w:w="500" w:type="dxa"/>
            <w:vAlign w:val="bottom"/>
          </w:tcPr>
          <w:p>
            <w:pPr>
              <w:spacing w:after="0"/>
              <w:rPr>
                <w:sz w:val="18"/>
                <w:szCs w:val="18"/>
                <w:color w:val="auto"/>
              </w:rPr>
            </w:pPr>
          </w:p>
        </w:tc>
      </w:tr>
      <w:tr>
        <w:trPr>
          <w:trHeight w:val="283"/>
        </w:trPr>
        <w:tc>
          <w:tcPr>
            <w:tcW w:w="51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6"/>
                <w:szCs w:val="16"/>
                <w:b w:val="1"/>
                <w:bCs w:val="1"/>
                <w:color w:val="auto"/>
              </w:rPr>
              <w:t>September 30,</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6"/>
                <w:szCs w:val="16"/>
                <w:b w:val="1"/>
                <w:bCs w:val="1"/>
                <w:color w:val="auto"/>
              </w:rPr>
              <w:t>September 30,</w:t>
            </w:r>
          </w:p>
        </w:tc>
        <w:tc>
          <w:tcPr>
            <w:tcW w:w="500" w:type="dxa"/>
            <w:vAlign w:val="bottom"/>
            <w:tcBorders>
              <w:bottom w:val="single" w:sz="8" w:color="auto"/>
            </w:tcBorders>
          </w:tcPr>
          <w:p>
            <w:pPr>
              <w:spacing w:after="0"/>
              <w:rPr>
                <w:sz w:val="24"/>
                <w:szCs w:val="24"/>
                <w:color w:val="auto"/>
              </w:rPr>
            </w:pPr>
          </w:p>
        </w:tc>
      </w:tr>
      <w:tr>
        <w:trPr>
          <w:trHeight w:val="264"/>
        </w:trPr>
        <w:tc>
          <w:tcPr>
            <w:tcW w:w="516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500" w:type="dxa"/>
            <w:vAlign w:val="bottom"/>
            <w:tcBorders>
              <w:bottom w:val="single" w:sz="8" w:color="auto"/>
            </w:tcBorders>
          </w:tcPr>
          <w:p>
            <w:pPr>
              <w:spacing w:after="0"/>
              <w:rPr>
                <w:sz w:val="22"/>
                <w:szCs w:val="22"/>
                <w:color w:val="auto"/>
              </w:rPr>
            </w:pPr>
          </w:p>
        </w:tc>
      </w:tr>
      <w:tr>
        <w:trPr>
          <w:trHeight w:val="247"/>
        </w:trPr>
        <w:tc>
          <w:tcPr>
            <w:tcW w:w="5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0" w:type="dxa"/>
            <w:vAlign w:val="bottom"/>
            <w:gridSpan w:val="3"/>
          </w:tcPr>
          <w:p>
            <w:pPr>
              <w:jc w:val="right"/>
              <w:ind w:right="379"/>
              <w:spacing w:after="0"/>
              <w:rPr>
                <w:sz w:val="20"/>
                <w:szCs w:val="20"/>
                <w:color w:val="auto"/>
              </w:rPr>
            </w:pPr>
            <w:r>
              <w:rPr>
                <w:rFonts w:ascii="Arial" w:cs="Arial" w:eastAsia="Arial" w:hAnsi="Arial"/>
                <w:sz w:val="16"/>
                <w:szCs w:val="16"/>
                <w:b w:val="1"/>
                <w:bCs w:val="1"/>
                <w:color w:val="auto"/>
              </w:rPr>
              <w:t>(in thousands)</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 exchange gain (loss)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(expense)</w:t>
            </w:r>
          </w:p>
        </w:tc>
        <w:tc>
          <w:tcPr>
            <w:tcW w:w="9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r>
      <w:tr>
        <w:trPr>
          <w:trHeight w:val="24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expense, net</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w:t>
            </w:r>
          </w:p>
        </w:tc>
      </w:tr>
      <w:tr>
        <w:trPr>
          <w:trHeight w:val="20"/>
        </w:trPr>
        <w:tc>
          <w:tcPr>
            <w:tcW w:w="5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247" w:lineRule="exact"/>
        <w:rPr>
          <w:sz w:val="20"/>
          <w:szCs w:val="20"/>
          <w:color w:val="auto"/>
        </w:rPr>
      </w:pPr>
    </w:p>
    <w:p>
      <w:pPr>
        <w:jc w:val="both"/>
        <w:ind w:right="320" w:firstLine="486"/>
        <w:spacing w:after="0" w:line="256" w:lineRule="auto"/>
        <w:rPr>
          <w:sz w:val="20"/>
          <w:szCs w:val="20"/>
          <w:color w:val="auto"/>
        </w:rPr>
      </w:pPr>
      <w:r>
        <w:rPr>
          <w:rFonts w:ascii="Arial" w:cs="Arial" w:eastAsia="Arial" w:hAnsi="Arial"/>
          <w:sz w:val="18"/>
          <w:szCs w:val="18"/>
          <w:color w:val="auto"/>
        </w:rPr>
        <w:t>The Company recorded an income tax provision of $3.2 million and $ 2.6 million for the three months ended September 30, 2016 and 2015, respectively. The effective income tax rate was approximately 39.2% and 38.7% for the three months ended September 30, 2016 and 2015, respectively.</w:t>
      </w:r>
    </w:p>
    <w:p>
      <w:pPr>
        <w:spacing w:after="0" w:line="202" w:lineRule="exact"/>
        <w:rPr>
          <w:sz w:val="20"/>
          <w:szCs w:val="20"/>
          <w:color w:val="auto"/>
        </w:rPr>
      </w:pPr>
    </w:p>
    <w:p>
      <w:pPr>
        <w:jc w:val="both"/>
        <w:ind w:right="460" w:firstLine="486"/>
        <w:spacing w:after="0" w:line="256" w:lineRule="auto"/>
        <w:rPr>
          <w:sz w:val="20"/>
          <w:szCs w:val="20"/>
          <w:color w:val="auto"/>
        </w:rPr>
      </w:pPr>
      <w:r>
        <w:rPr>
          <w:rFonts w:ascii="Arial" w:cs="Arial" w:eastAsia="Arial" w:hAnsi="Arial"/>
          <w:sz w:val="18"/>
          <w:szCs w:val="18"/>
          <w:color w:val="auto"/>
        </w:rPr>
        <w:t>The Company recorded an income tax provision of $8.4 million and $6.6 million for the nine months ended September 30, 2016 and 2015, respectively. The effective income tax rate for the nine months ended September 30, 2016 and 2015 was approximately 38.7% and 38.6%, respectively.</w:t>
      </w:r>
    </w:p>
    <w:p>
      <w:pPr>
        <w:spacing w:after="0" w:line="202" w:lineRule="exact"/>
        <w:rPr>
          <w:sz w:val="20"/>
          <w:szCs w:val="20"/>
          <w:color w:val="auto"/>
        </w:rPr>
      </w:pPr>
    </w:p>
    <w:p>
      <w:pPr>
        <w:ind w:right="320" w:firstLine="486"/>
        <w:spacing w:after="0" w:line="256" w:lineRule="auto"/>
        <w:rPr>
          <w:sz w:val="20"/>
          <w:szCs w:val="20"/>
          <w:color w:val="auto"/>
        </w:rPr>
      </w:pPr>
      <w:r>
        <w:rPr>
          <w:rFonts w:ascii="Arial" w:cs="Arial" w:eastAsia="Arial" w:hAnsi="Arial"/>
          <w:sz w:val="18"/>
          <w:szCs w:val="18"/>
          <w:color w:val="231F20"/>
        </w:rPr>
        <w:t xml:space="preserve">As of September 30, 2016, the Company had unrecognized tax benefits of </w:t>
      </w:r>
      <w:r>
        <w:rPr>
          <w:rFonts w:ascii="Arial" w:cs="Arial" w:eastAsia="Arial" w:hAnsi="Arial"/>
          <w:sz w:val="18"/>
          <w:szCs w:val="18"/>
          <w:color w:val="000000"/>
        </w:rPr>
        <w:t>$4.2 million</w:t>
      </w:r>
      <w:r>
        <w:rPr>
          <w:rFonts w:ascii="Arial" w:cs="Arial" w:eastAsia="Arial" w:hAnsi="Arial"/>
          <w:sz w:val="18"/>
          <w:szCs w:val="18"/>
          <w:color w:val="231F20"/>
        </w:rPr>
        <w:t xml:space="preserve">, of which </w:t>
      </w:r>
      <w:r>
        <w:rPr>
          <w:rFonts w:ascii="Arial" w:cs="Arial" w:eastAsia="Arial" w:hAnsi="Arial"/>
          <w:sz w:val="18"/>
          <w:szCs w:val="18"/>
          <w:color w:val="000000"/>
        </w:rPr>
        <w:t>$2.5 million</w:t>
      </w:r>
      <w:r>
        <w:rPr>
          <w:rFonts w:ascii="Arial" w:cs="Arial" w:eastAsia="Arial" w:hAnsi="Arial"/>
          <w:sz w:val="18"/>
          <w:szCs w:val="18"/>
          <w:color w:val="231F20"/>
        </w:rPr>
        <w:t>, if recognized, would favorably impact the Company's effective tax rate. As of December 31, 2015, the Company had unrecognized tax benefits of $3.5 million, of which $2.1 million, if recognized, would favorably impact the Company's effective tax rate.</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Company does not anticipate a material change in its unrecognized tax benefits in the next 12 months.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1"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color w:val="231F20"/>
        </w:rPr>
        <w:t>Segment Information and Information about Geographic Area</w:t>
      </w:r>
    </w:p>
    <w:p>
      <w:pPr>
        <w:spacing w:after="0" w:line="24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231F20"/>
        </w:rPr>
        <w:t xml:space="preserve">The Company operates in </w:t>
      </w:r>
      <w:r>
        <w:rPr>
          <w:rFonts w:ascii="Arial" w:cs="Arial" w:eastAsia="Arial" w:hAnsi="Arial"/>
          <w:sz w:val="18"/>
          <w:szCs w:val="18"/>
          <w:color w:val="000000"/>
        </w:rPr>
        <w:t>one</w:t>
      </w:r>
      <w:r>
        <w:rPr>
          <w:rFonts w:ascii="Arial" w:cs="Arial" w:eastAsia="Arial" w:hAnsi="Arial"/>
          <w:sz w:val="18"/>
          <w:szCs w:val="18"/>
          <w:color w:val="231F20"/>
        </w:rPr>
        <w:t xml:space="preserve"> segment. The Company’s chief operating decision maker is the Chairman, President and Chief Executive Officer, who makes operating decisions, assesses performance and allocates resources on a consolidated basis. All of the Company’s principal operations and decision-making functions are located in the United States. Revenues by geographic area, based on the location of the customer, are as follows: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8"/>
                <w:szCs w:val="18"/>
                <w:color w:val="auto"/>
              </w:rPr>
            </w:pPr>
          </w:p>
        </w:tc>
        <w:tc>
          <w:tcPr>
            <w:tcW w:w="252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5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24"/>
                <w:szCs w:val="24"/>
                <w:color w:val="auto"/>
              </w:rPr>
            </w:pPr>
          </w:p>
        </w:tc>
      </w:tr>
      <w:tr>
        <w:trPr>
          <w:trHeight w:val="264"/>
        </w:trPr>
        <w:tc>
          <w:tcPr>
            <w:tcW w:w="51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47"/>
        </w:trPr>
        <w:tc>
          <w:tcPr>
            <w:tcW w:w="5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35,965</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29,993</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102,850</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84,463</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15,022</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12,476</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42,851</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35,376</w:t>
            </w:r>
          </w:p>
        </w:tc>
      </w:tr>
      <w:tr>
        <w:trPr>
          <w:trHeight w:val="24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50,987</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42,469</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145,701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119,839</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Property and equipment, net, by geographic area, are as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83"/>
        </w:trPr>
        <w:tc>
          <w:tcPr>
            <w:tcW w:w="8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47"/>
        </w:trPr>
        <w:tc>
          <w:tcPr>
            <w:tcW w:w="8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0" w:type="dxa"/>
            <w:vAlign w:val="bottom"/>
            <w:gridSpan w:val="4"/>
          </w:tcPr>
          <w:p>
            <w:pPr>
              <w:jc w:val="right"/>
              <w:ind w:right="93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32,429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25,623</w:t>
            </w:r>
          </w:p>
        </w:tc>
      </w:tr>
      <w:tr>
        <w:trPr>
          <w:trHeight w:val="26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8,241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5,706</w:t>
            </w:r>
          </w:p>
        </w:tc>
      </w:tr>
      <w:tr>
        <w:trPr>
          <w:trHeight w:val="24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property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40,670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31,329</w:t>
            </w:r>
          </w:p>
        </w:tc>
      </w:tr>
      <w:tr>
        <w:trPr>
          <w:trHeight w:val="20"/>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10.Net Income Per Share</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computations for basic and diluted net income per share are as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8"/>
                <w:szCs w:val="18"/>
                <w:color w:val="auto"/>
              </w:rPr>
            </w:pPr>
          </w:p>
        </w:tc>
        <w:tc>
          <w:tcPr>
            <w:tcW w:w="272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5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24"/>
                <w:szCs w:val="24"/>
                <w:color w:val="auto"/>
              </w:rPr>
            </w:pPr>
          </w:p>
        </w:tc>
      </w:tr>
      <w:tr>
        <w:trPr>
          <w:trHeight w:val="264"/>
        </w:trPr>
        <w:tc>
          <w:tcPr>
            <w:tcW w:w="51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37"/>
        </w:trPr>
        <w:tc>
          <w:tcPr>
            <w:tcW w:w="5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gridSpan w:val="6"/>
          </w:tcPr>
          <w:p>
            <w:pPr>
              <w:ind w:left="80"/>
              <w:spacing w:after="0"/>
              <w:rPr>
                <w:sz w:val="20"/>
                <w:szCs w:val="20"/>
                <w:color w:val="auto"/>
              </w:rPr>
            </w:pPr>
            <w:r>
              <w:rPr>
                <w:rFonts w:ascii="Arial" w:cs="Arial" w:eastAsia="Arial" w:hAnsi="Arial"/>
                <w:sz w:val="16"/>
                <w:szCs w:val="16"/>
                <w:b w:val="1"/>
                <w:bCs w:val="1"/>
                <w:color w:val="auto"/>
              </w:rPr>
              <w:t>(in thousands, except per share data)</w:t>
            </w: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80"/>
        </w:trPr>
        <w:tc>
          <w:tcPr>
            <w:tcW w:w="5140" w:type="dxa"/>
            <w:vAlign w:val="bottom"/>
          </w:tcPr>
          <w:p>
            <w:pPr>
              <w:ind w:left="40"/>
              <w:spacing w:after="0"/>
              <w:rPr>
                <w:sz w:val="20"/>
                <w:szCs w:val="20"/>
                <w:color w:val="auto"/>
              </w:rPr>
            </w:pPr>
            <w:r>
              <w:rPr>
                <w:rFonts w:ascii="Arial" w:cs="Arial" w:eastAsia="Arial" w:hAnsi="Arial"/>
                <w:sz w:val="16"/>
                <w:szCs w:val="16"/>
                <w:color w:val="auto"/>
              </w:rPr>
              <w:t>Numerator:</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80"/>
        </w:trPr>
        <w:tc>
          <w:tcPr>
            <w:tcW w:w="51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4,996</w:t>
            </w:r>
          </w:p>
        </w:tc>
        <w:tc>
          <w:tcPr>
            <w:tcW w:w="10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4,123</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13,317</w:t>
            </w:r>
          </w:p>
        </w:tc>
        <w:tc>
          <w:tcPr>
            <w:tcW w:w="10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10,441</w:t>
            </w:r>
          </w:p>
        </w:tc>
      </w:tr>
      <w:tr>
        <w:trPr>
          <w:trHeight w:val="254"/>
        </w:trPr>
        <w:tc>
          <w:tcPr>
            <w:tcW w:w="5140" w:type="dxa"/>
            <w:vAlign w:val="bottom"/>
          </w:tcPr>
          <w:p>
            <w:pPr>
              <w:ind w:left="40"/>
              <w:spacing w:after="0"/>
              <w:rPr>
                <w:sz w:val="20"/>
                <w:szCs w:val="20"/>
                <w:color w:val="auto"/>
              </w:rPr>
            </w:pPr>
            <w:r>
              <w:rPr>
                <w:rFonts w:ascii="Arial" w:cs="Arial" w:eastAsia="Arial" w:hAnsi="Arial"/>
                <w:sz w:val="16"/>
                <w:szCs w:val="16"/>
                <w:color w:val="auto"/>
              </w:rPr>
              <w:t>Denominator:</w:t>
            </w: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51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Weighted-average shares used in computing net income per share:</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0"/>
        </w:trPr>
        <w:tc>
          <w:tcPr>
            <w:tcW w:w="5140" w:type="dxa"/>
            <w:vAlign w:val="bottom"/>
          </w:tcPr>
          <w:p>
            <w:pPr>
              <w:ind w:left="500"/>
              <w:spacing w:after="0"/>
              <w:rPr>
                <w:sz w:val="20"/>
                <w:szCs w:val="20"/>
                <w:color w:val="auto"/>
              </w:rPr>
            </w:pPr>
            <w:r>
              <w:rPr>
                <w:rFonts w:ascii="Arial" w:cs="Arial" w:eastAsia="Arial" w:hAnsi="Arial"/>
                <w:sz w:val="16"/>
                <w:szCs w:val="16"/>
                <w:color w:val="auto"/>
              </w:rPr>
              <w:t>Basic</w:t>
            </w:r>
          </w:p>
        </w:tc>
        <w:tc>
          <w:tcPr>
            <w:tcW w:w="34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35,477</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34,119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35,074</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33,967</w:t>
            </w:r>
          </w:p>
        </w:tc>
      </w:tr>
      <w:tr>
        <w:trPr>
          <w:trHeight w:val="280"/>
        </w:trPr>
        <w:tc>
          <w:tcPr>
            <w:tcW w:w="51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Effect of potentially dilutive securities:</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0"/>
        </w:trPr>
        <w:tc>
          <w:tcPr>
            <w:tcW w:w="5140" w:type="dxa"/>
            <w:vAlign w:val="bottom"/>
          </w:tcPr>
          <w:p>
            <w:pPr>
              <w:ind w:left="600"/>
              <w:spacing w:after="0"/>
              <w:rPr>
                <w:sz w:val="20"/>
                <w:szCs w:val="20"/>
                <w:color w:val="auto"/>
              </w:rPr>
            </w:pPr>
            <w:r>
              <w:rPr>
                <w:rFonts w:ascii="Arial" w:cs="Arial" w:eastAsia="Arial" w:hAnsi="Arial"/>
                <w:sz w:val="16"/>
                <w:szCs w:val="16"/>
                <w:color w:val="auto"/>
              </w:rPr>
              <w:t>Common stock options</w:t>
            </w:r>
          </w:p>
        </w:tc>
        <w:tc>
          <w:tcPr>
            <w:tcW w:w="34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3,103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3,819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3,089</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4,235</w:t>
            </w:r>
          </w:p>
        </w:tc>
      </w:tr>
      <w:tr>
        <w:trPr>
          <w:trHeight w:val="273"/>
        </w:trPr>
        <w:tc>
          <w:tcPr>
            <w:tcW w:w="51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Restricted stock units</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50"/>
        </w:trPr>
        <w:tc>
          <w:tcPr>
            <w:tcW w:w="51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Diluted</w:t>
            </w:r>
          </w:p>
        </w:tc>
        <w:tc>
          <w:tcPr>
            <w:tcW w:w="34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38,712</w:t>
            </w:r>
          </w:p>
        </w:tc>
        <w:tc>
          <w:tcPr>
            <w:tcW w:w="10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37,938</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38,205</w:t>
            </w:r>
          </w:p>
        </w:tc>
        <w:tc>
          <w:tcPr>
            <w:tcW w:w="100" w:type="dxa"/>
            <w:vAlign w:val="bottom"/>
            <w:tcBorders>
              <w:bottom w:val="single" w:sz="8" w:color="CCEEFF"/>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38,202</w:t>
            </w: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per share:</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94"/>
        </w:trPr>
        <w:tc>
          <w:tcPr>
            <w:tcW w:w="51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0.14</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0.12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0.38</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0.31</w:t>
            </w:r>
          </w:p>
        </w:tc>
      </w:tr>
      <w:tr>
        <w:trPr>
          <w:trHeight w:val="224"/>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0.11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0.35</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0.27</w:t>
            </w:r>
          </w:p>
        </w:tc>
      </w:tr>
      <w:tr>
        <w:trPr>
          <w:trHeight w:val="20"/>
        </w:trPr>
        <w:tc>
          <w:tcPr>
            <w:tcW w:w="5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141" w:right="239" w:bottom="1440" w:gutter="0" w:footer="0" w:header="0"/>
          <w:type w:val="continuous"/>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231F20"/>
        </w:rPr>
        <w:t>Potentially dilutive securities not included in the calculation of diluted net income per share because doing so would be antidilutive are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40" w:type="dxa"/>
            <w:vAlign w:val="bottom"/>
          </w:tcPr>
          <w:p>
            <w:pPr>
              <w:spacing w:after="0"/>
              <w:rPr>
                <w:sz w:val="18"/>
                <w:szCs w:val="18"/>
                <w:color w:val="auto"/>
              </w:rPr>
            </w:pPr>
          </w:p>
        </w:tc>
        <w:tc>
          <w:tcPr>
            <w:tcW w:w="2560" w:type="dxa"/>
            <w:vAlign w:val="bottom"/>
            <w:gridSpan w:val="4"/>
          </w:tcPr>
          <w:p>
            <w:pPr>
              <w:jc w:val="center"/>
              <w:ind w:left="479"/>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40" w:type="dxa"/>
            <w:vAlign w:val="bottom"/>
            <w:gridSpan w:val="4"/>
          </w:tcPr>
          <w:p>
            <w:pPr>
              <w:jc w:val="center"/>
              <w:ind w:right="41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51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6"/>
                <w:szCs w:val="16"/>
                <w:b w:val="1"/>
                <w:bCs w:val="1"/>
                <w:color w:val="auto"/>
              </w:rPr>
              <w:t>September 30,</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left="359"/>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24"/>
                <w:szCs w:val="24"/>
                <w:color w:val="auto"/>
              </w:rPr>
            </w:pPr>
          </w:p>
        </w:tc>
      </w:tr>
      <w:tr>
        <w:trPr>
          <w:trHeight w:val="264"/>
        </w:trPr>
        <w:tc>
          <w:tcPr>
            <w:tcW w:w="61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2016</w:t>
            </w:r>
          </w:p>
        </w:tc>
        <w:tc>
          <w:tcPr>
            <w:tcW w:w="160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2015</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47"/>
        </w:trPr>
        <w:tc>
          <w:tcPr>
            <w:tcW w:w="514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(in thousands)</w:t>
            </w: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r>
      <w:tr>
        <w:trPr>
          <w:trHeight w:val="280"/>
        </w:trPr>
        <w:tc>
          <w:tcPr>
            <w:tcW w:w="61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Common stock options</w:t>
            </w:r>
          </w:p>
        </w:tc>
        <w:tc>
          <w:tcPr>
            <w:tcW w:w="5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99"/>
              </w:rPr>
              <w:t>2,881</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1,889</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3,594</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1,409</w:t>
            </w:r>
          </w:p>
        </w:tc>
      </w:tr>
      <w:tr>
        <w:trPr>
          <w:trHeight w:val="264"/>
        </w:trPr>
        <w:tc>
          <w:tcPr>
            <w:tcW w:w="6100" w:type="dxa"/>
            <w:vAlign w:val="bottom"/>
            <w:gridSpan w:val="2"/>
          </w:tcPr>
          <w:p>
            <w:pPr>
              <w:ind w:left="40"/>
              <w:spacing w:after="0"/>
              <w:rPr>
                <w:sz w:val="20"/>
                <w:szCs w:val="20"/>
                <w:color w:val="auto"/>
              </w:rPr>
            </w:pPr>
            <w:r>
              <w:rPr>
                <w:rFonts w:ascii="Arial" w:cs="Arial" w:eastAsia="Arial" w:hAnsi="Arial"/>
                <w:sz w:val="16"/>
                <w:szCs w:val="16"/>
                <w:color w:val="auto"/>
              </w:rPr>
              <w:t>Restricted stock units</w:t>
            </w:r>
          </w:p>
        </w:tc>
        <w:tc>
          <w:tcPr>
            <w:tcW w:w="1600" w:type="dxa"/>
            <w:vAlign w:val="bottom"/>
            <w:gridSpan w:val="3"/>
          </w:tcPr>
          <w:p>
            <w:pPr>
              <w:jc w:val="right"/>
              <w:ind w:right="1180"/>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7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36"/>
        </w:trPr>
        <w:tc>
          <w:tcPr>
            <w:tcW w:w="514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99"/>
              </w:rPr>
              <w:t>2,881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1,889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1,409</w:t>
            </w:r>
          </w:p>
        </w:tc>
      </w:tr>
      <w:tr>
        <w:trPr>
          <w:trHeight w:val="20"/>
        </w:trPr>
        <w:tc>
          <w:tcPr>
            <w:tcW w:w="5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11.Subsequent Event</w:t>
      </w:r>
    </w:p>
    <w:p>
      <w:pPr>
        <w:spacing w:after="0" w:line="247" w:lineRule="exact"/>
        <w:rPr>
          <w:sz w:val="20"/>
          <w:szCs w:val="20"/>
          <w:color w:val="auto"/>
        </w:rPr>
      </w:pPr>
    </w:p>
    <w:p>
      <w:pPr>
        <w:jc w:val="both"/>
        <w:ind w:right="120" w:firstLine="648"/>
        <w:spacing w:after="0" w:line="254" w:lineRule="auto"/>
        <w:rPr>
          <w:sz w:val="20"/>
          <w:szCs w:val="20"/>
          <w:color w:val="auto"/>
        </w:rPr>
      </w:pPr>
      <w:r>
        <w:rPr>
          <w:rFonts w:ascii="Arial" w:cs="Arial" w:eastAsia="Arial" w:hAnsi="Arial"/>
          <w:sz w:val="18"/>
          <w:szCs w:val="18"/>
          <w:color w:val="auto"/>
        </w:rPr>
        <w:t>On October 14, 2016, the Company entered into a lease agreement for its new headquarter office facility. The lease commences May 1, 2018 and has a ten-year term through April 2028. The total commitment of $ 37.8 million is payable monthly with escalating rental payments throughout the lease term. The Company will be provided access to the facility on or around February 1, 2017 to begin construction of certain leasehold improvements.</w:t>
      </w:r>
    </w:p>
    <w:p>
      <w:pPr>
        <w:spacing w:after="0" w:line="204" w:lineRule="exact"/>
        <w:rPr>
          <w:sz w:val="20"/>
          <w:szCs w:val="20"/>
          <w:color w:val="auto"/>
        </w:rPr>
      </w:pPr>
    </w:p>
    <w:p>
      <w:pPr>
        <w:ind w:right="860" w:firstLine="648"/>
        <w:spacing w:after="0" w:line="262" w:lineRule="auto"/>
        <w:rPr>
          <w:sz w:val="20"/>
          <w:szCs w:val="20"/>
          <w:color w:val="auto"/>
        </w:rPr>
      </w:pPr>
      <w:r>
        <w:rPr>
          <w:rFonts w:ascii="Arial" w:cs="Arial" w:eastAsia="Arial" w:hAnsi="Arial"/>
          <w:sz w:val="18"/>
          <w:szCs w:val="18"/>
          <w:color w:val="auto"/>
        </w:rPr>
        <w:t>In connection with this lease, the Company has provided the landlord with a $1.2 million standby letter of credit to secure the Company’s obligations through the end of the lease term.</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41" w:right="25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Management's Discussion and Analysis of Financial Condition and Results of Operations</w:t>
      </w:r>
    </w:p>
    <w:p>
      <w:pPr>
        <w:spacing w:after="0" w:line="229" w:lineRule="exact"/>
        <w:rPr>
          <w:sz w:val="20"/>
          <w:szCs w:val="20"/>
          <w:color w:val="auto"/>
        </w:rPr>
      </w:pPr>
    </w:p>
    <w:p>
      <w:pPr>
        <w:ind w:right="80" w:firstLine="405"/>
        <w:spacing w:after="0" w:line="258" w:lineRule="auto"/>
        <w:rPr>
          <w:sz w:val="20"/>
          <w:szCs w:val="20"/>
          <w:color w:val="auto"/>
        </w:rPr>
      </w:pPr>
      <w:r>
        <w:rPr>
          <w:rFonts w:ascii="Arial" w:cs="Arial" w:eastAsia="Arial" w:hAnsi="Arial"/>
          <w:sz w:val="18"/>
          <w:szCs w:val="18"/>
          <w:i w:val="1"/>
          <w:iCs w:val="1"/>
          <w:color w:val="231F20"/>
        </w:rPr>
        <w:t>This Quarterly Report on Form 10-Q, including this Management’s Discussion and Analysis of Financial Condition and Results of Operations, should be read in conjunction with (1) our condensed consolidated financial statements (unaudited) and the related notes included elsewhere in this report, and (2) the audited consolidated financial statements and the related notes and management’s discussion and analysis of financial condition and results of operations included in our Annual Report on Form 10-K for the fiscal year ended December 31, 2015, filed with the Securities and Exchange Commission, or SEC, on February 26, 2016.</w:t>
      </w:r>
    </w:p>
    <w:p>
      <w:pPr>
        <w:spacing w:after="0" w:line="184"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i w:val="1"/>
          <w:iCs w:val="1"/>
          <w:color w:val="231F20"/>
        </w:rPr>
        <w:t>In addition to historical information, this Quarterly Report on Form 10-Q contains “forward-looking” statements within the meaning of Section 21E of the Securities Exchange Act of 1934, as amended, or the Exchange Act. Forward-looking statements generally relate to future events or our future financial or operating performance. In some cases, it is possible to identify forward-looking statements because they contain words such as “anticipates,” “believes,” “contemplates,” “continue,” “could,” “estimates,” “expects,” “future,” “intends,” “likely,” “may,” “plans,” “potential,” “predicts,” “projects,” “seek,” “should,” “target,” or “will,”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89" w:lineRule="exact"/>
        <w:rPr>
          <w:sz w:val="20"/>
          <w:szCs w:val="20"/>
          <w:color w:val="auto"/>
        </w:rPr>
      </w:pPr>
    </w:p>
    <w:p>
      <w:pPr>
        <w:ind w:left="1060" w:right="180" w:hanging="323"/>
        <w:spacing w:after="0" w:line="260"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financial performance, including our revenues, costs, expenditures, growth rates, operating expenses and ability to generate positive cash flow to fund our operations and sustain profitability;</w:t>
      </w:r>
    </w:p>
    <w:p>
      <w:pPr>
        <w:spacing w:after="0" w:line="1"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anticipated technology trends, such as the use of cloud solutions;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adapt to changing market conditions;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economic and financial conditions, including volatility in foreign exchange rates;</w:t>
      </w:r>
    </w:p>
    <w:p>
      <w:pPr>
        <w:spacing w:after="0" w:line="9" w:lineRule="exact"/>
        <w:rPr>
          <w:rFonts w:ascii="Arial" w:cs="Arial" w:eastAsia="Arial" w:hAnsi="Arial"/>
          <w:sz w:val="18"/>
          <w:szCs w:val="18"/>
          <w:i w:val="1"/>
          <w:iCs w:val="1"/>
          <w:color w:val="auto"/>
        </w:rPr>
      </w:pPr>
    </w:p>
    <w:p>
      <w:pPr>
        <w:ind w:left="1060" w:right="320" w:hanging="323"/>
        <w:spacing w:after="0" w:line="250" w:lineRule="auto"/>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diversify our sources of revenues, including selling additional solutions to our existing customers and our ability to pursue new customers;</w:t>
      </w: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the effects of increased competition in our market;</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ability to innovate and enhance our cloud solutions and platform and introduce new solutions;</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effectively manage our growth;</w:t>
      </w:r>
    </w:p>
    <w:p>
      <w:pPr>
        <w:spacing w:after="0" w:line="9" w:lineRule="exact"/>
        <w:rPr>
          <w:rFonts w:ascii="Arial" w:cs="Arial" w:eastAsia="Arial" w:hAnsi="Arial"/>
          <w:sz w:val="18"/>
          <w:szCs w:val="18"/>
          <w:i w:val="1"/>
          <w:iCs w:val="1"/>
          <w:color w:val="auto"/>
        </w:rPr>
      </w:pPr>
    </w:p>
    <w:p>
      <w:pPr>
        <w:ind w:left="1060" w:right="680" w:hanging="323"/>
        <w:spacing w:after="0" w:line="250" w:lineRule="auto"/>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anticipated investments in sales and marketing, our infrastructure, new solutions, and research and development, and acquisitions;</w:t>
      </w: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maintaining and expanding our relationships with channel partners;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maintain, protect and enhance our brand and intellectual property;</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costs associated with defending intellectual property infringement and other claims;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attract and retain qualified employees and key personnel, including sales and marketing personnel;</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successfully enter new markets and manage our international expansion;</w:t>
      </w:r>
    </w:p>
    <w:p>
      <w:pPr>
        <w:spacing w:after="0" w:line="9" w:lineRule="exact"/>
        <w:rPr>
          <w:rFonts w:ascii="Arial" w:cs="Arial" w:eastAsia="Arial" w:hAnsi="Arial"/>
          <w:sz w:val="18"/>
          <w:szCs w:val="18"/>
          <w:i w:val="1"/>
          <w:iCs w:val="1"/>
          <w:color w:val="auto"/>
        </w:rPr>
      </w:pPr>
    </w:p>
    <w:p>
      <w:pPr>
        <w:ind w:left="1060" w:right="20" w:hanging="323"/>
        <w:spacing w:after="0" w:line="250"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expectations, assumptions and conclusions related to our provision for income taxes, our deferred tax assets and our effective tax rate; and</w:t>
      </w:r>
    </w:p>
    <w:p>
      <w:pPr>
        <w:ind w:left="1060" w:right="920" w:hanging="323"/>
        <w:spacing w:after="0" w:line="262" w:lineRule="auto"/>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other factors discussed in this Quarterly Report on Form 10-Q in the sections titled “Risk Factors” and “Management's Discussion and Analysis of Financial Condition and Results of Operations.”</w:t>
      </w:r>
    </w:p>
    <w:p>
      <w:pPr>
        <w:spacing w:after="0" w:line="17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231F20"/>
        </w:rPr>
        <w:t>We have based the forward-looking statements contained in this Quarterly Report on Form 10-Q primarily on our current expectations and projections about future events and trends that we believe may affect our business, financial condition, results of operations and prospects. The results, events and circumstances reflected in these forward-looking statements are subject to risks, uncertainties, assumptions, and other factors including those described in Part II, Item 1A (Risk Factors) of this Quarterly Report and those discussed in other documents we file with the SEC. Moreover, we operate in a very competitive and rapidly changing environment. New risks and uncertainties emerge from time to time, and it is not possible for us to predict all risks and uncertainties that could have an impact on the forward-looking statements used herein. We cannot provide assurance that the results, events, and circumstances reflected in the forward-looking statements will be achieved or occur, and actual results, events or circumstances could differ materially from those described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09"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220"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We are a pioneer and leading provider of cloud-based security and compliance solutions that enable organizations to identify security risks to their IT infrastructures, help protect their IT systems and applications from ever-evolving cyber-attacks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Our integrated suite of security and compliance solutions delivered on our Qualys Cloud Platform enables our customers to identify their IT assets, collect and analyze large amounts of IT security data, discover and prioritize vulnerabilities, recommend remediation actions and verify the implementation of such actions. Organizations use our integrated suite of solutions delivered on our Qualys Cloud Platform to cost-effectively obtain a unified view of their security and compliance posture across globally-distributed IT infrastructures.</w:t>
      </w:r>
    </w:p>
    <w:p>
      <w:pPr>
        <w:spacing w:after="0" w:line="213"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231F20"/>
        </w:rPr>
        <w:t xml:space="preserve">We were founded and incorporated in December 1999 with a vision of transforming the way organizations secure and protect their IT infrastructure and applications and initially launched our first cloud solution, Qualys Vulnerability Management (VM), in 2000. As this solution gained acceptance, we introduced new solutions to help customers manage increasing IT security and compliance requirements, including PCI Compliance, Policy Compliance, Web Application Scanning, Malware Detection Service and Qualys SECURE Seal. In 2012, we introduced our virtualized private cloud platform as an additional deployment option of our solutions for customers and partners. In 2014, we released Continuous Monitoring (CM) for internet-facing systems, which allows customers to continuously monitor their mission-critical assets and to be alerted to security vulnerabilities or misconfigurations that may make them more susceptible to a cyber-attack and in 2015, we introduced our Cloud Agent Platform (CAP), which provides customers </w:t>
      </w:r>
      <w:r>
        <w:rPr>
          <w:rFonts w:ascii="Arial" w:cs="Arial" w:eastAsia="Arial" w:hAnsi="Arial"/>
          <w:sz w:val="18"/>
          <w:szCs w:val="18"/>
          <w:color w:val="000000"/>
        </w:rPr>
        <w:t>with the ability to secure IT assets on a continuous basis regardless of where they</w:t>
      </w:r>
      <w:r>
        <w:rPr>
          <w:rFonts w:ascii="Arial" w:cs="Arial" w:eastAsia="Arial" w:hAnsi="Arial"/>
          <w:sz w:val="18"/>
          <w:szCs w:val="18"/>
          <w:color w:val="231F20"/>
        </w:rPr>
        <w:t xml:space="preserve"> </w:t>
      </w:r>
      <w:r>
        <w:rPr>
          <w:rFonts w:ascii="Arial" w:cs="Arial" w:eastAsia="Arial" w:hAnsi="Arial"/>
          <w:sz w:val="18"/>
          <w:szCs w:val="18"/>
          <w:color w:val="000000"/>
        </w:rPr>
        <w:t>reside, inside the enterprise, in the cloud or mobile endpoints. We continue to add new offerings, such as ThreatPROTECT, which adds functionality to our core VM and POL services and expand the scope of our capabilities. We expect the sales of multiple, fully-integrated cloud based security offerings on our platform will contribute to the continuing trend of revenue growth.</w:t>
      </w:r>
    </w:p>
    <w:p>
      <w:pPr>
        <w:spacing w:after="0" w:line="212" w:lineRule="exact"/>
        <w:rPr>
          <w:sz w:val="20"/>
          <w:szCs w:val="20"/>
          <w:color w:val="auto"/>
        </w:rPr>
      </w:pPr>
    </w:p>
    <w:p>
      <w:pPr>
        <w:ind w:right="180" w:firstLine="405"/>
        <w:spacing w:after="0" w:line="253" w:lineRule="auto"/>
        <w:rPr>
          <w:sz w:val="20"/>
          <w:szCs w:val="20"/>
          <w:color w:val="auto"/>
        </w:rPr>
      </w:pPr>
      <w:r>
        <w:rPr>
          <w:rFonts w:ascii="Arial" w:cs="Arial" w:eastAsia="Arial" w:hAnsi="Arial"/>
          <w:sz w:val="18"/>
          <w:szCs w:val="18"/>
          <w:color w:val="231F20"/>
        </w:rPr>
        <w:t>We provide our solutions through a software-as-a-service model, primarily with renewable annual subscriptions. These subscriptions require customers to pay a fee in order to access our cloud solutions. We typically invoice our customers for the entire subscription amount at the start of the subscription term, and the invoiced amounts are treated as deferred revenues and recognized ratably over the term of each subscription. We continue to experience significant revenue growth from existing customers as they renew and purchase additional subscriptions.</w:t>
      </w:r>
    </w:p>
    <w:p>
      <w:pPr>
        <w:spacing w:after="0" w:line="165"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We market and sell our solutions to enterprises, government entities and to small and medium-sized businesses across a broad range of industries, including education, financial services, government, healthcare, insurance, manufacturing, media, retail, technology and utilities. In the nine months ended September 30, 2016, approximately 71% of our revenues were derived from customers in the United States. We sell our solutions to enterprises and government entities primarily through our field sales force and to small and medium-sized businesses through our inside sales force. We generate a significant portion of sales through our channel partners, including managed service providers, value-added resellers and consulting firms in the United States and internationally.</w:t>
      </w:r>
    </w:p>
    <w:p>
      <w:pPr>
        <w:spacing w:after="0" w:line="168" w:lineRule="exact"/>
        <w:rPr>
          <w:sz w:val="20"/>
          <w:szCs w:val="20"/>
          <w:color w:val="auto"/>
        </w:rPr>
      </w:pPr>
    </w:p>
    <w:p>
      <w:pPr>
        <w:ind w:right="120" w:firstLine="405"/>
        <w:spacing w:after="0" w:line="262" w:lineRule="auto"/>
        <w:rPr>
          <w:sz w:val="20"/>
          <w:szCs w:val="20"/>
          <w:color w:val="auto"/>
        </w:rPr>
      </w:pPr>
      <w:r>
        <w:rPr>
          <w:rFonts w:ascii="Arial" w:cs="Arial" w:eastAsia="Arial" w:hAnsi="Arial"/>
          <w:sz w:val="18"/>
          <w:szCs w:val="18"/>
          <w:color w:val="231F20"/>
        </w:rPr>
        <w:t xml:space="preserve">Our revenues increased to $145.7 million in the nine months ended September 30, 2016 from </w:t>
      </w:r>
      <w:r>
        <w:rPr>
          <w:rFonts w:ascii="Arial" w:cs="Arial" w:eastAsia="Arial" w:hAnsi="Arial"/>
          <w:sz w:val="18"/>
          <w:szCs w:val="18"/>
          <w:color w:val="000000"/>
        </w:rPr>
        <w:t>$119.8 million</w:t>
      </w:r>
      <w:r>
        <w:rPr>
          <w:rFonts w:ascii="Arial" w:cs="Arial" w:eastAsia="Arial" w:hAnsi="Arial"/>
          <w:sz w:val="18"/>
          <w:szCs w:val="18"/>
          <w:color w:val="231F20"/>
        </w:rPr>
        <w:t xml:space="preserve"> for the comparable period in 2015, representing an increase of $25.9 million or 22%.</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1"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247" w:lineRule="exact"/>
        <w:rPr>
          <w:sz w:val="20"/>
          <w:szCs w:val="20"/>
          <w:color w:val="auto"/>
        </w:rPr>
      </w:pPr>
    </w:p>
    <w:p>
      <w:pPr>
        <w:ind w:right="140" w:firstLine="405"/>
        <w:spacing w:after="0" w:line="256" w:lineRule="auto"/>
        <w:rPr>
          <w:sz w:val="20"/>
          <w:szCs w:val="20"/>
          <w:color w:val="auto"/>
        </w:rPr>
      </w:pPr>
      <w:r>
        <w:rPr>
          <w:rFonts w:ascii="Arial" w:cs="Arial" w:eastAsia="Arial" w:hAnsi="Arial"/>
          <w:sz w:val="18"/>
          <w:szCs w:val="18"/>
          <w:color w:val="auto"/>
        </w:rPr>
        <w:t>In addition to measures of financial performance presented in our condensed consolidated financial statements, we monitor the key metrics set forth below to help us evaluate growth trends, establish budgets, measure the effectiveness of our sales and marketing efforts and assess operational efficiencies.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2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6"/>
          </w:tcPr>
          <w:p>
            <w:pPr>
              <w:jc w:val="center"/>
              <w:ind w:right="29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rPr>
              <w:t>September 30,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gridSpan w:val="5"/>
          </w:tcPr>
          <w:p>
            <w:pPr>
              <w:jc w:val="center"/>
              <w:ind w:left="479"/>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496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6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w w:val="95"/>
              </w:rPr>
              <w:t>2015</w:t>
            </w:r>
          </w:p>
        </w:tc>
      </w:tr>
      <w:tr>
        <w:trPr>
          <w:trHeight w:val="247"/>
        </w:trPr>
        <w:tc>
          <w:tcPr>
            <w:tcW w:w="4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6"/>
                <w:szCs w:val="16"/>
                <w:b w:val="1"/>
                <w:bCs w:val="1"/>
                <w:color w:val="auto"/>
              </w:rPr>
              <w:t>(in thousands, except percentages)</w:t>
            </w: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63"/>
        </w:trPr>
        <w:tc>
          <w:tcPr>
            <w:tcW w:w="40" w:type="dxa"/>
            <w:vAlign w:val="bottom"/>
          </w:tcPr>
          <w:p>
            <w:pPr>
              <w:spacing w:after="0"/>
              <w:rPr>
                <w:sz w:val="22"/>
                <w:szCs w:val="22"/>
                <w:color w:val="auto"/>
              </w:rPr>
            </w:pPr>
          </w:p>
        </w:tc>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17,626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15,137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49,498</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40,212</w:t>
            </w:r>
          </w:p>
        </w:tc>
      </w:tr>
      <w:tr>
        <w:trPr>
          <w:trHeight w:val="20"/>
        </w:trPr>
        <w:tc>
          <w:tcPr>
            <w:tcW w:w="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0"/>
        </w:trPr>
        <w:tc>
          <w:tcPr>
            <w:tcW w:w="4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Arial" w:cs="Arial" w:eastAsia="Arial" w:hAnsi="Arial"/>
                <w:sz w:val="16"/>
                <w:szCs w:val="16"/>
                <w:color w:val="auto"/>
              </w:rPr>
              <w:t>Percentage of revenues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r>
      <w:tr>
        <w:trPr>
          <w:trHeight w:val="602"/>
        </w:trPr>
        <w:tc>
          <w:tcPr>
            <w:tcW w:w="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gridSpan w:val="6"/>
          </w:tcPr>
          <w:p>
            <w:pPr>
              <w:jc w:val="center"/>
              <w:ind w:right="19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center"/>
              <w:ind w:left="559"/>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4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47"/>
        </w:trPr>
        <w:tc>
          <w:tcPr>
            <w:tcW w:w="4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20" w:type="dxa"/>
            <w:vAlign w:val="bottom"/>
            <w:gridSpan w:val="5"/>
          </w:tcPr>
          <w:p>
            <w:pPr>
              <w:jc w:val="center"/>
              <w:ind w:left="619"/>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1"/>
                <w:szCs w:val="21"/>
                <w:color w:val="auto"/>
              </w:rPr>
            </w:pPr>
          </w:p>
        </w:tc>
      </w:tr>
      <w:tr>
        <w:trPr>
          <w:trHeight w:val="263"/>
        </w:trPr>
        <w:tc>
          <w:tcPr>
            <w:tcW w:w="5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Free cash flow</w:t>
            </w: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35,895</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26,704</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Adjusted EBITDA</w:t>
      </w:r>
    </w:p>
    <w:p>
      <w:pPr>
        <w:spacing w:after="0" w:line="247"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pacing w:after="0" w:line="209" w:lineRule="exact"/>
        <w:rPr>
          <w:sz w:val="20"/>
          <w:szCs w:val="20"/>
          <w:color w:val="auto"/>
        </w:rPr>
      </w:pPr>
    </w:p>
    <w:p>
      <w:pPr>
        <w:jc w:val="both"/>
        <w:ind w:right="40" w:firstLine="405"/>
        <w:spacing w:after="0" w:line="254" w:lineRule="auto"/>
        <w:rPr>
          <w:sz w:val="20"/>
          <w:szCs w:val="20"/>
          <w:color w:val="auto"/>
        </w:rPr>
      </w:pPr>
      <w:r>
        <w:rPr>
          <w:rFonts w:ascii="Arial" w:cs="Arial" w:eastAsia="Arial" w:hAnsi="Arial"/>
          <w:sz w:val="18"/>
          <w:szCs w:val="18"/>
          <w:color w:val="auto"/>
        </w:rPr>
        <w:t>Adjusted EBITDA should not be considered in isolation from, or as a substitute for, financial information prepared in accordance with U.S. GAAP. We calculate Adjusted EBITDA as net income before (1) other (income) expense, net, which includes interest income, interest expense and other income and expense, (2) provision for income taxes, (3) depreciation and amortization of property and equipment, (4) amortization of intangible assets,(5) stock-based compensation and (6) other non-recurring adjustments.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1"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unaudited table presents the reconciliation of net income to Adjusted EBITDA for the three and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and 2015:</w:t>
      </w: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8"/>
                <w:szCs w:val="18"/>
                <w:color w:val="auto"/>
              </w:rPr>
            </w:pPr>
          </w:p>
        </w:tc>
        <w:tc>
          <w:tcPr>
            <w:tcW w:w="250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5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24"/>
                <w:szCs w:val="24"/>
                <w:color w:val="auto"/>
              </w:rPr>
            </w:pPr>
          </w:p>
        </w:tc>
      </w:tr>
      <w:tr>
        <w:trPr>
          <w:trHeight w:val="264"/>
        </w:trPr>
        <w:tc>
          <w:tcPr>
            <w:tcW w:w="51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r>
      <w:tr>
        <w:trPr>
          <w:trHeight w:val="247"/>
        </w:trPr>
        <w:tc>
          <w:tcPr>
            <w:tcW w:w="5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80"/>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4,996</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4,123</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13,317</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10,441</w:t>
            </w:r>
          </w:p>
        </w:tc>
      </w:tr>
      <w:tr>
        <w:trPr>
          <w:trHeight w:val="260"/>
        </w:trPr>
        <w:tc>
          <w:tcPr>
            <w:tcW w:w="514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103</w:t>
            </w:r>
          </w:p>
        </w:tc>
      </w:tr>
      <w:tr>
        <w:trPr>
          <w:trHeight w:val="280"/>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3,221</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2,601</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8,417</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6,566</w:t>
            </w:r>
          </w:p>
        </w:tc>
      </w:tr>
      <w:tr>
        <w:trPr>
          <w:trHeight w:val="260"/>
        </w:trPr>
        <w:tc>
          <w:tcPr>
            <w:tcW w:w="5140" w:type="dxa"/>
            <w:vAlign w:val="bottom"/>
          </w:tcPr>
          <w:p>
            <w:pPr>
              <w:ind w:left="20"/>
              <w:spacing w:after="0"/>
              <w:rPr>
                <w:sz w:val="20"/>
                <w:szCs w:val="20"/>
                <w:color w:val="auto"/>
              </w:rPr>
            </w:pPr>
            <w:r>
              <w:rPr>
                <w:rFonts w:ascii="Arial" w:cs="Arial" w:eastAsia="Arial" w:hAnsi="Arial"/>
                <w:sz w:val="16"/>
                <w:szCs w:val="16"/>
                <w:color w:val="auto"/>
              </w:rPr>
              <w:t>Depreciation and amortization of property and equipment</w:t>
            </w:r>
          </w:p>
        </w:tc>
        <w:tc>
          <w:tcPr>
            <w:tcW w:w="3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4,426</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3,741</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12,035</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10,131</w:t>
            </w:r>
          </w:p>
        </w:tc>
      </w:tr>
      <w:tr>
        <w:trPr>
          <w:trHeight w:val="280"/>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329</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293</w:t>
            </w:r>
          </w:p>
        </w:tc>
      </w:tr>
      <w:tr>
        <w:trPr>
          <w:trHeight w:val="260"/>
        </w:trPr>
        <w:tc>
          <w:tcPr>
            <w:tcW w:w="514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3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5,103</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4,421</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15,122</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12,678</w:t>
            </w:r>
          </w:p>
        </w:tc>
      </w:tr>
      <w:tr>
        <w:trPr>
          <w:trHeight w:val="273"/>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One-time tax related expense</w:t>
            </w:r>
          </w:p>
        </w:tc>
        <w:tc>
          <w:tcPr>
            <w:tcW w:w="34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716</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5140" w:type="dxa"/>
            <w:vAlign w:val="bottom"/>
          </w:tcPr>
          <w:p>
            <w:pPr>
              <w:ind w:left="20"/>
              <w:spacing w:after="0"/>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17,626</w:t>
            </w:r>
          </w:p>
        </w:tc>
        <w:tc>
          <w:tcPr>
            <w:tcW w:w="12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15,137</w:t>
            </w:r>
          </w:p>
        </w:tc>
        <w:tc>
          <w:tcPr>
            <w:tcW w:w="12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49,498</w:t>
            </w:r>
          </w:p>
        </w:tc>
        <w:tc>
          <w:tcPr>
            <w:tcW w:w="12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40,212</w:t>
            </w:r>
          </w:p>
        </w:tc>
      </w:tr>
      <w:tr>
        <w:trPr>
          <w:trHeight w:val="20"/>
        </w:trPr>
        <w:tc>
          <w:tcPr>
            <w:tcW w:w="5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firstLine="170"/>
        <w:spacing w:after="0" w:line="287" w:lineRule="auto"/>
        <w:tabs>
          <w:tab w:leader="none" w:pos="297" w:val="left"/>
        </w:tabs>
        <w:numPr>
          <w:ilvl w:val="0"/>
          <w:numId w:val="4"/>
        </w:numPr>
        <w:rPr>
          <w:rFonts w:ascii="Arial" w:cs="Arial" w:eastAsia="Arial" w:hAnsi="Arial"/>
          <w:sz w:val="15"/>
          <w:szCs w:val="15"/>
          <w:i w:val="1"/>
          <w:iCs w:val="1"/>
          <w:color w:val="231F20"/>
          <w:vertAlign w:val="superscript"/>
        </w:rPr>
      </w:pPr>
      <w:r>
        <w:rPr>
          <w:rFonts w:ascii="Arial" w:cs="Arial" w:eastAsia="Arial" w:hAnsi="Arial"/>
          <w:sz w:val="12"/>
          <w:szCs w:val="12"/>
          <w:i w:val="1"/>
          <w:iCs w:val="1"/>
          <w:color w:val="231F20"/>
        </w:rPr>
        <w:t>Adjusted EBITDA for the nine months ended September 30, 2016 excludes approximately $0.7 million of a non-recurring expense related to the remittance of payroll taxes from fiscal year 2013 through May 2016. During this same period, we have not excluded any amounts related to other non-recurring items from Adjusted EBITDA because we have considered such amounts to be immaterial in any given quarter during such period.</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Free Cash Flow</w:t>
      </w:r>
    </w:p>
    <w:p>
      <w:pPr>
        <w:spacing w:after="0" w:line="247" w:lineRule="exact"/>
        <w:rPr>
          <w:sz w:val="20"/>
          <w:szCs w:val="20"/>
          <w:color w:val="auto"/>
        </w:rPr>
      </w:pPr>
    </w:p>
    <w:p>
      <w:pPr>
        <w:ind w:right="180" w:firstLine="405"/>
        <w:spacing w:after="0" w:line="252" w:lineRule="auto"/>
        <w:rPr>
          <w:sz w:val="20"/>
          <w:szCs w:val="20"/>
          <w:color w:val="auto"/>
        </w:rPr>
      </w:pPr>
      <w:r>
        <w:rPr>
          <w:rFonts w:ascii="Arial" w:cs="Arial" w:eastAsia="Arial" w:hAnsi="Arial"/>
          <w:sz w:val="18"/>
          <w:szCs w:val="18"/>
          <w:color w:val="auto"/>
        </w:rPr>
        <w:t>We define free cash flow, a non-GAAP measure, as net cash provided by operating activities less purchases of property and equipment and capitalization of software development costs. We monitor free cash flow as a liquidity measure because we believe it provides useful information to management and investors about the amount of cash we generated, that, after the acquisition of property and equipment and capitalized software development costs, can be used for strategic opportunities, including investing in our business, making strategic acquisitions and strengthening the balance sheet. We also believe free cash flow provides an additional tool for investors to use in comparing our recurring core business operating results over multiple periods.</w:t>
      </w:r>
    </w:p>
    <w:p>
      <w:pPr>
        <w:spacing w:after="0" w:line="209"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auto"/>
        </w:rPr>
        <w:t>A limitation of using free cash flow as a means for evaluating liquidity is that free cash flow does not represent the total increase or decrease in cash and cash equivalents for the period because it excludes cash provided by or used in other investing and financing activities.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 A reconciliation of free cash flow to net cash provided by operating activities, the most directly comparable financial measure calculated and presented in accordance with GAAP, is provided below:</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gridSpan w:val="4"/>
          </w:tcPr>
          <w:p>
            <w:pPr>
              <w:jc w:val="center"/>
              <w:ind w:right="226"/>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8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ind w:left="523"/>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24"/>
                <w:szCs w:val="24"/>
                <w:color w:val="auto"/>
              </w:rPr>
            </w:pP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3"/>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66"/>
              <w:spacing w:after="0"/>
              <w:rPr>
                <w:sz w:val="20"/>
                <w:szCs w:val="20"/>
                <w:color w:val="auto"/>
              </w:rPr>
            </w:pPr>
            <w:r>
              <w:rPr>
                <w:rFonts w:ascii="Arial" w:cs="Arial" w:eastAsia="Arial" w:hAnsi="Arial"/>
                <w:sz w:val="16"/>
                <w:szCs w:val="16"/>
                <w:b w:val="1"/>
                <w:bCs w:val="1"/>
                <w:color w:val="auto"/>
              </w:rPr>
              <w:t>2015</w:t>
            </w:r>
          </w:p>
        </w:tc>
      </w:tr>
      <w:tr>
        <w:trPr>
          <w:trHeight w:val="247"/>
        </w:trPr>
        <w:tc>
          <w:tcPr>
            <w:tcW w:w="8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gridSpan w:val="3"/>
          </w:tcPr>
          <w:p>
            <w:pPr>
              <w:jc w:val="center"/>
              <w:ind w:left="583"/>
              <w:spacing w:after="0"/>
              <w:rPr>
                <w:sz w:val="20"/>
                <w:szCs w:val="20"/>
                <w:color w:val="auto"/>
              </w:rPr>
            </w:pPr>
            <w:r>
              <w:rPr>
                <w:rFonts w:ascii="Arial" w:cs="Arial" w:eastAsia="Arial" w:hAnsi="Arial"/>
                <w:sz w:val="16"/>
                <w:szCs w:val="16"/>
                <w:b w:val="1"/>
                <w:bCs w:val="1"/>
                <w:color w:val="auto"/>
              </w:rPr>
              <w:t>(in thousands)</w:t>
            </w:r>
          </w:p>
        </w:tc>
        <w:tc>
          <w:tcPr>
            <w:tcW w:w="920" w:type="dxa"/>
            <w:vAlign w:val="bottom"/>
          </w:tcPr>
          <w:p>
            <w:pPr>
              <w:spacing w:after="0"/>
              <w:rPr>
                <w:sz w:val="21"/>
                <w:szCs w:val="2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4"/>
                <w:szCs w:val="14"/>
                <w:color w:val="auto"/>
              </w:rPr>
              <w:t>54,704</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41,668</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Less: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property and equipment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4"/>
                <w:szCs w:val="14"/>
                <w:color w:val="auto"/>
              </w:rPr>
              <w:t>(18,809)</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(14,865)</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Capitalized software development costs</w:t>
            </w:r>
          </w:p>
        </w:tc>
        <w:tc>
          <w:tcPr>
            <w:tcW w:w="34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(99)</w:t>
            </w:r>
          </w:p>
        </w:tc>
      </w:tr>
      <w:tr>
        <w:trPr>
          <w:trHeight w:val="243"/>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Free cash flow</w:t>
            </w: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4"/>
                <w:szCs w:val="14"/>
                <w:color w:val="auto"/>
              </w:rPr>
              <w:t>35,895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4"/>
                <w:szCs w:val="14"/>
                <w:color w:val="auto"/>
              </w:rPr>
              <w:t>26,704</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1"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Adjusted EBITDA and Free Cash Flow</w:t>
      </w:r>
    </w:p>
    <w:p>
      <w:pPr>
        <w:spacing w:after="0" w:line="288" w:lineRule="exact"/>
        <w:rPr>
          <w:sz w:val="20"/>
          <w:szCs w:val="20"/>
          <w:color w:val="auto"/>
        </w:rPr>
      </w:pPr>
    </w:p>
    <w:p>
      <w:pPr>
        <w:ind w:right="140" w:firstLine="405"/>
        <w:spacing w:after="0" w:line="262" w:lineRule="auto"/>
        <w:rPr>
          <w:sz w:val="20"/>
          <w:szCs w:val="20"/>
          <w:color w:val="auto"/>
        </w:rPr>
      </w:pPr>
      <w:r>
        <w:rPr>
          <w:rFonts w:ascii="Arial" w:cs="Arial" w:eastAsia="Arial" w:hAnsi="Arial"/>
          <w:sz w:val="18"/>
          <w:szCs w:val="18"/>
          <w:color w:val="auto"/>
        </w:rPr>
        <w:t>Adjusted EBITDA and free cash flow, non-GAAP financial measures, have limitations as analytical tools, and should not be considered in isolation from or as a substitute for the measures presented in accordance with U.S. GAAP. Some of these limitations are:</w:t>
      </w:r>
    </w:p>
    <w:p>
      <w:pPr>
        <w:spacing w:after="0" w:line="19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does not reflect certain cash and non-cash charges that are recurring;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of property and equipment and, although these are non-cash charges, the assets being depreciated and amortized may have to be replaced in the future;</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Free cash flow does not represent the total increase or decrease in the cash and cash equivalents for the period; and</w:t>
      </w:r>
    </w:p>
    <w:p>
      <w:pPr>
        <w:spacing w:after="0" w:line="9"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and free cash flow differently or not at all, which reduces their usefulness as a comparative measure.</w:t>
      </w:r>
    </w:p>
    <w:p>
      <w:pPr>
        <w:spacing w:after="0" w:line="196" w:lineRule="exact"/>
        <w:rPr>
          <w:sz w:val="20"/>
          <w:szCs w:val="20"/>
          <w:color w:val="auto"/>
        </w:rPr>
      </w:pPr>
    </w:p>
    <w:p>
      <w:pPr>
        <w:ind w:right="60" w:firstLine="405"/>
        <w:spacing w:after="0" w:line="291" w:lineRule="auto"/>
        <w:rPr>
          <w:sz w:val="20"/>
          <w:szCs w:val="20"/>
          <w:color w:val="auto"/>
        </w:rPr>
      </w:pPr>
      <w:r>
        <w:rPr>
          <w:rFonts w:ascii="Arial" w:cs="Arial" w:eastAsia="Arial" w:hAnsi="Arial"/>
          <w:sz w:val="17"/>
          <w:szCs w:val="17"/>
          <w:color w:val="auto"/>
        </w:rPr>
        <w:t>Because of these limitations, Adjusted EBITDA and free cash flow should be considered alongside other financial performance measures, including revenues, net income, cash flows from operating activities and our financial results presented in accordance with U.S. GAAP.</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Components of Results of Operations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247"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231F20"/>
        </w:rPr>
        <w:t>We derive revenues from the sale of subscriptions to our security and compliance solutions, which are delivered on our cloud platform. Subscriptions to our solutions allow customers to access our cloud-based security and compliance solutions through a unified, web-based interface. Customers generally enter into one year renewable subscriptions. The subscription fee entitles the customer to an unlimited number of scans for a specified number of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In some limited cases, we also provide certain computer equipment used to extend our Qualys Cloud Platform into our customers’ private cloud environment. Customers are required to return physical scanner appliances and computer equipment if they do not renew their subscriptions.</w:t>
      </w:r>
    </w:p>
    <w:p>
      <w:pPr>
        <w:spacing w:after="0" w:line="186" w:lineRule="exact"/>
        <w:rPr>
          <w:sz w:val="20"/>
          <w:szCs w:val="20"/>
          <w:color w:val="auto"/>
        </w:rPr>
      </w:pPr>
    </w:p>
    <w:p>
      <w:pPr>
        <w:jc w:val="both"/>
        <w:ind w:right="60" w:firstLine="486"/>
        <w:spacing w:after="0" w:line="254" w:lineRule="auto"/>
        <w:rPr>
          <w:sz w:val="20"/>
          <w:szCs w:val="20"/>
          <w:color w:val="auto"/>
        </w:rPr>
      </w:pPr>
      <w:r>
        <w:rPr>
          <w:rFonts w:ascii="Arial" w:cs="Arial" w:eastAsia="Arial" w:hAnsi="Arial"/>
          <w:sz w:val="18"/>
          <w:szCs w:val="18"/>
          <w:color w:val="231F20"/>
        </w:rPr>
        <w:t>We typically invoice our customers for the entire subscription amount at the start of the subscription term. Invoiced amounts are reflected on our condensed consolidated balance sheets as accounts receivable or as cash when collected, and as deferred revenues until earned and recognized ratably over the subscription period. Accordingly, deferred revenues represent the amount billed to customers that has not yet been earned or recognized as revenues, pursuant to subscriptions entered into in current and prior periods.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24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231F20"/>
        </w:rPr>
        <w:t>Cost of revenues consists primarily of personnel expenses, comprised of salaries, benefits, performance-based compensation and stock-based compensation, for employees who operate our data centers and provide support services to our customers. Other expenses include depreciation of data center equipment and physical scanner appliances and computer hardware provided to certain customers as part of their subscriptions, expenses related to the use of third-party data centers, amortization of third-party technology licensing fees and related maintenance support, fees paid to contractors who supplement or support our operations center personnel and allocation of overhead costs. We expect to continue to make capital investments to expand and support our data center operations, which will increase the cost of revenues in absolute dollars.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41"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31F20"/>
        </w:rPr>
        <w:t>Research and Development</w:t>
      </w:r>
    </w:p>
    <w:p>
      <w:pPr>
        <w:spacing w:after="0" w:line="243" w:lineRule="exact"/>
        <w:rPr>
          <w:sz w:val="20"/>
          <w:szCs w:val="20"/>
          <w:color w:val="auto"/>
        </w:rPr>
      </w:pPr>
    </w:p>
    <w:p>
      <w:pPr>
        <w:ind w:right="160" w:firstLine="486"/>
        <w:spacing w:after="0" w:line="271" w:lineRule="auto"/>
        <w:rPr>
          <w:sz w:val="20"/>
          <w:szCs w:val="20"/>
          <w:color w:val="auto"/>
        </w:rPr>
      </w:pPr>
      <w:r>
        <w:rPr>
          <w:rFonts w:ascii="Arial" w:cs="Arial" w:eastAsia="Arial" w:hAnsi="Arial"/>
          <w:sz w:val="17"/>
          <w:szCs w:val="17"/>
          <w:color w:val="231F20"/>
        </w:rPr>
        <w:t>Research and development expenses consist primarily of personnel expenses, comprised of salaries, benefits, performance-based compensation and stock-based compensation, for our research and development teams. Other expenses include third-party contractor fees, amortization of intangibles related to prior acquisitions and allocation of overhead costs. All research and development costs are expensed as incurred. We expect to continue to devote substantial resources to research and development in an effort to continuously improve our existing solutions as well as develop new solutions and capabilities, which will increase research and development expenses in absolute dollars.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31F20"/>
        </w:rPr>
        <w:t>Sales and Marketing</w:t>
      </w:r>
    </w:p>
    <w:p>
      <w:pPr>
        <w:spacing w:after="0" w:line="243"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231F20"/>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software license and maintenance costs for sales-related software, and allocation of overhead costs. All costs are expensed as incurred, including sales commissions. Sales commissions are expensed in the quarter in which the related order is received and are paid in the month subsequent to the end of that quarter, which results in increased expenses prior to the recognition of related revenues. Our new sales 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or the participation in new marketing events or programs, and the rate at which these generate incremental revenues may affect our future operating results. We expect to continue to significantly invest in additional sales personnel worldwide and also in more marketing programs to support new solutions on our platform, which will increase sales and marketing expenses in absolute dollars.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31F20"/>
        </w:rPr>
        <w:t>General and Administrative</w:t>
      </w:r>
    </w:p>
    <w:p>
      <w:pPr>
        <w:spacing w:after="0" w:line="243" w:lineRule="exact"/>
        <w:rPr>
          <w:sz w:val="20"/>
          <w:szCs w:val="20"/>
          <w:color w:val="auto"/>
        </w:rPr>
      </w:pPr>
    </w:p>
    <w:p>
      <w:pPr>
        <w:ind w:right="420" w:firstLine="486"/>
        <w:spacing w:after="0" w:line="253" w:lineRule="auto"/>
        <w:rPr>
          <w:sz w:val="20"/>
          <w:szCs w:val="20"/>
          <w:color w:val="auto"/>
        </w:rPr>
      </w:pPr>
      <w:r>
        <w:rPr>
          <w:rFonts w:ascii="Arial" w:cs="Arial" w:eastAsia="Arial" w:hAnsi="Arial"/>
          <w:sz w:val="18"/>
          <w:szCs w:val="18"/>
          <w:color w:val="231F20"/>
        </w:rPr>
        <w:t>General and administrative expenses consist primarily of personnel expenses, comprised of salaries, benefits, performance-based compensation and stock-based compensation, for our executive, finance and accounting, legal, human resources and internal information technology support teams, as well as professional services, insurance, fees, and allocation of overhead costs. We expect that general and administrative expenses will increase in absolute dollars, as we continue to add personnel and incur professional services to support our growth and compliance with legal requirements.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247" w:lineRule="exact"/>
        <w:rPr>
          <w:sz w:val="20"/>
          <w:szCs w:val="20"/>
          <w:color w:val="auto"/>
        </w:rPr>
      </w:pPr>
    </w:p>
    <w:p>
      <w:pPr>
        <w:ind w:right="360" w:firstLine="486"/>
        <w:spacing w:after="0" w:line="256" w:lineRule="auto"/>
        <w:rPr>
          <w:sz w:val="20"/>
          <w:szCs w:val="20"/>
          <w:color w:val="auto"/>
        </w:rPr>
      </w:pPr>
      <w:r>
        <w:rPr>
          <w:rFonts w:ascii="Arial" w:cs="Arial" w:eastAsia="Arial" w:hAnsi="Arial"/>
          <w:sz w:val="18"/>
          <w:szCs w:val="18"/>
          <w:color w:val="231F20"/>
        </w:rPr>
        <w:t>Our other income (expense), net consists primarily of interest and investment income from our short-term and long-term investments; foreign exchange gains and losses, the majority of which result from fluctuations between the U.S. dollar and the Euro, British Pound and Indian Rupee; and losses on disposal of property and equipment.</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24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231F20"/>
        </w:rPr>
        <w:t>We are subject to federal, state and foreign income taxes for jurisdictions in which we operate, and we use estimates in determining our provision for these income taxes and deferred tax assets. Earnings from our non-U.S. activities are subject to income taxes in the local country which are generally lower than U.S. tax rates, and may be subject to U.S. income taxes. Our effective rates differ from the U.S. statutory rate primarily due to foreign income subject to different tax rates than the U.S., research and development tax credits, non-deductible stock-based compensation expense and other adjustments.</w:t>
      </w:r>
    </w:p>
    <w:p>
      <w:pPr>
        <w:spacing w:after="0" w:line="206"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231F20"/>
        </w:rPr>
        <w:t>Income taxes are accounted for under the asset and liability method. Deferred tax assets and liabilities are recognized for the tax impact of timing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The effect on deferred tax assets and</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41"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231F20"/>
        </w:rPr>
        <w:t>liabilities of a change in tax rates is recognized in income in the period when the statutory rate change is enacted into law.</w:t>
      </w:r>
    </w:p>
    <w:p>
      <w:pPr>
        <w:spacing w:after="0" w:line="9"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231F20"/>
        </w:rPr>
        <w:t>We assess the likelihood that deferred tax assets will be realized, and we recognize a valuation allowance if it is more likely than not that some portion of the deferred tax assets will not be recognized. This assessment requires judgment as to the likelihood and amounts of future taxable income.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tables set forth selected condensed consolidated statements of operations data for each of the periods presented.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gridSpan w:val="8"/>
          </w:tcPr>
          <w:p>
            <w:pPr>
              <w:jc w:val="right"/>
              <w:ind w:right="860"/>
              <w:spacing w:after="0"/>
              <w:rPr>
                <w:sz w:val="20"/>
                <w:szCs w:val="20"/>
                <w:color w:val="auto"/>
              </w:rPr>
            </w:pPr>
            <w:r>
              <w:rPr>
                <w:rFonts w:ascii="Arial" w:cs="Arial" w:eastAsia="Arial" w:hAnsi="Arial"/>
                <w:sz w:val="16"/>
                <w:szCs w:val="16"/>
                <w:b w:val="1"/>
                <w:bCs w:val="1"/>
                <w:color w:val="auto"/>
              </w:rPr>
              <w:t>Three Months Ended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20" w:type="dxa"/>
            <w:vAlign w:val="bottom"/>
            <w:gridSpan w:val="6"/>
          </w:tcPr>
          <w:p>
            <w:pPr>
              <w:jc w:val="right"/>
              <w:ind w:right="659"/>
              <w:spacing w:after="0"/>
              <w:rPr>
                <w:sz w:val="20"/>
                <w:szCs w:val="20"/>
                <w:color w:val="auto"/>
              </w:rPr>
            </w:pPr>
            <w:r>
              <w:rPr>
                <w:rFonts w:ascii="Arial" w:cs="Arial" w:eastAsia="Arial" w:hAnsi="Arial"/>
                <w:sz w:val="16"/>
                <w:szCs w:val="16"/>
                <w:b w:val="1"/>
                <w:bCs w:val="1"/>
                <w:color w:val="auto"/>
              </w:rPr>
              <w:t>Nine 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6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66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gridSpan w:val="5"/>
          </w:tcPr>
          <w:p>
            <w:pPr>
              <w:jc w:val="right"/>
              <w:ind w:right="40"/>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51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Condensed Consolidated Statements of Operations data:</w:t>
            </w: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Revenues</w:t>
            </w:r>
          </w:p>
        </w:tc>
        <w:tc>
          <w:tcPr>
            <w:tcW w:w="360" w:type="dxa"/>
            <w:vAlign w:val="bottom"/>
          </w:tcPr>
          <w:p>
            <w:pPr>
              <w:jc w:val="right"/>
              <w:ind w:right="159"/>
              <w:spacing w:after="0"/>
              <w:rPr>
                <w:sz w:val="20"/>
                <w:szCs w:val="20"/>
                <w:color w:val="auto"/>
              </w:rPr>
            </w:pPr>
            <w:r>
              <w:rPr>
                <w:rFonts w:ascii="Arial" w:cs="Arial" w:eastAsia="Arial" w:hAnsi="Arial"/>
                <w:sz w:val="16"/>
                <w:szCs w:val="16"/>
                <w:color w:val="231F20"/>
              </w:rPr>
              <w:t>$</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231F20"/>
              </w:rPr>
              <w:t>50,987</w:t>
            </w:r>
          </w:p>
        </w:tc>
        <w:tc>
          <w:tcPr>
            <w:tcW w:w="380" w:type="dxa"/>
            <w:vAlign w:val="bottom"/>
            <w:gridSpan w:val="3"/>
          </w:tcPr>
          <w:p>
            <w:pPr>
              <w:jc w:val="right"/>
              <w:ind w:right="20"/>
              <w:spacing w:after="0"/>
              <w:rPr>
                <w:sz w:val="20"/>
                <w:szCs w:val="20"/>
                <w:color w:val="auto"/>
              </w:rPr>
            </w:pPr>
            <w:r>
              <w:rPr>
                <w:rFonts w:ascii="Arial" w:cs="Arial" w:eastAsia="Arial" w:hAnsi="Arial"/>
                <w:sz w:val="16"/>
                <w:szCs w:val="16"/>
                <w:color w:val="231F20"/>
              </w:rPr>
              <w:t>$</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231F20"/>
              </w:rPr>
              <w:t>42,469</w:t>
            </w:r>
          </w:p>
        </w:tc>
        <w:tc>
          <w:tcPr>
            <w:tcW w:w="120" w:type="dxa"/>
            <w:vAlign w:val="bottom"/>
          </w:tcPr>
          <w:p>
            <w:pPr>
              <w:spacing w:after="0"/>
              <w:rPr>
                <w:sz w:val="22"/>
                <w:szCs w:val="22"/>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231F20"/>
              </w:rPr>
              <w:t>$</w:t>
            </w:r>
          </w:p>
        </w:tc>
        <w:tc>
          <w:tcPr>
            <w:tcW w:w="3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231F20"/>
              </w:rPr>
              <w:t>145,701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gridSpan w:val="2"/>
          </w:tcPr>
          <w:p>
            <w:pPr>
              <w:jc w:val="center"/>
              <w:ind w:right="380"/>
              <w:spacing w:after="0"/>
              <w:rPr>
                <w:sz w:val="20"/>
                <w:szCs w:val="20"/>
                <w:color w:val="auto"/>
              </w:rPr>
            </w:pPr>
            <w:r>
              <w:rPr>
                <w:rFonts w:ascii="Arial" w:cs="Arial" w:eastAsia="Arial" w:hAnsi="Arial"/>
                <w:sz w:val="16"/>
                <w:szCs w:val="16"/>
                <w:color w:val="231F20"/>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231F20"/>
              </w:rPr>
              <w:t>119,839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Cost of revenues </w:t>
            </w:r>
            <w:r>
              <w:rPr>
                <w:rFonts w:ascii="Arial" w:cs="Arial" w:eastAsia="Arial" w:hAnsi="Arial"/>
                <w:sz w:val="21"/>
                <w:szCs w:val="21"/>
                <w:color w:val="auto"/>
                <w:vertAlign w:val="superscript"/>
              </w:rPr>
              <w:t>(1)</w:t>
            </w:r>
          </w:p>
        </w:tc>
        <w:tc>
          <w:tcPr>
            <w:tcW w:w="360" w:type="dxa"/>
            <w:vAlign w:val="bottom"/>
            <w:tcBorders>
              <w:bottom w:val="single" w:sz="8" w:color="231F20"/>
            </w:tcBorders>
            <w:shd w:val="clear" w:color="auto" w:fill="CCEEFF"/>
          </w:tcPr>
          <w:p>
            <w:pPr>
              <w:spacing w:after="0"/>
              <w:rPr>
                <w:sz w:val="24"/>
                <w:szCs w:val="24"/>
                <w:color w:val="auto"/>
              </w:rPr>
            </w:pPr>
          </w:p>
        </w:tc>
        <w:tc>
          <w:tcPr>
            <w:tcW w:w="160" w:type="dxa"/>
            <w:vAlign w:val="bottom"/>
            <w:tcBorders>
              <w:bottom w:val="single" w:sz="8" w:color="231F20"/>
            </w:tcBorders>
            <w:shd w:val="clear" w:color="auto" w:fill="CCEEFF"/>
          </w:tcPr>
          <w:p>
            <w:pPr>
              <w:spacing w:after="0"/>
              <w:rPr>
                <w:sz w:val="24"/>
                <w:szCs w:val="24"/>
                <w:color w:val="auto"/>
              </w:rPr>
            </w:pPr>
          </w:p>
        </w:tc>
        <w:tc>
          <w:tcPr>
            <w:tcW w:w="88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6"/>
                <w:szCs w:val="16"/>
                <w:color w:val="231F20"/>
              </w:rPr>
              <w:t>11,288</w:t>
            </w:r>
          </w:p>
        </w:tc>
        <w:tc>
          <w:tcPr>
            <w:tcW w:w="120" w:type="dxa"/>
            <w:vAlign w:val="bottom"/>
            <w:tcBorders>
              <w:bottom w:val="single" w:sz="8" w:color="231F20"/>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tcBorders>
              <w:bottom w:val="single" w:sz="8" w:color="231F20"/>
            </w:tcBorders>
            <w:shd w:val="clear" w:color="auto" w:fill="CCEEFF"/>
          </w:tcPr>
          <w:p>
            <w:pPr>
              <w:spacing w:after="0"/>
              <w:rPr>
                <w:sz w:val="24"/>
                <w:szCs w:val="24"/>
                <w:color w:val="auto"/>
              </w:rPr>
            </w:pPr>
          </w:p>
        </w:tc>
        <w:tc>
          <w:tcPr>
            <w:tcW w:w="120" w:type="dxa"/>
            <w:vAlign w:val="bottom"/>
            <w:tcBorders>
              <w:bottom w:val="single" w:sz="8" w:color="231F20"/>
            </w:tcBorders>
            <w:shd w:val="clear" w:color="auto" w:fill="CCEEFF"/>
          </w:tcPr>
          <w:p>
            <w:pPr>
              <w:spacing w:after="0"/>
              <w:rPr>
                <w:sz w:val="24"/>
                <w:szCs w:val="24"/>
                <w:color w:val="auto"/>
              </w:rPr>
            </w:pPr>
          </w:p>
        </w:tc>
        <w:tc>
          <w:tcPr>
            <w:tcW w:w="260" w:type="dxa"/>
            <w:vAlign w:val="bottom"/>
            <w:tcBorders>
              <w:bottom w:val="single" w:sz="8" w:color="231F20"/>
            </w:tcBorders>
            <w:shd w:val="clear" w:color="auto" w:fill="CCEEFF"/>
          </w:tcPr>
          <w:p>
            <w:pPr>
              <w:spacing w:after="0"/>
              <w:rPr>
                <w:sz w:val="24"/>
                <w:szCs w:val="24"/>
                <w:color w:val="auto"/>
              </w:rPr>
            </w:pPr>
          </w:p>
        </w:tc>
        <w:tc>
          <w:tcPr>
            <w:tcW w:w="94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8,762</w:t>
            </w:r>
          </w:p>
        </w:tc>
        <w:tc>
          <w:tcPr>
            <w:tcW w:w="120" w:type="dxa"/>
            <w:vAlign w:val="bottom"/>
            <w:shd w:val="clear" w:color="auto" w:fill="CCEEFF"/>
          </w:tcPr>
          <w:p>
            <w:pPr>
              <w:spacing w:after="0"/>
              <w:rPr>
                <w:sz w:val="24"/>
                <w:szCs w:val="24"/>
                <w:color w:val="auto"/>
              </w:rPr>
            </w:pPr>
          </w:p>
        </w:tc>
        <w:tc>
          <w:tcPr>
            <w:tcW w:w="60" w:type="dxa"/>
            <w:vAlign w:val="bottom"/>
            <w:tcBorders>
              <w:bottom w:val="single" w:sz="8" w:color="231F20"/>
            </w:tcBorders>
            <w:shd w:val="clear" w:color="auto" w:fill="CCEEFF"/>
          </w:tcPr>
          <w:p>
            <w:pPr>
              <w:spacing w:after="0"/>
              <w:rPr>
                <w:sz w:val="24"/>
                <w:szCs w:val="24"/>
                <w:color w:val="auto"/>
              </w:rPr>
            </w:pPr>
          </w:p>
        </w:tc>
        <w:tc>
          <w:tcPr>
            <w:tcW w:w="100" w:type="dxa"/>
            <w:vAlign w:val="bottom"/>
            <w:tcBorders>
              <w:bottom w:val="single" w:sz="8" w:color="231F20"/>
            </w:tcBorders>
            <w:shd w:val="clear" w:color="auto" w:fill="CCEEFF"/>
          </w:tcPr>
          <w:p>
            <w:pPr>
              <w:spacing w:after="0"/>
              <w:rPr>
                <w:sz w:val="24"/>
                <w:szCs w:val="24"/>
                <w:color w:val="auto"/>
              </w:rPr>
            </w:pPr>
          </w:p>
        </w:tc>
        <w:tc>
          <w:tcPr>
            <w:tcW w:w="360" w:type="dxa"/>
            <w:vAlign w:val="bottom"/>
            <w:tcBorders>
              <w:bottom w:val="single" w:sz="8" w:color="231F20"/>
            </w:tcBorders>
            <w:shd w:val="clear" w:color="auto" w:fill="CCEEFF"/>
          </w:tcPr>
          <w:p>
            <w:pPr>
              <w:spacing w:after="0"/>
              <w:rPr>
                <w:sz w:val="24"/>
                <w:szCs w:val="24"/>
                <w:color w:val="auto"/>
              </w:rPr>
            </w:pPr>
          </w:p>
        </w:tc>
        <w:tc>
          <w:tcPr>
            <w:tcW w:w="94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30,796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tcBorders>
              <w:bottom w:val="single" w:sz="8" w:color="231F20"/>
            </w:tcBorders>
            <w:shd w:val="clear" w:color="auto" w:fill="CCEEFF"/>
          </w:tcPr>
          <w:p>
            <w:pPr>
              <w:spacing w:after="0"/>
              <w:rPr>
                <w:sz w:val="24"/>
                <w:szCs w:val="24"/>
                <w:color w:val="auto"/>
              </w:rPr>
            </w:pPr>
          </w:p>
        </w:tc>
        <w:tc>
          <w:tcPr>
            <w:tcW w:w="440" w:type="dxa"/>
            <w:vAlign w:val="bottom"/>
            <w:tcBorders>
              <w:bottom w:val="single" w:sz="8" w:color="231F20"/>
            </w:tcBorders>
            <w:shd w:val="clear" w:color="auto" w:fill="CCEEFF"/>
          </w:tcPr>
          <w:p>
            <w:pPr>
              <w:spacing w:after="0"/>
              <w:rPr>
                <w:sz w:val="24"/>
                <w:szCs w:val="24"/>
                <w:color w:val="auto"/>
              </w:rPr>
            </w:pPr>
          </w:p>
        </w:tc>
        <w:tc>
          <w:tcPr>
            <w:tcW w:w="94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24,883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140" w:type="dxa"/>
            <w:vAlign w:val="bottom"/>
            <w:gridSpan w:val="2"/>
          </w:tcPr>
          <w:p>
            <w:pPr>
              <w:ind w:left="280"/>
              <w:spacing w:after="0"/>
              <w:rPr>
                <w:sz w:val="20"/>
                <w:szCs w:val="20"/>
                <w:color w:val="auto"/>
              </w:rPr>
            </w:pPr>
            <w:r>
              <w:rPr>
                <w:rFonts w:ascii="Arial" w:cs="Arial" w:eastAsia="Arial" w:hAnsi="Arial"/>
                <w:sz w:val="16"/>
                <w:szCs w:val="16"/>
                <w:color w:val="auto"/>
              </w:rPr>
              <w:t>Gross profit</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39,699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33,707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114,905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94,956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5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40" w:type="dxa"/>
            <w:vAlign w:val="bottom"/>
            <w:gridSpan w:val="2"/>
          </w:tcPr>
          <w:p>
            <w:pPr>
              <w:ind w:left="280"/>
              <w:spacing w:after="0"/>
              <w:rPr>
                <w:sz w:val="20"/>
                <w:szCs w:val="20"/>
                <w:color w:val="auto"/>
              </w:rPr>
            </w:pPr>
            <w:r>
              <w:rPr>
                <w:rFonts w:ascii="Arial" w:cs="Arial" w:eastAsia="Arial" w:hAnsi="Arial"/>
                <w:sz w:val="16"/>
                <w:szCs w:val="16"/>
                <w:color w:val="auto"/>
              </w:rPr>
              <w:t xml:space="preserve">Research and development </w:t>
            </w:r>
            <w:r>
              <w:rPr>
                <w:rFonts w:ascii="Arial" w:cs="Arial" w:eastAsia="Arial" w:hAnsi="Arial"/>
                <w:sz w:val="21"/>
                <w:szCs w:val="21"/>
                <w:color w:val="auto"/>
                <w:vertAlign w:val="superscript"/>
              </w:rPr>
              <w:t>(1)</w:t>
            </w: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231F20"/>
              </w:rPr>
              <w:t>9,405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231F20"/>
              </w:rPr>
              <w:t>7,564</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231F20"/>
              </w:rPr>
              <w:t>26,382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231F20"/>
              </w:rPr>
              <w:t>21,919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 xml:space="preserve">Sales and marketing </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14,240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231F20"/>
              </w:rPr>
              <w:t>12,282</w:t>
            </w: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231F20"/>
              </w:rPr>
              <w:t>42,624</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231F20"/>
              </w:rPr>
              <w:t>36,501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 xml:space="preserve">General and administrative </w:t>
            </w:r>
            <w:r>
              <w:rPr>
                <w:rFonts w:ascii="Arial" w:cs="Arial" w:eastAsia="Arial" w:hAnsi="Arial"/>
                <w:sz w:val="21"/>
                <w:szCs w:val="21"/>
                <w:color w:val="auto"/>
                <w:vertAlign w:val="superscript"/>
              </w:rPr>
              <w:t>(1)</w:t>
            </w:r>
          </w:p>
        </w:tc>
        <w:tc>
          <w:tcPr>
            <w:tcW w:w="360" w:type="dxa"/>
            <w:vAlign w:val="bottom"/>
            <w:tcBorders>
              <w:bottom w:val="single" w:sz="8" w:color="231F20"/>
            </w:tcBorders>
          </w:tcPr>
          <w:p>
            <w:pPr>
              <w:spacing w:after="0"/>
              <w:rPr>
                <w:sz w:val="23"/>
                <w:szCs w:val="23"/>
                <w:color w:val="auto"/>
              </w:rPr>
            </w:pPr>
          </w:p>
        </w:tc>
        <w:tc>
          <w:tcPr>
            <w:tcW w:w="160" w:type="dxa"/>
            <w:vAlign w:val="bottom"/>
            <w:tcBorders>
              <w:bottom w:val="single" w:sz="8" w:color="231F20"/>
            </w:tcBorders>
          </w:tcPr>
          <w:p>
            <w:pPr>
              <w:spacing w:after="0"/>
              <w:rPr>
                <w:sz w:val="23"/>
                <w:szCs w:val="23"/>
                <w:color w:val="auto"/>
              </w:rPr>
            </w:pPr>
          </w:p>
        </w:tc>
        <w:tc>
          <w:tcPr>
            <w:tcW w:w="88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8,067</w:t>
            </w:r>
          </w:p>
        </w:tc>
        <w:tc>
          <w:tcPr>
            <w:tcW w:w="120" w:type="dxa"/>
            <w:vAlign w:val="bottom"/>
            <w:tcBorders>
              <w:bottom w:val="single" w:sz="8" w:color="231F20"/>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231F20"/>
            </w:tcBorders>
          </w:tcPr>
          <w:p>
            <w:pPr>
              <w:spacing w:after="0"/>
              <w:rPr>
                <w:sz w:val="23"/>
                <w:szCs w:val="23"/>
                <w:color w:val="auto"/>
              </w:rPr>
            </w:pPr>
          </w:p>
        </w:tc>
        <w:tc>
          <w:tcPr>
            <w:tcW w:w="120" w:type="dxa"/>
            <w:vAlign w:val="bottom"/>
            <w:tcBorders>
              <w:bottom w:val="single" w:sz="8" w:color="231F20"/>
            </w:tcBorders>
          </w:tcPr>
          <w:p>
            <w:pPr>
              <w:spacing w:after="0"/>
              <w:rPr>
                <w:sz w:val="23"/>
                <w:szCs w:val="23"/>
                <w:color w:val="auto"/>
              </w:rPr>
            </w:pPr>
          </w:p>
        </w:tc>
        <w:tc>
          <w:tcPr>
            <w:tcW w:w="260" w:type="dxa"/>
            <w:vAlign w:val="bottom"/>
            <w:tcBorders>
              <w:bottom w:val="single" w:sz="8" w:color="231F20"/>
            </w:tcBorders>
          </w:tcPr>
          <w:p>
            <w:pPr>
              <w:spacing w:after="0"/>
              <w:rPr>
                <w:sz w:val="23"/>
                <w:szCs w:val="23"/>
                <w:color w:val="auto"/>
              </w:rPr>
            </w:pPr>
          </w:p>
        </w:tc>
        <w:tc>
          <w:tcPr>
            <w:tcW w:w="94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231F20"/>
              </w:rPr>
              <w:t>6,983</w:t>
            </w:r>
          </w:p>
        </w:tc>
        <w:tc>
          <w:tcPr>
            <w:tcW w:w="120" w:type="dxa"/>
            <w:vAlign w:val="bottom"/>
            <w:tcBorders>
              <w:bottom w:val="single" w:sz="8" w:color="CCEEFF"/>
            </w:tcBorders>
          </w:tcPr>
          <w:p>
            <w:pPr>
              <w:spacing w:after="0"/>
              <w:rPr>
                <w:sz w:val="23"/>
                <w:szCs w:val="23"/>
                <w:color w:val="auto"/>
              </w:rPr>
            </w:pPr>
          </w:p>
        </w:tc>
        <w:tc>
          <w:tcPr>
            <w:tcW w:w="60" w:type="dxa"/>
            <w:vAlign w:val="bottom"/>
            <w:tcBorders>
              <w:bottom w:val="single" w:sz="8" w:color="231F20"/>
            </w:tcBorders>
          </w:tcPr>
          <w:p>
            <w:pPr>
              <w:spacing w:after="0"/>
              <w:rPr>
                <w:sz w:val="23"/>
                <w:szCs w:val="23"/>
                <w:color w:val="auto"/>
              </w:rPr>
            </w:pPr>
          </w:p>
        </w:tc>
        <w:tc>
          <w:tcPr>
            <w:tcW w:w="100" w:type="dxa"/>
            <w:vAlign w:val="bottom"/>
            <w:tcBorders>
              <w:bottom w:val="single" w:sz="8" w:color="231F20"/>
            </w:tcBorders>
          </w:tcPr>
          <w:p>
            <w:pPr>
              <w:spacing w:after="0"/>
              <w:rPr>
                <w:sz w:val="23"/>
                <w:szCs w:val="23"/>
                <w:color w:val="auto"/>
              </w:rPr>
            </w:pPr>
          </w:p>
        </w:tc>
        <w:tc>
          <w:tcPr>
            <w:tcW w:w="360" w:type="dxa"/>
            <w:vAlign w:val="bottom"/>
            <w:tcBorders>
              <w:bottom w:val="single" w:sz="8" w:color="231F20"/>
            </w:tcBorders>
          </w:tcPr>
          <w:p>
            <w:pPr>
              <w:spacing w:after="0"/>
              <w:rPr>
                <w:sz w:val="23"/>
                <w:szCs w:val="23"/>
                <w:color w:val="auto"/>
              </w:rPr>
            </w:pPr>
          </w:p>
        </w:tc>
        <w:tc>
          <w:tcPr>
            <w:tcW w:w="94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231F20"/>
              </w:rPr>
              <w:t>24,603</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231F20"/>
            </w:tcBorders>
          </w:tcPr>
          <w:p>
            <w:pPr>
              <w:spacing w:after="0"/>
              <w:rPr>
                <w:sz w:val="23"/>
                <w:szCs w:val="23"/>
                <w:color w:val="auto"/>
              </w:rPr>
            </w:pPr>
          </w:p>
        </w:tc>
        <w:tc>
          <w:tcPr>
            <w:tcW w:w="440" w:type="dxa"/>
            <w:vAlign w:val="bottom"/>
            <w:tcBorders>
              <w:bottom w:val="single" w:sz="8" w:color="231F20"/>
            </w:tcBorders>
          </w:tcPr>
          <w:p>
            <w:pPr>
              <w:spacing w:after="0"/>
              <w:rPr>
                <w:sz w:val="23"/>
                <w:szCs w:val="23"/>
                <w:color w:val="auto"/>
              </w:rPr>
            </w:pPr>
          </w:p>
        </w:tc>
        <w:tc>
          <w:tcPr>
            <w:tcW w:w="94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231F20"/>
              </w:rPr>
              <w:t>19,426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51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31,712</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26,829</w:t>
            </w:r>
          </w:p>
        </w:tc>
        <w:tc>
          <w:tcPr>
            <w:tcW w:w="1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93,609</w:t>
            </w: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77,846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Income from operations</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7,987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6,878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21,296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17,110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5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36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2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438</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6,724</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21,734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17,007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5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60" w:type="dxa"/>
            <w:vAlign w:val="bottom"/>
            <w:tcBorders>
              <w:bottom w:val="single" w:sz="8" w:color="231F20"/>
            </w:tcBorders>
            <w:shd w:val="clear" w:color="auto" w:fill="CCEEFF"/>
          </w:tcPr>
          <w:p>
            <w:pPr>
              <w:spacing w:after="0"/>
              <w:rPr>
                <w:sz w:val="23"/>
                <w:szCs w:val="23"/>
                <w:color w:val="auto"/>
              </w:rPr>
            </w:pPr>
          </w:p>
        </w:tc>
        <w:tc>
          <w:tcPr>
            <w:tcW w:w="160" w:type="dxa"/>
            <w:vAlign w:val="bottom"/>
            <w:tcBorders>
              <w:bottom w:val="single" w:sz="8" w:color="231F20"/>
            </w:tcBorders>
            <w:shd w:val="clear" w:color="auto" w:fill="CCEEFF"/>
          </w:tcPr>
          <w:p>
            <w:pPr>
              <w:spacing w:after="0"/>
              <w:rPr>
                <w:sz w:val="23"/>
                <w:szCs w:val="23"/>
                <w:color w:val="auto"/>
              </w:rPr>
            </w:pPr>
          </w:p>
        </w:tc>
        <w:tc>
          <w:tcPr>
            <w:tcW w:w="88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6"/>
                <w:szCs w:val="16"/>
                <w:color w:val="231F20"/>
              </w:rPr>
              <w:t>3,221</w:t>
            </w:r>
          </w:p>
        </w:tc>
        <w:tc>
          <w:tcPr>
            <w:tcW w:w="120" w:type="dxa"/>
            <w:vAlign w:val="bottom"/>
            <w:tcBorders>
              <w:bottom w:val="single" w:sz="8" w:color="231F20"/>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231F20"/>
            </w:tcBorders>
            <w:shd w:val="clear" w:color="auto" w:fill="CCEEFF"/>
          </w:tcPr>
          <w:p>
            <w:pPr>
              <w:spacing w:after="0"/>
              <w:rPr>
                <w:sz w:val="23"/>
                <w:szCs w:val="23"/>
                <w:color w:val="auto"/>
              </w:rPr>
            </w:pPr>
          </w:p>
        </w:tc>
        <w:tc>
          <w:tcPr>
            <w:tcW w:w="120" w:type="dxa"/>
            <w:vAlign w:val="bottom"/>
            <w:tcBorders>
              <w:bottom w:val="single" w:sz="8" w:color="231F20"/>
            </w:tcBorders>
            <w:shd w:val="clear" w:color="auto" w:fill="CCEEFF"/>
          </w:tcPr>
          <w:p>
            <w:pPr>
              <w:spacing w:after="0"/>
              <w:rPr>
                <w:sz w:val="23"/>
                <w:szCs w:val="23"/>
                <w:color w:val="auto"/>
              </w:rPr>
            </w:pPr>
          </w:p>
        </w:tc>
        <w:tc>
          <w:tcPr>
            <w:tcW w:w="260" w:type="dxa"/>
            <w:vAlign w:val="bottom"/>
            <w:tcBorders>
              <w:bottom w:val="single" w:sz="8" w:color="231F20"/>
            </w:tcBorders>
            <w:shd w:val="clear" w:color="auto" w:fill="CCEEFF"/>
          </w:tcPr>
          <w:p>
            <w:pPr>
              <w:spacing w:after="0"/>
              <w:rPr>
                <w:sz w:val="23"/>
                <w:szCs w:val="23"/>
                <w:color w:val="auto"/>
              </w:rPr>
            </w:pPr>
          </w:p>
        </w:tc>
        <w:tc>
          <w:tcPr>
            <w:tcW w:w="94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2,601</w:t>
            </w:r>
          </w:p>
        </w:tc>
        <w:tc>
          <w:tcPr>
            <w:tcW w:w="120" w:type="dxa"/>
            <w:vAlign w:val="bottom"/>
            <w:shd w:val="clear" w:color="auto" w:fill="CCEEFF"/>
          </w:tcPr>
          <w:p>
            <w:pPr>
              <w:spacing w:after="0"/>
              <w:rPr>
                <w:sz w:val="23"/>
                <w:szCs w:val="23"/>
                <w:color w:val="auto"/>
              </w:rPr>
            </w:pPr>
          </w:p>
        </w:tc>
        <w:tc>
          <w:tcPr>
            <w:tcW w:w="60" w:type="dxa"/>
            <w:vAlign w:val="bottom"/>
            <w:tcBorders>
              <w:bottom w:val="single" w:sz="8" w:color="231F20"/>
            </w:tcBorders>
            <w:shd w:val="clear" w:color="auto" w:fill="CCEEFF"/>
          </w:tcPr>
          <w:p>
            <w:pPr>
              <w:spacing w:after="0"/>
              <w:rPr>
                <w:sz w:val="23"/>
                <w:szCs w:val="23"/>
                <w:color w:val="auto"/>
              </w:rPr>
            </w:pPr>
          </w:p>
        </w:tc>
        <w:tc>
          <w:tcPr>
            <w:tcW w:w="100" w:type="dxa"/>
            <w:vAlign w:val="bottom"/>
            <w:tcBorders>
              <w:bottom w:val="single" w:sz="8" w:color="231F20"/>
            </w:tcBorders>
            <w:shd w:val="clear" w:color="auto" w:fill="CCEEFF"/>
          </w:tcPr>
          <w:p>
            <w:pPr>
              <w:spacing w:after="0"/>
              <w:rPr>
                <w:sz w:val="23"/>
                <w:szCs w:val="23"/>
                <w:color w:val="auto"/>
              </w:rPr>
            </w:pPr>
          </w:p>
        </w:tc>
        <w:tc>
          <w:tcPr>
            <w:tcW w:w="360" w:type="dxa"/>
            <w:vAlign w:val="bottom"/>
            <w:tcBorders>
              <w:bottom w:val="single" w:sz="8" w:color="231F20"/>
            </w:tcBorders>
            <w:shd w:val="clear" w:color="auto" w:fill="CCEEFF"/>
          </w:tcPr>
          <w:p>
            <w:pPr>
              <w:spacing w:after="0"/>
              <w:rPr>
                <w:sz w:val="23"/>
                <w:szCs w:val="23"/>
                <w:color w:val="auto"/>
              </w:rPr>
            </w:pPr>
          </w:p>
        </w:tc>
        <w:tc>
          <w:tcPr>
            <w:tcW w:w="94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8,417</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tcBorders>
              <w:bottom w:val="single" w:sz="8" w:color="231F20"/>
            </w:tcBorders>
            <w:shd w:val="clear" w:color="auto" w:fill="CCEEFF"/>
          </w:tcPr>
          <w:p>
            <w:pPr>
              <w:spacing w:after="0"/>
              <w:rPr>
                <w:sz w:val="23"/>
                <w:szCs w:val="23"/>
                <w:color w:val="auto"/>
              </w:rPr>
            </w:pPr>
          </w:p>
        </w:tc>
        <w:tc>
          <w:tcPr>
            <w:tcW w:w="440" w:type="dxa"/>
            <w:vAlign w:val="bottom"/>
            <w:tcBorders>
              <w:bottom w:val="single" w:sz="8" w:color="231F20"/>
            </w:tcBorders>
            <w:shd w:val="clear" w:color="auto" w:fill="CCEEFF"/>
          </w:tcPr>
          <w:p>
            <w:pPr>
              <w:spacing w:after="0"/>
              <w:rPr>
                <w:sz w:val="23"/>
                <w:szCs w:val="23"/>
                <w:color w:val="auto"/>
              </w:rPr>
            </w:pPr>
          </w:p>
        </w:tc>
        <w:tc>
          <w:tcPr>
            <w:tcW w:w="94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6,566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4,996</w:t>
            </w:r>
          </w:p>
        </w:tc>
        <w:tc>
          <w:tcPr>
            <w:tcW w:w="38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4,123</w:t>
            </w:r>
          </w:p>
        </w:tc>
        <w:tc>
          <w:tcPr>
            <w:tcW w:w="120" w:type="dxa"/>
            <w:vAlign w:val="bottom"/>
          </w:tcPr>
          <w:p>
            <w:pPr>
              <w:spacing w:after="0"/>
              <w:rPr>
                <w:sz w:val="20"/>
                <w:szCs w:val="20"/>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13,317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gridSpan w:val="2"/>
          </w:tcPr>
          <w:p>
            <w:pPr>
              <w:jc w:val="center"/>
              <w:ind w:right="3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10,441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9"/>
                <w:szCs w:val="9"/>
                <w:color w:val="231F20"/>
              </w:rPr>
              <w:t>____________________</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4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5140" w:type="dxa"/>
            <w:vAlign w:val="bottom"/>
            <w:gridSpan w:val="2"/>
          </w:tcPr>
          <w:p>
            <w:pPr>
              <w:spacing w:after="0"/>
              <w:rPr>
                <w:sz w:val="20"/>
                <w:szCs w:val="20"/>
                <w:color w:val="auto"/>
              </w:rPr>
            </w:pPr>
            <w:r>
              <w:rPr>
                <w:rFonts w:ascii="Arial" w:cs="Arial" w:eastAsia="Arial" w:hAnsi="Arial"/>
                <w:sz w:val="14"/>
                <w:szCs w:val="14"/>
                <w:color w:val="231F20"/>
              </w:rPr>
              <w:t>(1) Includes stock-based compensation as follows:</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3"/>
        </w:trPr>
        <w:tc>
          <w:tcPr>
            <w:tcW w:w="6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00" w:type="dxa"/>
            <w:vAlign w:val="bottom"/>
            <w:gridSpan w:val="8"/>
          </w:tcPr>
          <w:p>
            <w:pPr>
              <w:jc w:val="right"/>
              <w:ind w:right="580"/>
              <w:spacing w:after="0"/>
              <w:rPr>
                <w:sz w:val="20"/>
                <w:szCs w:val="20"/>
                <w:color w:val="auto"/>
              </w:rPr>
            </w:pPr>
            <w:r>
              <w:rPr>
                <w:rFonts w:ascii="Arial" w:cs="Arial" w:eastAsia="Arial" w:hAnsi="Arial"/>
                <w:sz w:val="16"/>
                <w:szCs w:val="16"/>
                <w:b w:val="1"/>
                <w:bCs w:val="1"/>
                <w:color w:val="auto"/>
              </w:rPr>
              <w:t>Three Months Ended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20" w:type="dxa"/>
            <w:vAlign w:val="bottom"/>
            <w:gridSpan w:val="6"/>
          </w:tcPr>
          <w:p>
            <w:pPr>
              <w:jc w:val="center"/>
              <w:ind w:right="219"/>
              <w:spacing w:after="0"/>
              <w:rPr>
                <w:sz w:val="20"/>
                <w:szCs w:val="20"/>
                <w:color w:val="auto"/>
              </w:rPr>
            </w:pPr>
            <w:r>
              <w:rPr>
                <w:rFonts w:ascii="Arial" w:cs="Arial" w:eastAsia="Arial" w:hAnsi="Arial"/>
                <w:sz w:val="16"/>
                <w:szCs w:val="16"/>
                <w:b w:val="1"/>
                <w:bCs w:val="1"/>
                <w:color w:val="auto"/>
              </w:rPr>
              <w:t>Nine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8"/>
          </w:tcPr>
          <w:p>
            <w:pPr>
              <w:jc w:val="right"/>
              <w:ind w:right="820"/>
              <w:spacing w:after="0"/>
              <w:rPr>
                <w:sz w:val="20"/>
                <w:szCs w:val="20"/>
                <w:color w:val="auto"/>
              </w:rPr>
            </w:pPr>
            <w:r>
              <w:rPr>
                <w:rFonts w:ascii="Arial" w:cs="Arial" w:eastAsia="Arial" w:hAnsi="Arial"/>
                <w:sz w:val="16"/>
                <w:szCs w:val="16"/>
                <w:b w:val="1"/>
                <w:bCs w:val="1"/>
                <w:color w:val="auto"/>
              </w:rPr>
              <w:t>September 30,</w:t>
            </w: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right="219"/>
              <w:spacing w:after="0"/>
              <w:rPr>
                <w:sz w:val="20"/>
                <w:szCs w:val="20"/>
                <w:color w:val="auto"/>
              </w:rPr>
            </w:pPr>
            <w:r>
              <w:rPr>
                <w:rFonts w:ascii="Arial" w:cs="Arial" w:eastAsia="Arial" w:hAnsi="Arial"/>
                <w:sz w:val="16"/>
                <w:szCs w:val="16"/>
                <w:b w:val="1"/>
                <w:bCs w:val="1"/>
                <w:color w:val="auto"/>
              </w:rPr>
              <w:t>September 30,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6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66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40" w:type="dxa"/>
            <w:vAlign w:val="bottom"/>
            <w:gridSpan w:val="8"/>
          </w:tcPr>
          <w:p>
            <w:pPr>
              <w:ind w:left="620"/>
              <w:spacing w:after="0"/>
              <w:rPr>
                <w:sz w:val="20"/>
                <w:szCs w:val="20"/>
                <w:color w:val="auto"/>
              </w:rPr>
            </w:pPr>
            <w:r>
              <w:rPr>
                <w:rFonts w:ascii="Arial" w:cs="Arial" w:eastAsia="Arial" w:hAnsi="Arial"/>
                <w:sz w:val="16"/>
                <w:szCs w:val="16"/>
                <w:b w:val="1"/>
                <w:bCs w:val="1"/>
                <w:color w:val="auto"/>
              </w:rPr>
              <w:t>(in thousands)</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660" w:type="dxa"/>
            <w:vAlign w:val="bottom"/>
          </w:tcPr>
          <w:p>
            <w:pPr>
              <w:spacing w:after="0"/>
              <w:rPr>
                <w:sz w:val="24"/>
                <w:szCs w:val="24"/>
                <w:color w:val="auto"/>
              </w:rPr>
            </w:pPr>
          </w:p>
        </w:tc>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revenues</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24"/>
                <w:szCs w:val="24"/>
                <w:color w:val="auto"/>
              </w:rPr>
            </w:pP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w w:val="97"/>
              </w:rPr>
              <w:t>516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333</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1,318</w:t>
            </w:r>
          </w:p>
        </w:tc>
        <w:tc>
          <w:tcPr>
            <w:tcW w:w="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60" w:type="dxa"/>
            <w:vAlign w:val="bottom"/>
          </w:tcPr>
          <w:p>
            <w:pPr>
              <w:spacing w:after="0"/>
              <w:rPr>
                <w:sz w:val="22"/>
                <w:szCs w:val="22"/>
                <w:color w:val="auto"/>
              </w:rPr>
            </w:pPr>
          </w:p>
        </w:tc>
        <w:tc>
          <w:tcPr>
            <w:tcW w:w="448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gridSpan w:val="4"/>
          </w:tcPr>
          <w:p>
            <w:pPr>
              <w:jc w:val="right"/>
              <w:ind w:right="100"/>
              <w:spacing w:after="0"/>
              <w:rPr>
                <w:sz w:val="20"/>
                <w:szCs w:val="20"/>
                <w:color w:val="auto"/>
              </w:rPr>
            </w:pPr>
            <w:r>
              <w:rPr>
                <w:rFonts w:ascii="Arial" w:cs="Arial" w:eastAsia="Arial" w:hAnsi="Arial"/>
                <w:sz w:val="16"/>
                <w:szCs w:val="16"/>
                <w:color w:val="auto"/>
              </w:rPr>
              <w:t>1,585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1,294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4,373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3,584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60" w:type="dxa"/>
            <w:vAlign w:val="bottom"/>
          </w:tcPr>
          <w:p>
            <w:pPr>
              <w:spacing w:after="0"/>
              <w:rPr>
                <w:sz w:val="24"/>
                <w:szCs w:val="24"/>
                <w:color w:val="auto"/>
              </w:rPr>
            </w:pPr>
          </w:p>
        </w:tc>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w w:val="97"/>
              </w:rPr>
              <w:t>821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1,015</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3,459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2,806</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60" w:type="dxa"/>
            <w:vAlign w:val="bottom"/>
          </w:tcPr>
          <w:p>
            <w:pPr>
              <w:spacing w:after="0"/>
              <w:rPr>
                <w:sz w:val="22"/>
                <w:szCs w:val="22"/>
                <w:color w:val="auto"/>
              </w:rPr>
            </w:pPr>
          </w:p>
        </w:tc>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3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6"/>
                <w:szCs w:val="16"/>
                <w:color w:val="auto"/>
              </w:rPr>
              <w:t>2,181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1,779</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5,972</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5,283</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660" w:type="dxa"/>
            <w:vAlign w:val="bottom"/>
          </w:tcPr>
          <w:p>
            <w:pPr>
              <w:spacing w:after="0"/>
              <w:rPr>
                <w:sz w:val="20"/>
                <w:szCs w:val="20"/>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stock-based compensation</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5,103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4,421</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15,122</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12,678</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41"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420" w:firstLine="486"/>
        <w:spacing w:after="0" w:line="262" w:lineRule="auto"/>
        <w:rPr>
          <w:sz w:val="20"/>
          <w:szCs w:val="20"/>
          <w:color w:val="auto"/>
        </w:rPr>
      </w:pPr>
      <w:r>
        <w:rPr>
          <w:rFonts w:ascii="Arial" w:cs="Arial" w:eastAsia="Arial" w:hAnsi="Arial"/>
          <w:sz w:val="18"/>
          <w:szCs w:val="18"/>
          <w:color w:val="231F20"/>
        </w:rPr>
        <w:t>The following table sets forth selected condensed consolidated statements of operations data for each of the periods presented as a percentage of revenues.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2620" w:type="dxa"/>
            <w:vAlign w:val="bottom"/>
            <w:gridSpan w:val="4"/>
          </w:tcPr>
          <w:p>
            <w:pPr>
              <w:jc w:val="center"/>
              <w:ind w:left="459"/>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gridSpan w:val="4"/>
          </w:tcPr>
          <w:p>
            <w:pPr>
              <w:jc w:val="center"/>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50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right="359"/>
              <w:spacing w:after="0"/>
              <w:rPr>
                <w:sz w:val="20"/>
                <w:szCs w:val="20"/>
                <w:color w:val="auto"/>
              </w:rPr>
            </w:pPr>
            <w:r>
              <w:rPr>
                <w:rFonts w:ascii="Arial" w:cs="Arial" w:eastAsia="Arial" w:hAnsi="Arial"/>
                <w:sz w:val="16"/>
                <w:szCs w:val="16"/>
                <w:b w:val="1"/>
                <w:bCs w:val="1"/>
                <w:color w:val="auto"/>
              </w:rPr>
              <w:t>September 30,</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Borders>
              <w:bottom w:val="single" w:sz="8" w:color="auto"/>
            </w:tcBorders>
            <w:gridSpan w:val="3"/>
          </w:tcPr>
          <w:p>
            <w:pPr>
              <w:jc w:val="center"/>
              <w:ind w:left="919"/>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Borders>
              <w:bottom w:val="single" w:sz="8" w:color="auto"/>
            </w:tcBorders>
          </w:tcPr>
          <w:p>
            <w:pPr>
              <w:spacing w:after="0"/>
              <w:rPr>
                <w:sz w:val="24"/>
                <w:szCs w:val="24"/>
                <w:color w:val="auto"/>
              </w:rPr>
            </w:pPr>
          </w:p>
        </w:tc>
      </w:tr>
      <w:tr>
        <w:trPr>
          <w:trHeight w:val="264"/>
        </w:trPr>
        <w:tc>
          <w:tcPr>
            <w:tcW w:w="50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r>
      <w:tr>
        <w:trPr>
          <w:trHeight w:val="257"/>
        </w:trPr>
        <w:tc>
          <w:tcPr>
            <w:tcW w:w="6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64"/>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revenues</w:t>
            </w:r>
          </w:p>
        </w:tc>
        <w:tc>
          <w:tcPr>
            <w:tcW w:w="9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w:t>
            </w:r>
          </w:p>
        </w:tc>
      </w:tr>
      <w:tr>
        <w:trPr>
          <w:trHeight w:val="257"/>
        </w:trPr>
        <w:tc>
          <w:tcPr>
            <w:tcW w:w="60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79</w:t>
            </w:r>
          </w:p>
        </w:tc>
      </w:tr>
      <w:tr>
        <w:trPr>
          <w:trHeight w:val="260"/>
        </w:trPr>
        <w:tc>
          <w:tcPr>
            <w:tcW w:w="600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80"/>
        </w:trPr>
        <w:tc>
          <w:tcPr>
            <w:tcW w:w="60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r>
      <w:tr>
        <w:trPr>
          <w:trHeight w:val="260"/>
        </w:trPr>
        <w:tc>
          <w:tcPr>
            <w:tcW w:w="6000" w:type="dxa"/>
            <w:vAlign w:val="bottom"/>
            <w:gridSpan w:val="2"/>
          </w:tcPr>
          <w:p>
            <w:pPr>
              <w:ind w:left="280"/>
              <w:spacing w:after="0"/>
              <w:rPr>
                <w:sz w:val="20"/>
                <w:szCs w:val="20"/>
                <w:color w:val="auto"/>
              </w:rPr>
            </w:pPr>
            <w:r>
              <w:rPr>
                <w:rFonts w:ascii="Arial" w:cs="Arial" w:eastAsia="Arial" w:hAnsi="Arial"/>
                <w:sz w:val="16"/>
                <w:szCs w:val="16"/>
                <w:color w:val="auto"/>
              </w:rPr>
              <w:t>Sales and marketing</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20" w:type="dxa"/>
            <w:vAlign w:val="bottom"/>
          </w:tcPr>
          <w:p>
            <w:pPr>
              <w:jc w:val="right"/>
              <w:ind w:right="9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2"/>
                <w:szCs w:val="22"/>
                <w:color w:val="auto"/>
              </w:rPr>
            </w:pPr>
          </w:p>
        </w:tc>
        <w:tc>
          <w:tcPr>
            <w:tcW w:w="1520" w:type="dxa"/>
            <w:vAlign w:val="bottom"/>
          </w:tcPr>
          <w:p>
            <w:pPr>
              <w:jc w:val="right"/>
              <w:ind w:right="9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30</w:t>
            </w:r>
          </w:p>
        </w:tc>
      </w:tr>
      <w:tr>
        <w:trPr>
          <w:trHeight w:val="273"/>
        </w:trPr>
        <w:tc>
          <w:tcPr>
            <w:tcW w:w="50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9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r>
      <w:tr>
        <w:trPr>
          <w:trHeight w:val="250"/>
        </w:trPr>
        <w:tc>
          <w:tcPr>
            <w:tcW w:w="502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operating expenses</w:t>
            </w:r>
          </w:p>
        </w:tc>
        <w:tc>
          <w:tcPr>
            <w:tcW w:w="9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65</w:t>
            </w:r>
          </w:p>
        </w:tc>
      </w:tr>
      <w:tr>
        <w:trPr>
          <w:trHeight w:val="257"/>
        </w:trPr>
        <w:tc>
          <w:tcPr>
            <w:tcW w:w="6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r>
      <w:tr>
        <w:trPr>
          <w:trHeight w:val="264"/>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(expense), net</w:t>
            </w:r>
          </w:p>
        </w:tc>
        <w:tc>
          <w:tcPr>
            <w:tcW w:w="9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w:t>
            </w:r>
          </w:p>
        </w:tc>
      </w:tr>
      <w:tr>
        <w:trPr>
          <w:trHeight w:val="257"/>
        </w:trPr>
        <w:tc>
          <w:tcPr>
            <w:tcW w:w="6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r>
      <w:tr>
        <w:trPr>
          <w:trHeight w:val="264"/>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income taxes</w:t>
            </w:r>
          </w:p>
        </w:tc>
        <w:tc>
          <w:tcPr>
            <w:tcW w:w="9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w:t>
            </w:r>
          </w:p>
        </w:tc>
      </w:tr>
      <w:tr>
        <w:trPr>
          <w:trHeight w:val="240"/>
        </w:trPr>
        <w:tc>
          <w:tcPr>
            <w:tcW w:w="6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Comparison of </w:t>
      </w:r>
      <w:r>
        <w:rPr>
          <w:rFonts w:ascii="Arial" w:cs="Arial" w:eastAsia="Arial" w:hAnsi="Arial"/>
          <w:sz w:val="18"/>
          <w:szCs w:val="18"/>
          <w:b w:val="1"/>
          <w:bCs w:val="1"/>
          <w:color w:val="000000"/>
        </w:rPr>
        <w:t>Three Months Ended September 30, 2016</w:t>
      </w:r>
      <w:r>
        <w:rPr>
          <w:rFonts w:ascii="Arial" w:cs="Arial" w:eastAsia="Arial" w:hAnsi="Arial"/>
          <w:sz w:val="18"/>
          <w:szCs w:val="18"/>
          <w:b w:val="1"/>
          <w:bCs w:val="1"/>
          <w:color w:val="231F20"/>
        </w:rPr>
        <w:t xml:space="preserve"> and </w:t>
      </w:r>
      <w:r>
        <w:rPr>
          <w:rFonts w:ascii="Arial" w:cs="Arial" w:eastAsia="Arial" w:hAnsi="Arial"/>
          <w:sz w:val="18"/>
          <w:szCs w:val="18"/>
          <w:b w:val="1"/>
          <w:bCs w:val="1"/>
          <w:color w:val="000000"/>
        </w:rPr>
        <w:t>2015</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200" w:lineRule="exact"/>
        <w:rPr>
          <w:sz w:val="20"/>
          <w:szCs w:val="20"/>
          <w:color w:val="auto"/>
        </w:rPr>
      </w:pP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4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83"/>
        </w:trPr>
        <w:tc>
          <w:tcPr>
            <w:tcW w:w="5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gridSpan w:val="4"/>
          </w:tcPr>
          <w:p>
            <w:pPr>
              <w:jc w:val="center"/>
              <w:ind w:right="420"/>
              <w:spacing w:after="0"/>
              <w:rPr>
                <w:sz w:val="20"/>
                <w:szCs w:val="20"/>
                <w:color w:val="auto"/>
              </w:rPr>
            </w:pPr>
            <w:r>
              <w:rPr>
                <w:rFonts w:ascii="Arial" w:cs="Arial" w:eastAsia="Arial" w:hAnsi="Arial"/>
                <w:sz w:val="16"/>
                <w:szCs w:val="16"/>
                <w:b w:val="1"/>
                <w:bCs w:val="1"/>
                <w:color w:val="auto"/>
              </w:rPr>
              <w:t>September 30,</w:t>
            </w:r>
          </w:p>
        </w:tc>
        <w:tc>
          <w:tcPr>
            <w:tcW w:w="400" w:type="dxa"/>
            <w:vAlign w:val="bottom"/>
          </w:tcPr>
          <w:p>
            <w:pPr>
              <w:spacing w:after="0"/>
              <w:rPr>
                <w:sz w:val="24"/>
                <w:szCs w:val="24"/>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spacing w:after="0"/>
              <w:rPr>
                <w:sz w:val="24"/>
                <w:szCs w:val="24"/>
                <w:color w:val="auto"/>
              </w:rPr>
            </w:pPr>
          </w:p>
        </w:tc>
      </w:tr>
      <w:tr>
        <w:trPr>
          <w:trHeight w:val="264"/>
        </w:trPr>
        <w:tc>
          <w:tcPr>
            <w:tcW w:w="51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660" w:type="dxa"/>
            <w:vAlign w:val="bottom"/>
            <w:tcBorders>
              <w:top w:val="single" w:sz="8" w:color="auto"/>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8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(in thousands, except percentages)</w:t>
            </w:r>
          </w:p>
        </w:tc>
        <w:tc>
          <w:tcPr>
            <w:tcW w:w="1060" w:type="dxa"/>
            <w:vAlign w:val="bottom"/>
          </w:tcPr>
          <w:p>
            <w:pPr>
              <w:spacing w:after="0"/>
              <w:rPr>
                <w:sz w:val="21"/>
                <w:szCs w:val="21"/>
                <w:color w:val="auto"/>
              </w:rPr>
            </w:pPr>
          </w:p>
        </w:tc>
      </w:tr>
      <w:tr>
        <w:trPr>
          <w:trHeight w:val="280"/>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50,987</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42,469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8,518</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bl>
    <w:p>
      <w:pPr>
        <w:spacing w:after="0" w:line="215"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231F20"/>
        </w:rPr>
        <w:t xml:space="preserve">Revenues increased $8.5 million for the </w:t>
      </w:r>
      <w:r>
        <w:rPr>
          <w:rFonts w:ascii="Arial" w:cs="Arial" w:eastAsia="Arial" w:hAnsi="Arial"/>
          <w:sz w:val="18"/>
          <w:szCs w:val="18"/>
          <w:color w:val="000000"/>
        </w:rPr>
        <w:t>three months ended September 30, 2016</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 September 30,</w:t>
      </w:r>
      <w:r>
        <w:rPr>
          <w:rFonts w:ascii="Arial" w:cs="Arial" w:eastAsia="Arial" w:hAnsi="Arial"/>
          <w:sz w:val="18"/>
          <w:szCs w:val="18"/>
          <w:color w:val="231F20"/>
        </w:rPr>
        <w:t xml:space="preserve"> </w:t>
      </w:r>
      <w:r>
        <w:rPr>
          <w:rFonts w:ascii="Arial" w:cs="Arial" w:eastAsia="Arial" w:hAnsi="Arial"/>
          <w:sz w:val="18"/>
          <w:szCs w:val="18"/>
          <w:color w:val="000000"/>
        </w:rPr>
        <w:t>2015</w:t>
      </w:r>
      <w:r>
        <w:rPr>
          <w:rFonts w:ascii="Arial" w:cs="Arial" w:eastAsia="Arial" w:hAnsi="Arial"/>
          <w:sz w:val="18"/>
          <w:szCs w:val="18"/>
          <w:color w:val="231F20"/>
        </w:rPr>
        <w:t>, due to new customer subscriptions entered into after September 30, 2015 and from an increase in the purchase of subscriptions from</w:t>
      </w:r>
      <w:r>
        <w:rPr>
          <w:rFonts w:ascii="Arial" w:cs="Arial" w:eastAsia="Arial" w:hAnsi="Arial"/>
          <w:sz w:val="18"/>
          <w:szCs w:val="18"/>
          <w:color w:val="000000"/>
        </w:rPr>
        <w:t xml:space="preserve"> </w:t>
      </w:r>
      <w:r>
        <w:rPr>
          <w:rFonts w:ascii="Arial" w:cs="Arial" w:eastAsia="Arial" w:hAnsi="Arial"/>
          <w:sz w:val="18"/>
          <w:szCs w:val="18"/>
          <w:color w:val="231F20"/>
        </w:rPr>
        <w:t xml:space="preserve">existing customers. Of the total increase of </w:t>
      </w:r>
      <w:r>
        <w:rPr>
          <w:rFonts w:ascii="Arial" w:cs="Arial" w:eastAsia="Arial" w:hAnsi="Arial"/>
          <w:sz w:val="18"/>
          <w:szCs w:val="18"/>
          <w:color w:val="000000"/>
        </w:rPr>
        <w:t>$8.5 million</w:t>
      </w:r>
      <w:r>
        <w:rPr>
          <w:rFonts w:ascii="Arial" w:cs="Arial" w:eastAsia="Arial" w:hAnsi="Arial"/>
          <w:sz w:val="18"/>
          <w:szCs w:val="18"/>
          <w:color w:val="231F20"/>
        </w:rPr>
        <w:t>, $6.0 million was from customers in the United States and the remaining $2.5 million was from customers in foreign countries. The growth in revenues reflects the continued demand for solutions.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41"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20" w:type="dxa"/>
            <w:vAlign w:val="bottom"/>
            <w:gridSpan w:val="2"/>
          </w:tcPr>
          <w:p>
            <w:pPr>
              <w:jc w:val="center"/>
              <w:ind w:left="179"/>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83"/>
        </w:trPr>
        <w:tc>
          <w:tcPr>
            <w:tcW w:w="50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2"/>
          </w:tcPr>
          <w:p>
            <w:pPr>
              <w:jc w:val="center"/>
              <w:ind w:left="179"/>
              <w:spacing w:after="0"/>
              <w:rPr>
                <w:sz w:val="20"/>
                <w:szCs w:val="20"/>
                <w:color w:val="auto"/>
              </w:rPr>
            </w:pPr>
            <w:r>
              <w:rPr>
                <w:rFonts w:ascii="Arial" w:cs="Arial" w:eastAsia="Arial" w:hAnsi="Arial"/>
                <w:sz w:val="16"/>
                <w:szCs w:val="16"/>
                <w:b w:val="1"/>
                <w:bCs w:val="1"/>
                <w:color w:val="auto"/>
              </w:rPr>
              <w:t>September 30,</w:t>
            </w: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bottom w:val="single" w:sz="8" w:color="auto"/>
            </w:tcBorders>
          </w:tcPr>
          <w:p>
            <w:pPr>
              <w:spacing w:after="0"/>
              <w:rPr>
                <w:sz w:val="24"/>
                <w:szCs w:val="24"/>
                <w:color w:val="auto"/>
              </w:rPr>
            </w:pPr>
          </w:p>
        </w:tc>
      </w:tr>
      <w:tr>
        <w:trPr>
          <w:trHeight w:val="264"/>
        </w:trPr>
        <w:tc>
          <w:tcPr>
            <w:tcW w:w="50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w:t>
            </w:r>
          </w:p>
        </w:tc>
      </w:tr>
      <w:tr>
        <w:trPr>
          <w:trHeight w:val="247"/>
        </w:trPr>
        <w:tc>
          <w:tcPr>
            <w:tcW w:w="5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760" w:type="dxa"/>
            <w:vAlign w:val="bottom"/>
            <w:gridSpan w:val="5"/>
          </w:tcPr>
          <w:p>
            <w:pPr>
              <w:jc w:val="right"/>
              <w:ind w:right="699"/>
              <w:spacing w:after="0"/>
              <w:rPr>
                <w:sz w:val="20"/>
                <w:szCs w:val="20"/>
                <w:color w:val="auto"/>
              </w:rPr>
            </w:pPr>
            <w:r>
              <w:rPr>
                <w:rFonts w:ascii="Arial" w:cs="Arial" w:eastAsia="Arial" w:hAnsi="Arial"/>
                <w:sz w:val="16"/>
                <w:szCs w:val="16"/>
                <w:b w:val="1"/>
                <w:bCs w:val="1"/>
                <w:color w:val="auto"/>
              </w:rPr>
              <w:t>(in thousands, except percentages)</w:t>
            </w:r>
          </w:p>
        </w:tc>
        <w:tc>
          <w:tcPr>
            <w:tcW w:w="1020" w:type="dxa"/>
            <w:vAlign w:val="bottom"/>
          </w:tcPr>
          <w:p>
            <w:pPr>
              <w:spacing w:after="0"/>
              <w:rPr>
                <w:sz w:val="21"/>
                <w:szCs w:val="21"/>
                <w:color w:val="auto"/>
              </w:rPr>
            </w:pPr>
          </w:p>
        </w:tc>
      </w:tr>
      <w:tr>
        <w:trPr>
          <w:trHeight w:val="28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11,288</w:t>
            </w:r>
          </w:p>
        </w:tc>
        <w:tc>
          <w:tcPr>
            <w:tcW w:w="100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99"/>
              </w:rPr>
              <w:t>8,762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2,526</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60"/>
        </w:trPr>
        <w:tc>
          <w:tcPr>
            <w:tcW w:w="504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w:t>
            </w:r>
          </w:p>
        </w:tc>
        <w:tc>
          <w:tcPr>
            <w:tcW w:w="10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 percentage</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bl>
    <w:p>
      <w:pPr>
        <w:spacing w:after="0" w:line="215" w:lineRule="exact"/>
        <w:rPr>
          <w:sz w:val="20"/>
          <w:szCs w:val="20"/>
          <w:color w:val="auto"/>
        </w:rPr>
      </w:pPr>
    </w:p>
    <w:p>
      <w:pPr>
        <w:ind w:right="380" w:firstLine="486"/>
        <w:spacing w:after="0" w:line="254" w:lineRule="auto"/>
        <w:rPr>
          <w:sz w:val="20"/>
          <w:szCs w:val="20"/>
          <w:color w:val="auto"/>
        </w:rPr>
      </w:pPr>
      <w:r>
        <w:rPr>
          <w:rFonts w:ascii="Arial" w:cs="Arial" w:eastAsia="Arial" w:hAnsi="Arial"/>
          <w:sz w:val="18"/>
          <w:szCs w:val="18"/>
          <w:color w:val="231F20"/>
        </w:rPr>
        <w:t xml:space="preserve">Cost of revenues increased $2.5 million for the </w:t>
      </w:r>
      <w:r>
        <w:rPr>
          <w:rFonts w:ascii="Arial" w:cs="Arial" w:eastAsia="Arial" w:hAnsi="Arial"/>
          <w:sz w:val="18"/>
          <w:szCs w:val="18"/>
          <w:color w:val="000000"/>
        </w:rPr>
        <w:t>three months ended September 30, 2016</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w:t>
      </w:r>
      <w:r>
        <w:rPr>
          <w:rFonts w:ascii="Arial" w:cs="Arial" w:eastAsia="Arial" w:hAnsi="Arial"/>
          <w:sz w:val="18"/>
          <w:szCs w:val="18"/>
          <w:color w:val="231F20"/>
        </w:rPr>
        <w:t xml:space="preserve"> </w:t>
      </w:r>
      <w:r>
        <w:rPr>
          <w:rFonts w:ascii="Arial" w:cs="Arial" w:eastAsia="Arial" w:hAnsi="Arial"/>
          <w:sz w:val="18"/>
          <w:szCs w:val="18"/>
          <w:color w:val="000000"/>
        </w:rPr>
        <w:t xml:space="preserve">September 30, 2015, </w:t>
      </w:r>
      <w:r>
        <w:rPr>
          <w:rFonts w:ascii="Arial" w:cs="Arial" w:eastAsia="Arial" w:hAnsi="Arial"/>
          <w:sz w:val="18"/>
          <w:szCs w:val="18"/>
          <w:color w:val="231F20"/>
        </w:rPr>
        <w:t>primarily due to increased personnel expenses of $0.8 million to support continued growth of our business; increased</w:t>
      </w:r>
      <w:r>
        <w:rPr>
          <w:rFonts w:ascii="Arial" w:cs="Arial" w:eastAsia="Arial" w:hAnsi="Arial"/>
          <w:sz w:val="18"/>
          <w:szCs w:val="18"/>
          <w:color w:val="000000"/>
        </w:rPr>
        <w:t xml:space="preserve"> </w:t>
      </w:r>
      <w:r>
        <w:rPr>
          <w:rFonts w:ascii="Arial" w:cs="Arial" w:eastAsia="Arial" w:hAnsi="Arial"/>
          <w:sz w:val="18"/>
          <w:szCs w:val="18"/>
          <w:color w:val="231F20"/>
        </w:rPr>
        <w:t>third-party software license and maintenance expense of $0.7 million; a $0.6 million increase in depreciation expense related to additional computer hardware and software; and increased overhead costs of $0.2 million as we continue to grow.</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Research and Development Expenses</w:t>
      </w:r>
    </w:p>
    <w:p>
      <w:pPr>
        <w:spacing w:after="0" w:line="200" w:lineRule="exact"/>
        <w:rPr>
          <w:sz w:val="20"/>
          <w:szCs w:val="20"/>
          <w:color w:val="auto"/>
        </w:rPr>
      </w:pP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2580" w:type="dxa"/>
            <w:vAlign w:val="bottom"/>
            <w:gridSpan w:val="3"/>
          </w:tcPr>
          <w:p>
            <w:pPr>
              <w:jc w:val="center"/>
              <w:ind w:left="499"/>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83"/>
        </w:trPr>
        <w:tc>
          <w:tcPr>
            <w:tcW w:w="504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right="259"/>
              <w:spacing w:after="0"/>
              <w:rPr>
                <w:sz w:val="20"/>
                <w:szCs w:val="20"/>
                <w:color w:val="auto"/>
              </w:rPr>
            </w:pPr>
            <w:r>
              <w:rPr>
                <w:rFonts w:ascii="Arial" w:cs="Arial" w:eastAsia="Arial" w:hAnsi="Arial"/>
                <w:sz w:val="16"/>
                <w:szCs w:val="16"/>
                <w:b w:val="1"/>
                <w:bCs w:val="1"/>
                <w:color w:val="auto"/>
              </w:rPr>
              <w:t>September 30,</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bottom w:val="single" w:sz="8" w:color="auto"/>
            </w:tcBorders>
          </w:tcPr>
          <w:p>
            <w:pPr>
              <w:spacing w:after="0"/>
              <w:rPr>
                <w:sz w:val="24"/>
                <w:szCs w:val="24"/>
                <w:color w:val="auto"/>
              </w:rPr>
            </w:pPr>
          </w:p>
        </w:tc>
      </w:tr>
      <w:tr>
        <w:trPr>
          <w:trHeight w:val="264"/>
        </w:trPr>
        <w:tc>
          <w:tcPr>
            <w:tcW w:w="504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0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740" w:type="dxa"/>
            <w:vAlign w:val="bottom"/>
            <w:gridSpan w:val="5"/>
          </w:tcPr>
          <w:p>
            <w:pPr>
              <w:jc w:val="right"/>
              <w:ind w:right="699"/>
              <w:spacing w:after="0"/>
              <w:rPr>
                <w:sz w:val="20"/>
                <w:szCs w:val="20"/>
                <w:color w:val="auto"/>
              </w:rPr>
            </w:pPr>
            <w:r>
              <w:rPr>
                <w:rFonts w:ascii="Arial" w:cs="Arial" w:eastAsia="Arial" w:hAnsi="Arial"/>
                <w:sz w:val="16"/>
                <w:szCs w:val="16"/>
                <w:b w:val="1"/>
                <w:bCs w:val="1"/>
                <w:color w:val="auto"/>
              </w:rPr>
              <w:t>(in thousands, except percentages)</w:t>
            </w:r>
          </w:p>
        </w:tc>
        <w:tc>
          <w:tcPr>
            <w:tcW w:w="1040" w:type="dxa"/>
            <w:vAlign w:val="bottom"/>
          </w:tcPr>
          <w:p>
            <w:pPr>
              <w:spacing w:after="0"/>
              <w:rPr>
                <w:sz w:val="21"/>
                <w:szCs w:val="21"/>
                <w:color w:val="auto"/>
              </w:rPr>
            </w:pPr>
          </w:p>
        </w:tc>
      </w:tr>
      <w:tr>
        <w:trPr>
          <w:trHeight w:val="280"/>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4"/>
              </w:rPr>
              <w:t>9,405</w:t>
            </w:r>
          </w:p>
        </w:tc>
        <w:tc>
          <w:tcPr>
            <w:tcW w:w="100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94"/>
              </w:rPr>
              <w:t>7,564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1,841</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51"/>
        </w:trPr>
        <w:tc>
          <w:tcPr>
            <w:tcW w:w="5040" w:type="dxa"/>
            <w:vAlign w:val="bottom"/>
          </w:tcPr>
          <w:p>
            <w:pPr>
              <w:ind w:left="20"/>
              <w:spacing w:after="0"/>
              <w:rPr>
                <w:sz w:val="20"/>
                <w:szCs w:val="20"/>
                <w:color w:val="auto"/>
              </w:rPr>
            </w:pPr>
            <w:r>
              <w:rPr>
                <w:rFonts w:ascii="Arial" w:cs="Arial" w:eastAsia="Arial" w:hAnsi="Arial"/>
                <w:sz w:val="16"/>
                <w:szCs w:val="16"/>
                <w:color w:val="auto"/>
              </w:rPr>
              <w:t>Percentage of revenues</w:t>
            </w:r>
          </w:p>
        </w:tc>
        <w:tc>
          <w:tcPr>
            <w:tcW w:w="940" w:type="dxa"/>
            <w:vAlign w:val="bottom"/>
          </w:tcPr>
          <w:p>
            <w:pPr>
              <w:spacing w:after="0"/>
              <w:rPr>
                <w:sz w:val="21"/>
                <w:szCs w:val="21"/>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289"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231F20"/>
        </w:rPr>
        <w:t xml:space="preserve">Research and development expenses increased $1.8 million for the three months ended September 30, 2016 compared to the </w:t>
      </w:r>
      <w:r>
        <w:rPr>
          <w:rFonts w:ascii="Arial" w:cs="Arial" w:eastAsia="Arial" w:hAnsi="Arial"/>
          <w:sz w:val="18"/>
          <w:szCs w:val="18"/>
          <w:color w:val="000000"/>
        </w:rPr>
        <w:t>three</w:t>
      </w:r>
      <w:r>
        <w:rPr>
          <w:rFonts w:ascii="Arial" w:cs="Arial" w:eastAsia="Arial" w:hAnsi="Arial"/>
          <w:sz w:val="18"/>
          <w:szCs w:val="18"/>
          <w:color w:val="231F20"/>
        </w:rPr>
        <w:t xml:space="preserve"> </w:t>
      </w:r>
      <w:r>
        <w:rPr>
          <w:rFonts w:ascii="Arial" w:cs="Arial" w:eastAsia="Arial" w:hAnsi="Arial"/>
          <w:sz w:val="18"/>
          <w:szCs w:val="18"/>
          <w:color w:val="000000"/>
        </w:rPr>
        <w:t>months ended September 30, 2015</w:t>
      </w:r>
      <w:r>
        <w:rPr>
          <w:rFonts w:ascii="Arial" w:cs="Arial" w:eastAsia="Arial" w:hAnsi="Arial"/>
          <w:sz w:val="18"/>
          <w:szCs w:val="18"/>
          <w:color w:val="231F20"/>
        </w:rPr>
        <w:t>, primarily due to an increase in personnel expenses of $1.4 million, driven by the increase in the number of</w:t>
      </w:r>
      <w:r>
        <w:rPr>
          <w:rFonts w:ascii="Arial" w:cs="Arial" w:eastAsia="Arial" w:hAnsi="Arial"/>
          <w:sz w:val="18"/>
          <w:szCs w:val="18"/>
          <w:color w:val="000000"/>
        </w:rPr>
        <w:t xml:space="preserve"> </w:t>
      </w:r>
      <w:r>
        <w:rPr>
          <w:rFonts w:ascii="Arial" w:cs="Arial" w:eastAsia="Arial" w:hAnsi="Arial"/>
          <w:sz w:val="18"/>
          <w:szCs w:val="18"/>
          <w:color w:val="231F20"/>
        </w:rPr>
        <w:t>employees, and increased overhead costs of $0.2 million as we continue to grow. We continue to significantly invest in and expand our research and development teams to continuously improve our platform and existing solutions, as well as develop new solutions and capabilities.</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Marketing Expenses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gridSpan w:val="4"/>
          </w:tcPr>
          <w:p>
            <w:pPr>
              <w:jc w:val="center"/>
              <w:ind w:right="44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83"/>
        </w:trPr>
        <w:tc>
          <w:tcPr>
            <w:tcW w:w="50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center"/>
              <w:ind w:left="579"/>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bottom w:val="single" w:sz="8" w:color="auto"/>
            </w:tcBorders>
          </w:tcPr>
          <w:p>
            <w:pPr>
              <w:spacing w:after="0"/>
              <w:rPr>
                <w:sz w:val="24"/>
                <w:szCs w:val="24"/>
                <w:color w:val="auto"/>
              </w:rPr>
            </w:pPr>
          </w:p>
        </w:tc>
      </w:tr>
      <w:tr>
        <w:trPr>
          <w:trHeight w:val="264"/>
        </w:trPr>
        <w:tc>
          <w:tcPr>
            <w:tcW w:w="50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w:t>
            </w:r>
          </w:p>
        </w:tc>
      </w:tr>
      <w:tr>
        <w:trPr>
          <w:trHeight w:val="247"/>
        </w:trPr>
        <w:tc>
          <w:tcPr>
            <w:tcW w:w="5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760" w:type="dxa"/>
            <w:vAlign w:val="bottom"/>
            <w:gridSpan w:val="5"/>
          </w:tcPr>
          <w:p>
            <w:pPr>
              <w:jc w:val="right"/>
              <w:ind w:right="699"/>
              <w:spacing w:after="0"/>
              <w:rPr>
                <w:sz w:val="20"/>
                <w:szCs w:val="20"/>
                <w:color w:val="auto"/>
              </w:rPr>
            </w:pPr>
            <w:r>
              <w:rPr>
                <w:rFonts w:ascii="Arial" w:cs="Arial" w:eastAsia="Arial" w:hAnsi="Arial"/>
                <w:sz w:val="16"/>
                <w:szCs w:val="16"/>
                <w:b w:val="1"/>
                <w:bCs w:val="1"/>
                <w:color w:val="auto"/>
              </w:rPr>
              <w:t>(in thousands, except percentages)</w:t>
            </w:r>
          </w:p>
        </w:tc>
        <w:tc>
          <w:tcPr>
            <w:tcW w:w="1020" w:type="dxa"/>
            <w:vAlign w:val="bottom"/>
          </w:tcPr>
          <w:p>
            <w:pPr>
              <w:spacing w:after="0"/>
              <w:rPr>
                <w:sz w:val="21"/>
                <w:szCs w:val="21"/>
                <w:color w:val="auto"/>
              </w:rPr>
            </w:pPr>
          </w:p>
        </w:tc>
      </w:tr>
      <w:tr>
        <w:trPr>
          <w:trHeight w:val="28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14,240</w:t>
            </w:r>
          </w:p>
        </w:tc>
        <w:tc>
          <w:tcPr>
            <w:tcW w:w="6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12,282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1,958</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51"/>
        </w:trPr>
        <w:tc>
          <w:tcPr>
            <w:tcW w:w="504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w:t>
            </w: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235"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231F20"/>
        </w:rPr>
        <w:t xml:space="preserve">Sales and marketing expenses increased $2.0 million for the </w:t>
      </w:r>
      <w:r>
        <w:rPr>
          <w:rFonts w:ascii="Arial" w:cs="Arial" w:eastAsia="Arial" w:hAnsi="Arial"/>
          <w:sz w:val="18"/>
          <w:szCs w:val="18"/>
          <w:color w:val="000000"/>
        </w:rPr>
        <w:t>three months ended September 30, 2016</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w:t>
      </w:r>
      <w:r>
        <w:rPr>
          <w:rFonts w:ascii="Arial" w:cs="Arial" w:eastAsia="Arial" w:hAnsi="Arial"/>
          <w:sz w:val="18"/>
          <w:szCs w:val="18"/>
          <w:color w:val="231F20"/>
        </w:rPr>
        <w:t xml:space="preserve"> </w:t>
      </w:r>
      <w:r>
        <w:rPr>
          <w:rFonts w:ascii="Arial" w:cs="Arial" w:eastAsia="Arial" w:hAnsi="Arial"/>
          <w:sz w:val="18"/>
          <w:szCs w:val="18"/>
          <w:color w:val="000000"/>
        </w:rPr>
        <w:t>ended September 30, 2015</w:t>
      </w:r>
      <w:r>
        <w:rPr>
          <w:rFonts w:ascii="Arial" w:cs="Arial" w:eastAsia="Arial" w:hAnsi="Arial"/>
          <w:sz w:val="18"/>
          <w:szCs w:val="18"/>
          <w:color w:val="231F20"/>
        </w:rPr>
        <w:t>, primarily due to increased personnel expenses of $ 1.0 million, principally due to an increase in the number of</w:t>
      </w:r>
      <w:r>
        <w:rPr>
          <w:rFonts w:ascii="Arial" w:cs="Arial" w:eastAsia="Arial" w:hAnsi="Arial"/>
          <w:sz w:val="18"/>
          <w:szCs w:val="18"/>
          <w:color w:val="000000"/>
        </w:rPr>
        <w:t xml:space="preserve"> </w:t>
      </w:r>
      <w:r>
        <w:rPr>
          <w:rFonts w:ascii="Arial" w:cs="Arial" w:eastAsia="Arial" w:hAnsi="Arial"/>
          <w:sz w:val="18"/>
          <w:szCs w:val="18"/>
          <w:color w:val="231F20"/>
        </w:rPr>
        <w:t>employees; increased marketing expenses of $0.4 million, primarily trade show, lead generation and branding expenses; increased software license and maintenance fees of $0.2 million; and increased consulting services of $0.1 million.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41"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General and Administrative Expenses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2580" w:type="dxa"/>
            <w:vAlign w:val="bottom"/>
            <w:gridSpan w:val="3"/>
          </w:tcPr>
          <w:p>
            <w:pPr>
              <w:jc w:val="center"/>
              <w:ind w:left="539"/>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83"/>
        </w:trPr>
        <w:tc>
          <w:tcPr>
            <w:tcW w:w="504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right="239"/>
              <w:spacing w:after="0"/>
              <w:rPr>
                <w:sz w:val="20"/>
                <w:szCs w:val="20"/>
                <w:color w:val="auto"/>
              </w:rPr>
            </w:pPr>
            <w:r>
              <w:rPr>
                <w:rFonts w:ascii="Arial" w:cs="Arial" w:eastAsia="Arial" w:hAnsi="Arial"/>
                <w:sz w:val="16"/>
                <w:szCs w:val="16"/>
                <w:b w:val="1"/>
                <w:bCs w:val="1"/>
                <w:color w:val="auto"/>
              </w:rPr>
              <w:t>September 30,</w:t>
            </w: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bottom w:val="single" w:sz="8" w:color="auto"/>
            </w:tcBorders>
          </w:tcPr>
          <w:p>
            <w:pPr>
              <w:spacing w:after="0"/>
              <w:rPr>
                <w:sz w:val="24"/>
                <w:szCs w:val="24"/>
                <w:color w:val="auto"/>
              </w:rPr>
            </w:pPr>
          </w:p>
        </w:tc>
      </w:tr>
      <w:tr>
        <w:trPr>
          <w:trHeight w:val="264"/>
        </w:trPr>
        <w:tc>
          <w:tcPr>
            <w:tcW w:w="504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w:t>
            </w:r>
          </w:p>
        </w:tc>
      </w:tr>
      <w:tr>
        <w:trPr>
          <w:trHeight w:val="247"/>
        </w:trPr>
        <w:tc>
          <w:tcPr>
            <w:tcW w:w="50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760" w:type="dxa"/>
            <w:vAlign w:val="bottom"/>
            <w:gridSpan w:val="5"/>
          </w:tcPr>
          <w:p>
            <w:pPr>
              <w:jc w:val="right"/>
              <w:ind w:right="699"/>
              <w:spacing w:after="0"/>
              <w:rPr>
                <w:sz w:val="20"/>
                <w:szCs w:val="20"/>
                <w:color w:val="auto"/>
              </w:rPr>
            </w:pPr>
            <w:r>
              <w:rPr>
                <w:rFonts w:ascii="Arial" w:cs="Arial" w:eastAsia="Arial" w:hAnsi="Arial"/>
                <w:sz w:val="16"/>
                <w:szCs w:val="16"/>
                <w:b w:val="1"/>
                <w:bCs w:val="1"/>
                <w:color w:val="auto"/>
              </w:rPr>
              <w:t>(in thousands, except percentages)</w:t>
            </w:r>
          </w:p>
        </w:tc>
        <w:tc>
          <w:tcPr>
            <w:tcW w:w="1020" w:type="dxa"/>
            <w:vAlign w:val="bottom"/>
          </w:tcPr>
          <w:p>
            <w:pPr>
              <w:spacing w:after="0"/>
              <w:rPr>
                <w:sz w:val="21"/>
                <w:szCs w:val="21"/>
                <w:color w:val="auto"/>
              </w:rPr>
            </w:pPr>
          </w:p>
        </w:tc>
      </w:tr>
      <w:tr>
        <w:trPr>
          <w:trHeight w:val="28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9"/>
              </w:rPr>
              <w:t>8,067</w:t>
            </w:r>
          </w:p>
        </w:tc>
        <w:tc>
          <w:tcPr>
            <w:tcW w:w="100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99"/>
              </w:rPr>
              <w:t>6,983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1,084</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51"/>
        </w:trPr>
        <w:tc>
          <w:tcPr>
            <w:tcW w:w="504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9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235"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231F20"/>
        </w:rPr>
        <w:t xml:space="preserve">General and administrative expenses increased $1.1 million for the </w:t>
      </w:r>
      <w:r>
        <w:rPr>
          <w:rFonts w:ascii="Arial" w:cs="Arial" w:eastAsia="Arial" w:hAnsi="Arial"/>
          <w:sz w:val="18"/>
          <w:szCs w:val="18"/>
          <w:color w:val="000000"/>
        </w:rPr>
        <w:t>three months ended September 30, 2016</w:t>
      </w:r>
      <w:r>
        <w:rPr>
          <w:rFonts w:ascii="Arial" w:cs="Arial" w:eastAsia="Arial" w:hAnsi="Arial"/>
          <w:sz w:val="18"/>
          <w:szCs w:val="18"/>
          <w:color w:val="231F20"/>
        </w:rPr>
        <w:t xml:space="preserve"> compared to the </w:t>
      </w:r>
      <w:r>
        <w:rPr>
          <w:rFonts w:ascii="Arial" w:cs="Arial" w:eastAsia="Arial" w:hAnsi="Arial"/>
          <w:sz w:val="18"/>
          <w:szCs w:val="18"/>
          <w:color w:val="000000"/>
        </w:rPr>
        <w:t>three</w:t>
      </w:r>
      <w:r>
        <w:rPr>
          <w:rFonts w:ascii="Arial" w:cs="Arial" w:eastAsia="Arial" w:hAnsi="Arial"/>
          <w:sz w:val="18"/>
          <w:szCs w:val="18"/>
          <w:color w:val="231F20"/>
        </w:rPr>
        <w:t xml:space="preserve"> </w:t>
      </w:r>
      <w:r>
        <w:rPr>
          <w:rFonts w:ascii="Arial" w:cs="Arial" w:eastAsia="Arial" w:hAnsi="Arial"/>
          <w:sz w:val="18"/>
          <w:szCs w:val="18"/>
          <w:color w:val="000000"/>
        </w:rPr>
        <w:t>months ended September 30, 2015</w:t>
      </w:r>
      <w:r>
        <w:rPr>
          <w:rFonts w:ascii="Arial" w:cs="Arial" w:eastAsia="Arial" w:hAnsi="Arial"/>
          <w:sz w:val="18"/>
          <w:szCs w:val="18"/>
          <w:color w:val="231F20"/>
        </w:rPr>
        <w:t>, primarily driven by increased personnel expenses of $0.9 million, principally due to additional employees,</w:t>
      </w:r>
      <w:r>
        <w:rPr>
          <w:rFonts w:ascii="Arial" w:cs="Arial" w:eastAsia="Arial" w:hAnsi="Arial"/>
          <w:sz w:val="18"/>
          <w:szCs w:val="18"/>
          <w:color w:val="000000"/>
        </w:rPr>
        <w:t xml:space="preserve"> </w:t>
      </w:r>
      <w:r>
        <w:rPr>
          <w:rFonts w:ascii="Arial" w:cs="Arial" w:eastAsia="Arial" w:hAnsi="Arial"/>
          <w:sz w:val="18"/>
          <w:szCs w:val="18"/>
          <w:color w:val="231F20"/>
        </w:rPr>
        <w:t>and increased legal, accounting and consulting services of $0.4 million, partially offset by lower bad debt expense and other fees of $0.4 million.</w:t>
      </w:r>
    </w:p>
    <w:p>
      <w:pPr>
        <w:spacing w:after="0" w:line="12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Total Other Income (Expense), Net</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060" w:type="dxa"/>
            <w:vAlign w:val="bottom"/>
          </w:tcPr>
          <w:p>
            <w:pPr>
              <w:spacing w:after="0"/>
              <w:rPr>
                <w:sz w:val="18"/>
                <w:szCs w:val="18"/>
                <w:color w:val="auto"/>
              </w:rPr>
            </w:pPr>
          </w:p>
        </w:tc>
        <w:tc>
          <w:tcPr>
            <w:tcW w:w="2620" w:type="dxa"/>
            <w:vAlign w:val="bottom"/>
            <w:gridSpan w:val="3"/>
          </w:tcPr>
          <w:p>
            <w:pPr>
              <w:jc w:val="center"/>
              <w:ind w:left="499"/>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83"/>
        </w:trPr>
        <w:tc>
          <w:tcPr>
            <w:tcW w:w="50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right="339"/>
              <w:spacing w:after="0"/>
              <w:rPr>
                <w:sz w:val="20"/>
                <w:szCs w:val="20"/>
                <w:color w:val="auto"/>
              </w:rPr>
            </w:pPr>
            <w:r>
              <w:rPr>
                <w:rFonts w:ascii="Arial" w:cs="Arial" w:eastAsia="Arial" w:hAnsi="Arial"/>
                <w:sz w:val="16"/>
                <w:szCs w:val="16"/>
                <w:b w:val="1"/>
                <w:bCs w:val="1"/>
                <w:color w:val="auto"/>
              </w:rPr>
              <w:t>September 30,</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bottom w:val="single" w:sz="8" w:color="auto"/>
            </w:tcBorders>
          </w:tcPr>
          <w:p>
            <w:pPr>
              <w:spacing w:after="0"/>
              <w:rPr>
                <w:sz w:val="24"/>
                <w:szCs w:val="24"/>
                <w:color w:val="auto"/>
              </w:rPr>
            </w:pPr>
          </w:p>
        </w:tc>
      </w:tr>
      <w:tr>
        <w:trPr>
          <w:trHeight w:val="264"/>
        </w:trPr>
        <w:tc>
          <w:tcPr>
            <w:tcW w:w="50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w:t>
            </w:r>
          </w:p>
        </w:tc>
      </w:tr>
      <w:tr>
        <w:trPr>
          <w:trHeight w:val="247"/>
        </w:trPr>
        <w:tc>
          <w:tcPr>
            <w:tcW w:w="50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740" w:type="dxa"/>
            <w:vAlign w:val="bottom"/>
            <w:gridSpan w:val="5"/>
          </w:tcPr>
          <w:p>
            <w:pPr>
              <w:jc w:val="right"/>
              <w:ind w:right="699"/>
              <w:spacing w:after="0"/>
              <w:rPr>
                <w:sz w:val="20"/>
                <w:szCs w:val="20"/>
                <w:color w:val="auto"/>
              </w:rPr>
            </w:pPr>
            <w:r>
              <w:rPr>
                <w:rFonts w:ascii="Arial" w:cs="Arial" w:eastAsia="Arial" w:hAnsi="Arial"/>
                <w:sz w:val="16"/>
                <w:szCs w:val="16"/>
                <w:b w:val="1"/>
                <w:bCs w:val="1"/>
                <w:color w:val="auto"/>
              </w:rPr>
              <w:t>(in thousands, except percentages)</w:t>
            </w:r>
          </w:p>
        </w:tc>
        <w:tc>
          <w:tcPr>
            <w:tcW w:w="1020" w:type="dxa"/>
            <w:vAlign w:val="bottom"/>
          </w:tcPr>
          <w:p>
            <w:pPr>
              <w:spacing w:after="0"/>
              <w:rPr>
                <w:sz w:val="21"/>
                <w:szCs w:val="21"/>
                <w:color w:val="auto"/>
              </w:rPr>
            </w:pPr>
          </w:p>
        </w:tc>
      </w:tr>
      <w:tr>
        <w:trPr>
          <w:trHeight w:val="280"/>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income (expense), net</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230</w:t>
            </w:r>
          </w:p>
        </w:tc>
        <w:tc>
          <w:tcPr>
            <w:tcW w:w="104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384</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51"/>
        </w:trPr>
        <w:tc>
          <w:tcPr>
            <w:tcW w:w="5060" w:type="dxa"/>
            <w:vAlign w:val="bottom"/>
          </w:tcPr>
          <w:p>
            <w:pPr>
              <w:ind w:left="20"/>
              <w:spacing w:after="0"/>
              <w:rPr>
                <w:sz w:val="20"/>
                <w:szCs w:val="20"/>
                <w:color w:val="auto"/>
              </w:rPr>
            </w:pPr>
            <w:r>
              <w:rPr>
                <w:rFonts w:ascii="Arial" w:cs="Arial" w:eastAsia="Arial" w:hAnsi="Arial"/>
                <w:sz w:val="16"/>
                <w:szCs w:val="16"/>
                <w:color w:val="auto"/>
              </w:rPr>
              <w:t>Percentage of revenues</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w:t>
            </w:r>
          </w:p>
        </w:tc>
        <w:tc>
          <w:tcPr>
            <w:tcW w:w="10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235" w:lineRule="exact"/>
        <w:rPr>
          <w:sz w:val="20"/>
          <w:szCs w:val="20"/>
          <w:color w:val="auto"/>
        </w:rPr>
      </w:pPr>
    </w:p>
    <w:p>
      <w:pPr>
        <w:ind w:right="460" w:firstLine="486"/>
        <w:spacing w:after="0" w:line="291" w:lineRule="auto"/>
        <w:rPr>
          <w:sz w:val="20"/>
          <w:szCs w:val="20"/>
          <w:color w:val="auto"/>
        </w:rPr>
      </w:pPr>
      <w:r>
        <w:rPr>
          <w:rFonts w:ascii="Arial" w:cs="Arial" w:eastAsia="Arial" w:hAnsi="Arial"/>
          <w:sz w:val="17"/>
          <w:szCs w:val="17"/>
          <w:color w:val="231F20"/>
        </w:rPr>
        <w:t>Total other income (expense), net decreased by $ 0.4 million for the three months ended September 30, 2016 compared to the three months ended September 30, 2015, primarily due to an increase in investment and interest income and lower foreign exchange losses.</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2580" w:type="dxa"/>
            <w:vAlign w:val="bottom"/>
            <w:gridSpan w:val="3"/>
          </w:tcPr>
          <w:p>
            <w:pPr>
              <w:jc w:val="center"/>
              <w:ind w:left="539"/>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83"/>
        </w:trPr>
        <w:tc>
          <w:tcPr>
            <w:tcW w:w="504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right="239"/>
              <w:spacing w:after="0"/>
              <w:rPr>
                <w:sz w:val="20"/>
                <w:szCs w:val="20"/>
                <w:color w:val="auto"/>
              </w:rPr>
            </w:pPr>
            <w:r>
              <w:rPr>
                <w:rFonts w:ascii="Arial" w:cs="Arial" w:eastAsia="Arial" w:hAnsi="Arial"/>
                <w:sz w:val="16"/>
                <w:szCs w:val="16"/>
                <w:b w:val="1"/>
                <w:bCs w:val="1"/>
                <w:color w:val="auto"/>
              </w:rPr>
              <w:t>September 30,</w:t>
            </w: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bottom w:val="single" w:sz="8" w:color="auto"/>
            </w:tcBorders>
          </w:tcPr>
          <w:p>
            <w:pPr>
              <w:spacing w:after="0"/>
              <w:rPr>
                <w:sz w:val="24"/>
                <w:szCs w:val="24"/>
                <w:color w:val="auto"/>
              </w:rPr>
            </w:pPr>
          </w:p>
        </w:tc>
      </w:tr>
      <w:tr>
        <w:trPr>
          <w:trHeight w:val="264"/>
        </w:trPr>
        <w:tc>
          <w:tcPr>
            <w:tcW w:w="504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w:t>
            </w:r>
          </w:p>
        </w:tc>
      </w:tr>
      <w:tr>
        <w:trPr>
          <w:trHeight w:val="247"/>
        </w:trPr>
        <w:tc>
          <w:tcPr>
            <w:tcW w:w="50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760" w:type="dxa"/>
            <w:vAlign w:val="bottom"/>
            <w:gridSpan w:val="5"/>
          </w:tcPr>
          <w:p>
            <w:pPr>
              <w:jc w:val="right"/>
              <w:ind w:right="699"/>
              <w:spacing w:after="0"/>
              <w:rPr>
                <w:sz w:val="20"/>
                <w:szCs w:val="20"/>
                <w:color w:val="auto"/>
              </w:rPr>
            </w:pPr>
            <w:r>
              <w:rPr>
                <w:rFonts w:ascii="Arial" w:cs="Arial" w:eastAsia="Arial" w:hAnsi="Arial"/>
                <w:sz w:val="16"/>
                <w:szCs w:val="16"/>
                <w:b w:val="1"/>
                <w:bCs w:val="1"/>
                <w:color w:val="auto"/>
              </w:rPr>
              <w:t>(in thousands, except percentages)</w:t>
            </w:r>
          </w:p>
        </w:tc>
        <w:tc>
          <w:tcPr>
            <w:tcW w:w="1020" w:type="dxa"/>
            <w:vAlign w:val="bottom"/>
          </w:tcPr>
          <w:p>
            <w:pPr>
              <w:spacing w:after="0"/>
              <w:rPr>
                <w:sz w:val="21"/>
                <w:szCs w:val="21"/>
                <w:color w:val="auto"/>
              </w:rPr>
            </w:pPr>
          </w:p>
        </w:tc>
      </w:tr>
      <w:tr>
        <w:trPr>
          <w:trHeight w:val="28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9"/>
              </w:rPr>
              <w:t>3,221</w:t>
            </w:r>
          </w:p>
        </w:tc>
        <w:tc>
          <w:tcPr>
            <w:tcW w:w="100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99"/>
              </w:rPr>
              <w:t>2,601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620</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51"/>
        </w:trPr>
        <w:tc>
          <w:tcPr>
            <w:tcW w:w="5040" w:type="dxa"/>
            <w:vAlign w:val="bottom"/>
          </w:tcPr>
          <w:p>
            <w:pPr>
              <w:ind w:left="40"/>
              <w:spacing w:after="0"/>
              <w:rPr>
                <w:sz w:val="20"/>
                <w:szCs w:val="20"/>
                <w:color w:val="auto"/>
              </w:rPr>
            </w:pPr>
            <w:r>
              <w:rPr>
                <w:rFonts w:ascii="Arial" w:cs="Arial" w:eastAsia="Arial" w:hAnsi="Arial"/>
                <w:sz w:val="16"/>
                <w:szCs w:val="16"/>
                <w:color w:val="auto"/>
              </w:rPr>
              <w:t>Effective Tax Rate</w:t>
            </w:r>
          </w:p>
        </w:tc>
        <w:tc>
          <w:tcPr>
            <w:tcW w:w="9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39.2%</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262" w:lineRule="exact"/>
        <w:rPr>
          <w:sz w:val="20"/>
          <w:szCs w:val="20"/>
          <w:color w:val="auto"/>
        </w:rPr>
      </w:pPr>
    </w:p>
    <w:p>
      <w:pPr>
        <w:ind w:right="440" w:firstLine="486"/>
        <w:spacing w:after="0" w:line="262" w:lineRule="auto"/>
        <w:rPr>
          <w:sz w:val="20"/>
          <w:szCs w:val="20"/>
          <w:color w:val="auto"/>
        </w:rPr>
      </w:pPr>
      <w:r>
        <w:rPr>
          <w:rFonts w:ascii="Arial" w:cs="Arial" w:eastAsia="Arial" w:hAnsi="Arial"/>
          <w:sz w:val="18"/>
          <w:szCs w:val="18"/>
          <w:color w:val="231F20"/>
        </w:rPr>
        <w:t>Provision for income taxes increased by $0.6 million for the three months ended September 30, 2016 compared to the three months ended September 30, 2015, primarily due to higher pre-tax income and a slightly higher effective tax rate in the current quarter.</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41"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Comparison of Nine Months Ended September </w:t>
      </w:r>
      <w:r>
        <w:rPr>
          <w:rFonts w:ascii="Arial" w:cs="Arial" w:eastAsia="Arial" w:hAnsi="Arial"/>
          <w:sz w:val="18"/>
          <w:szCs w:val="18"/>
          <w:b w:val="1"/>
          <w:bCs w:val="1"/>
          <w:color w:val="000000"/>
        </w:rPr>
        <w:t>30, 2016</w:t>
      </w:r>
      <w:r>
        <w:rPr>
          <w:rFonts w:ascii="Arial" w:cs="Arial" w:eastAsia="Arial" w:hAnsi="Arial"/>
          <w:sz w:val="18"/>
          <w:szCs w:val="18"/>
          <w:b w:val="1"/>
          <w:bCs w:val="1"/>
          <w:color w:val="231F20"/>
        </w:rPr>
        <w:t xml:space="preserve"> and </w:t>
      </w:r>
      <w:r>
        <w:rPr>
          <w:rFonts w:ascii="Arial" w:cs="Arial" w:eastAsia="Arial" w:hAnsi="Arial"/>
          <w:sz w:val="18"/>
          <w:szCs w:val="18"/>
          <w:b w:val="1"/>
          <w:bCs w:val="1"/>
          <w:color w:val="000000"/>
        </w:rPr>
        <w:t>2015</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40" w:type="dxa"/>
            <w:vAlign w:val="bottom"/>
            <w:gridSpan w:val="4"/>
          </w:tcPr>
          <w:p>
            <w:pPr>
              <w:ind w:left="460"/>
              <w:spacing w:after="0"/>
              <w:rPr>
                <w:sz w:val="20"/>
                <w:szCs w:val="20"/>
                <w:color w:val="auto"/>
              </w:rPr>
            </w:pPr>
            <w:r>
              <w:rPr>
                <w:rFonts w:ascii="Arial" w:cs="Arial" w:eastAsia="Arial" w:hAnsi="Arial"/>
                <w:sz w:val="16"/>
                <w:szCs w:val="16"/>
                <w:b w:val="1"/>
                <w:bCs w:val="1"/>
                <w:color w:val="auto"/>
              </w:rPr>
              <w:t>Nine Months Ended</w:t>
            </w: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83"/>
        </w:trPr>
        <w:tc>
          <w:tcPr>
            <w:tcW w:w="5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gridSpan w:val="4"/>
          </w:tcPr>
          <w:p>
            <w:pPr>
              <w:ind w:left="660"/>
              <w:spacing w:after="0"/>
              <w:rPr>
                <w:sz w:val="20"/>
                <w:szCs w:val="20"/>
                <w:color w:val="auto"/>
              </w:rPr>
            </w:pPr>
            <w:r>
              <w:rPr>
                <w:rFonts w:ascii="Arial" w:cs="Arial" w:eastAsia="Arial" w:hAnsi="Arial"/>
                <w:sz w:val="16"/>
                <w:szCs w:val="16"/>
                <w:b w:val="1"/>
                <w:bCs w:val="1"/>
                <w:color w:val="auto"/>
              </w:rPr>
              <w:t>September 30,</w:t>
            </w:r>
          </w:p>
        </w:tc>
        <w:tc>
          <w:tcPr>
            <w:tcW w:w="400" w:type="dxa"/>
            <w:vAlign w:val="bottom"/>
          </w:tcPr>
          <w:p>
            <w:pPr>
              <w:spacing w:after="0"/>
              <w:rPr>
                <w:sz w:val="24"/>
                <w:szCs w:val="24"/>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spacing w:after="0"/>
              <w:rPr>
                <w:sz w:val="24"/>
                <w:szCs w:val="24"/>
                <w:color w:val="auto"/>
              </w:rPr>
            </w:pPr>
          </w:p>
        </w:tc>
      </w:tr>
      <w:tr>
        <w:trPr>
          <w:trHeight w:val="264"/>
        </w:trPr>
        <w:tc>
          <w:tcPr>
            <w:tcW w:w="51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660" w:type="dxa"/>
            <w:vAlign w:val="bottom"/>
            <w:tcBorders>
              <w:top w:val="single" w:sz="8" w:color="auto"/>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8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(in thousands, except percentages)</w:t>
            </w:r>
          </w:p>
        </w:tc>
        <w:tc>
          <w:tcPr>
            <w:tcW w:w="1060" w:type="dxa"/>
            <w:vAlign w:val="bottom"/>
          </w:tcPr>
          <w:p>
            <w:pPr>
              <w:spacing w:after="0"/>
              <w:rPr>
                <w:sz w:val="21"/>
                <w:szCs w:val="21"/>
                <w:color w:val="auto"/>
              </w:rPr>
            </w:pPr>
          </w:p>
        </w:tc>
      </w:tr>
      <w:tr>
        <w:trPr>
          <w:trHeight w:val="280"/>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231F20"/>
              </w:rPr>
              <w:t>$</w:t>
            </w:r>
          </w:p>
        </w:tc>
        <w:tc>
          <w:tcPr>
            <w:tcW w:w="1160" w:type="dxa"/>
            <w:vAlign w:val="bottom"/>
            <w:shd w:val="clear" w:color="auto" w:fill="CCEEFF"/>
          </w:tcPr>
          <w:p>
            <w:pPr>
              <w:ind w:left="460"/>
              <w:spacing w:after="0"/>
              <w:rPr>
                <w:sz w:val="20"/>
                <w:szCs w:val="20"/>
                <w:color w:val="auto"/>
              </w:rPr>
            </w:pPr>
            <w:r>
              <w:rPr>
                <w:rFonts w:ascii="Arial" w:cs="Arial" w:eastAsia="Arial" w:hAnsi="Arial"/>
                <w:sz w:val="16"/>
                <w:szCs w:val="16"/>
                <w:color w:val="231F20"/>
              </w:rPr>
              <w:t>145,701</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231F20"/>
              </w:rPr>
              <w:t>119,839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25,862</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bl>
    <w:p>
      <w:pPr>
        <w:spacing w:after="0" w:line="215"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231F20"/>
        </w:rPr>
        <w:t xml:space="preserve">Revenues increased $25.9 million for the nine </w:t>
      </w:r>
      <w:r>
        <w:rPr>
          <w:rFonts w:ascii="Arial" w:cs="Arial" w:eastAsia="Arial" w:hAnsi="Arial"/>
          <w:sz w:val="18"/>
          <w:szCs w:val="18"/>
          <w:color w:val="000000"/>
        </w:rPr>
        <w:t>months ended September 30, 2016</w:t>
      </w:r>
      <w:r>
        <w:rPr>
          <w:rFonts w:ascii="Arial" w:cs="Arial" w:eastAsia="Arial" w:hAnsi="Arial"/>
          <w:sz w:val="18"/>
          <w:szCs w:val="18"/>
          <w:color w:val="231F20"/>
        </w:rPr>
        <w:t xml:space="preserve"> compared to the same period a year ago, due to new customer subscriptions entered into after September 30, 2015 and from an increase in the purchase of subscriptions from existing customers. Of the total increase of $ 25.9 million, $18.4 million was from customers in the United States and the remaining $7.5 million was from customers in foreign countries. The growth in revenues reflects the continued demand for solutions.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20" w:type="dxa"/>
            <w:vAlign w:val="bottom"/>
            <w:gridSpan w:val="4"/>
          </w:tcPr>
          <w:p>
            <w:pPr>
              <w:jc w:val="center"/>
              <w:ind w:right="420"/>
              <w:spacing w:after="0"/>
              <w:rPr>
                <w:sz w:val="20"/>
                <w:szCs w:val="20"/>
                <w:color w:val="auto"/>
              </w:rPr>
            </w:pPr>
            <w:r>
              <w:rPr>
                <w:rFonts w:ascii="Arial" w:cs="Arial" w:eastAsia="Arial" w:hAnsi="Arial"/>
                <w:sz w:val="16"/>
                <w:szCs w:val="16"/>
                <w:b w:val="1"/>
                <w:bCs w:val="1"/>
                <w:color w:val="auto"/>
              </w:rPr>
              <w:t>Nine Months Ended</w:t>
            </w: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83"/>
        </w:trPr>
        <w:tc>
          <w:tcPr>
            <w:tcW w:w="50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center"/>
              <w:ind w:left="579"/>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bottom w:val="single" w:sz="8" w:color="auto"/>
            </w:tcBorders>
          </w:tcPr>
          <w:p>
            <w:pPr>
              <w:spacing w:after="0"/>
              <w:rPr>
                <w:sz w:val="24"/>
                <w:szCs w:val="24"/>
                <w:color w:val="auto"/>
              </w:rPr>
            </w:pPr>
          </w:p>
        </w:tc>
      </w:tr>
      <w:tr>
        <w:trPr>
          <w:trHeight w:val="264"/>
        </w:trPr>
        <w:tc>
          <w:tcPr>
            <w:tcW w:w="50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740" w:type="dxa"/>
            <w:vAlign w:val="bottom"/>
            <w:gridSpan w:val="5"/>
          </w:tcPr>
          <w:p>
            <w:pPr>
              <w:jc w:val="right"/>
              <w:ind w:right="679"/>
              <w:spacing w:after="0"/>
              <w:rPr>
                <w:sz w:val="20"/>
                <w:szCs w:val="20"/>
                <w:color w:val="auto"/>
              </w:rPr>
            </w:pPr>
            <w:r>
              <w:rPr>
                <w:rFonts w:ascii="Arial" w:cs="Arial" w:eastAsia="Arial" w:hAnsi="Arial"/>
                <w:sz w:val="16"/>
                <w:szCs w:val="16"/>
                <w:b w:val="1"/>
                <w:bCs w:val="1"/>
                <w:color w:val="auto"/>
              </w:rPr>
              <w:t>(in thousands, except percentages)</w:t>
            </w:r>
          </w:p>
        </w:tc>
        <w:tc>
          <w:tcPr>
            <w:tcW w:w="1040" w:type="dxa"/>
            <w:vAlign w:val="bottom"/>
          </w:tcPr>
          <w:p>
            <w:pPr>
              <w:spacing w:after="0"/>
              <w:rPr>
                <w:sz w:val="21"/>
                <w:szCs w:val="21"/>
                <w:color w:val="auto"/>
              </w:rPr>
            </w:pPr>
          </w:p>
        </w:tc>
      </w:tr>
      <w:tr>
        <w:trPr>
          <w:trHeight w:val="280"/>
        </w:trPr>
        <w:tc>
          <w:tcPr>
            <w:tcW w:w="5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231F20"/>
              </w:rPr>
              <w:t>$</w:t>
            </w:r>
          </w:p>
        </w:tc>
        <w:tc>
          <w:tcPr>
            <w:tcW w:w="12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231F20"/>
              </w:rPr>
              <w:t>30,796</w:t>
            </w:r>
          </w:p>
        </w:tc>
        <w:tc>
          <w:tcPr>
            <w:tcW w:w="6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231F20"/>
              </w:rPr>
              <w:t>$</w:t>
            </w: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231F20"/>
              </w:rPr>
              <w:t>24,883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5,913</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60"/>
        </w:trPr>
        <w:tc>
          <w:tcPr>
            <w:tcW w:w="506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w:t>
            </w:r>
          </w:p>
        </w:tc>
        <w:tc>
          <w:tcPr>
            <w:tcW w:w="6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0"/>
        </w:trPr>
        <w:tc>
          <w:tcPr>
            <w:tcW w:w="5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 percentage</w:t>
            </w: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6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bl>
    <w:p>
      <w:pPr>
        <w:spacing w:after="0" w:line="215"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231F20"/>
        </w:rPr>
        <w:t xml:space="preserve">Cost of revenues increased $5.9 million for the nine </w:t>
      </w:r>
      <w:r>
        <w:rPr>
          <w:rFonts w:ascii="Arial" w:cs="Arial" w:eastAsia="Arial" w:hAnsi="Arial"/>
          <w:sz w:val="18"/>
          <w:szCs w:val="18"/>
          <w:color w:val="000000"/>
        </w:rPr>
        <w:t>months ended September 30, 2016</w:t>
      </w:r>
      <w:r>
        <w:rPr>
          <w:rFonts w:ascii="Arial" w:cs="Arial" w:eastAsia="Arial" w:hAnsi="Arial"/>
          <w:sz w:val="18"/>
          <w:szCs w:val="18"/>
          <w:color w:val="231F20"/>
        </w:rPr>
        <w:t xml:space="preserve"> compared to the nine </w:t>
      </w:r>
      <w:r>
        <w:rPr>
          <w:rFonts w:ascii="Arial" w:cs="Arial" w:eastAsia="Arial" w:hAnsi="Arial"/>
          <w:sz w:val="18"/>
          <w:szCs w:val="18"/>
          <w:color w:val="000000"/>
        </w:rPr>
        <w:t>months ended September</w:t>
      </w:r>
      <w:r>
        <w:rPr>
          <w:rFonts w:ascii="Arial" w:cs="Arial" w:eastAsia="Arial" w:hAnsi="Arial"/>
          <w:sz w:val="18"/>
          <w:szCs w:val="18"/>
          <w:color w:val="231F20"/>
        </w:rPr>
        <w:t xml:space="preserve"> </w:t>
      </w:r>
      <w:r>
        <w:rPr>
          <w:rFonts w:ascii="Arial" w:cs="Arial" w:eastAsia="Arial" w:hAnsi="Arial"/>
          <w:sz w:val="18"/>
          <w:szCs w:val="18"/>
          <w:color w:val="000000"/>
        </w:rPr>
        <w:t xml:space="preserve">30, 2015, </w:t>
      </w:r>
      <w:r>
        <w:rPr>
          <w:rFonts w:ascii="Arial" w:cs="Arial" w:eastAsia="Arial" w:hAnsi="Arial"/>
          <w:sz w:val="18"/>
          <w:szCs w:val="18"/>
          <w:color w:val="231F20"/>
        </w:rPr>
        <w:t>primarily due increased personnel expenses of $1.6 million to support continued growth of our business; a $1.7 million increase in</w:t>
      </w:r>
      <w:r>
        <w:rPr>
          <w:rFonts w:ascii="Arial" w:cs="Arial" w:eastAsia="Arial" w:hAnsi="Arial"/>
          <w:sz w:val="18"/>
          <w:szCs w:val="18"/>
          <w:color w:val="000000"/>
        </w:rPr>
        <w:t xml:space="preserve"> </w:t>
      </w:r>
      <w:r>
        <w:rPr>
          <w:rFonts w:ascii="Arial" w:cs="Arial" w:eastAsia="Arial" w:hAnsi="Arial"/>
          <w:sz w:val="18"/>
          <w:szCs w:val="18"/>
          <w:color w:val="231F20"/>
        </w:rPr>
        <w:t>depreciation expense related to additional computer hardware and software; increased third-party software license and maintenance expense of $1.8 million; increased data center and non-capital equipment expenses of $0.4 million; and increased overhead costs of $0.3 million as we continue to grow.</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231F20"/>
        </w:rPr>
        <w:t>Research and Development Expenses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20" w:type="dxa"/>
            <w:vAlign w:val="bottom"/>
            <w:gridSpan w:val="4"/>
          </w:tcPr>
          <w:p>
            <w:pPr>
              <w:jc w:val="center"/>
              <w:ind w:right="420"/>
              <w:spacing w:after="0"/>
              <w:rPr>
                <w:sz w:val="20"/>
                <w:szCs w:val="20"/>
                <w:color w:val="auto"/>
              </w:rPr>
            </w:pPr>
            <w:r>
              <w:rPr>
                <w:rFonts w:ascii="Arial" w:cs="Arial" w:eastAsia="Arial" w:hAnsi="Arial"/>
                <w:sz w:val="16"/>
                <w:szCs w:val="16"/>
                <w:b w:val="1"/>
                <w:bCs w:val="1"/>
                <w:color w:val="auto"/>
              </w:rPr>
              <w:t>Nine Months Ended</w:t>
            </w: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83"/>
        </w:trPr>
        <w:tc>
          <w:tcPr>
            <w:tcW w:w="50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center"/>
              <w:ind w:left="579"/>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bottom w:val="single" w:sz="8" w:color="auto"/>
            </w:tcBorders>
          </w:tcPr>
          <w:p>
            <w:pPr>
              <w:spacing w:after="0"/>
              <w:rPr>
                <w:sz w:val="24"/>
                <w:szCs w:val="24"/>
                <w:color w:val="auto"/>
              </w:rPr>
            </w:pPr>
          </w:p>
        </w:tc>
      </w:tr>
      <w:tr>
        <w:trPr>
          <w:trHeight w:val="264"/>
        </w:trPr>
        <w:tc>
          <w:tcPr>
            <w:tcW w:w="50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740" w:type="dxa"/>
            <w:vAlign w:val="bottom"/>
            <w:gridSpan w:val="5"/>
          </w:tcPr>
          <w:p>
            <w:pPr>
              <w:jc w:val="right"/>
              <w:ind w:right="679"/>
              <w:spacing w:after="0"/>
              <w:rPr>
                <w:sz w:val="20"/>
                <w:szCs w:val="20"/>
                <w:color w:val="auto"/>
              </w:rPr>
            </w:pPr>
            <w:r>
              <w:rPr>
                <w:rFonts w:ascii="Arial" w:cs="Arial" w:eastAsia="Arial" w:hAnsi="Arial"/>
                <w:sz w:val="16"/>
                <w:szCs w:val="16"/>
                <w:b w:val="1"/>
                <w:bCs w:val="1"/>
                <w:color w:val="auto"/>
              </w:rPr>
              <w:t>(in thousands, except percentages)</w:t>
            </w:r>
          </w:p>
        </w:tc>
        <w:tc>
          <w:tcPr>
            <w:tcW w:w="1040" w:type="dxa"/>
            <w:vAlign w:val="bottom"/>
          </w:tcPr>
          <w:p>
            <w:pPr>
              <w:spacing w:after="0"/>
              <w:rPr>
                <w:sz w:val="21"/>
                <w:szCs w:val="21"/>
                <w:color w:val="auto"/>
              </w:rPr>
            </w:pPr>
          </w:p>
        </w:tc>
      </w:tr>
      <w:tr>
        <w:trPr>
          <w:trHeight w:val="280"/>
        </w:trPr>
        <w:tc>
          <w:tcPr>
            <w:tcW w:w="5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231F20"/>
              </w:rPr>
              <w:t>$</w:t>
            </w:r>
          </w:p>
        </w:tc>
        <w:tc>
          <w:tcPr>
            <w:tcW w:w="12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231F20"/>
              </w:rPr>
              <w:t>26,382</w:t>
            </w:r>
          </w:p>
        </w:tc>
        <w:tc>
          <w:tcPr>
            <w:tcW w:w="6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231F20"/>
              </w:rPr>
              <w:t>$</w:t>
            </w: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231F20"/>
              </w:rPr>
              <w:t>21,919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4,463</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51"/>
        </w:trPr>
        <w:tc>
          <w:tcPr>
            <w:tcW w:w="506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w:t>
            </w: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181" w:lineRule="exact"/>
        <w:rPr>
          <w:sz w:val="20"/>
          <w:szCs w:val="20"/>
          <w:color w:val="auto"/>
        </w:rPr>
      </w:pPr>
    </w:p>
    <w:p>
      <w:pPr>
        <w:ind w:right="200" w:firstLine="486"/>
        <w:spacing w:after="0" w:line="253" w:lineRule="auto"/>
        <w:rPr>
          <w:sz w:val="20"/>
          <w:szCs w:val="20"/>
          <w:color w:val="auto"/>
        </w:rPr>
      </w:pPr>
      <w:r>
        <w:rPr>
          <w:rFonts w:ascii="Arial" w:cs="Arial" w:eastAsia="Arial" w:hAnsi="Arial"/>
          <w:sz w:val="18"/>
          <w:szCs w:val="18"/>
          <w:color w:val="231F20"/>
        </w:rPr>
        <w:t xml:space="preserve">Research and development expenses increased $4.5 million for the nine months ended September 30, 2016 compared to the nine </w:t>
      </w:r>
      <w:r>
        <w:rPr>
          <w:rFonts w:ascii="Arial" w:cs="Arial" w:eastAsia="Arial" w:hAnsi="Arial"/>
          <w:sz w:val="18"/>
          <w:szCs w:val="18"/>
          <w:color w:val="000000"/>
        </w:rPr>
        <w:t xml:space="preserve">months ended September 30, 2015, </w:t>
      </w:r>
      <w:r>
        <w:rPr>
          <w:rFonts w:ascii="Arial" w:cs="Arial" w:eastAsia="Arial" w:hAnsi="Arial"/>
          <w:sz w:val="18"/>
          <w:szCs w:val="18"/>
          <w:color w:val="231F20"/>
        </w:rPr>
        <w:t>primarily due to an increase in personnel expenses of $3.7 million, due to new employees to support our</w:t>
      </w:r>
      <w:r>
        <w:rPr>
          <w:rFonts w:ascii="Arial" w:cs="Arial" w:eastAsia="Arial" w:hAnsi="Arial"/>
          <w:sz w:val="18"/>
          <w:szCs w:val="18"/>
          <w:color w:val="000000"/>
        </w:rPr>
        <w:t xml:space="preserve"> </w:t>
      </w:r>
      <w:r>
        <w:rPr>
          <w:rFonts w:ascii="Arial" w:cs="Arial" w:eastAsia="Arial" w:hAnsi="Arial"/>
          <w:sz w:val="18"/>
          <w:szCs w:val="18"/>
          <w:color w:val="231F20"/>
        </w:rPr>
        <w:t>growth, a $0.5 million increase in contractor and consulting expenses, and a $0.4 million increase in overhead costs as we continue to grow. We continue to significantly invest in and expand our research and development teams to continuously improve our platform and existing solutions, as well as develop new solutions and capabilities.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41"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Marketing Expenses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gridSpan w:val="4"/>
          </w:tcPr>
          <w:p>
            <w:pPr>
              <w:jc w:val="center"/>
              <w:ind w:right="440"/>
              <w:spacing w:after="0"/>
              <w:rPr>
                <w:sz w:val="20"/>
                <w:szCs w:val="20"/>
                <w:color w:val="auto"/>
              </w:rPr>
            </w:pPr>
            <w:r>
              <w:rPr>
                <w:rFonts w:ascii="Arial" w:cs="Arial" w:eastAsia="Arial" w:hAnsi="Arial"/>
                <w:sz w:val="16"/>
                <w:szCs w:val="16"/>
                <w:b w:val="1"/>
                <w:bCs w:val="1"/>
                <w:color w:val="auto"/>
              </w:rPr>
              <w:t>Nine Months Ended</w:t>
            </w: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83"/>
        </w:trPr>
        <w:tc>
          <w:tcPr>
            <w:tcW w:w="50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center"/>
              <w:ind w:left="579"/>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bottom w:val="single" w:sz="8" w:color="auto"/>
            </w:tcBorders>
          </w:tcPr>
          <w:p>
            <w:pPr>
              <w:spacing w:after="0"/>
              <w:rPr>
                <w:sz w:val="24"/>
                <w:szCs w:val="24"/>
                <w:color w:val="auto"/>
              </w:rPr>
            </w:pPr>
          </w:p>
        </w:tc>
      </w:tr>
      <w:tr>
        <w:trPr>
          <w:trHeight w:val="264"/>
        </w:trPr>
        <w:tc>
          <w:tcPr>
            <w:tcW w:w="50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w:t>
            </w:r>
          </w:p>
        </w:tc>
      </w:tr>
      <w:tr>
        <w:trPr>
          <w:trHeight w:val="247"/>
        </w:trPr>
        <w:tc>
          <w:tcPr>
            <w:tcW w:w="5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760" w:type="dxa"/>
            <w:vAlign w:val="bottom"/>
            <w:gridSpan w:val="5"/>
          </w:tcPr>
          <w:p>
            <w:pPr>
              <w:jc w:val="right"/>
              <w:ind w:right="699"/>
              <w:spacing w:after="0"/>
              <w:rPr>
                <w:sz w:val="20"/>
                <w:szCs w:val="20"/>
                <w:color w:val="auto"/>
              </w:rPr>
            </w:pPr>
            <w:r>
              <w:rPr>
                <w:rFonts w:ascii="Arial" w:cs="Arial" w:eastAsia="Arial" w:hAnsi="Arial"/>
                <w:sz w:val="16"/>
                <w:szCs w:val="16"/>
                <w:b w:val="1"/>
                <w:bCs w:val="1"/>
                <w:color w:val="auto"/>
              </w:rPr>
              <w:t>(in thousands, except percentages)</w:t>
            </w:r>
          </w:p>
        </w:tc>
        <w:tc>
          <w:tcPr>
            <w:tcW w:w="1020" w:type="dxa"/>
            <w:vAlign w:val="bottom"/>
          </w:tcPr>
          <w:p>
            <w:pPr>
              <w:spacing w:after="0"/>
              <w:rPr>
                <w:sz w:val="21"/>
                <w:szCs w:val="21"/>
                <w:color w:val="auto"/>
              </w:rPr>
            </w:pPr>
          </w:p>
        </w:tc>
      </w:tr>
      <w:tr>
        <w:trPr>
          <w:trHeight w:val="28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231F20"/>
              </w:rPr>
              <w:t>$</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231F20"/>
              </w:rPr>
              <w:t>42,624</w:t>
            </w:r>
          </w:p>
        </w:tc>
        <w:tc>
          <w:tcPr>
            <w:tcW w:w="6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231F20"/>
              </w:rPr>
              <w:t>$</w:t>
            </w: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231F20"/>
              </w:rPr>
              <w:t>36,501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6,123</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51"/>
        </w:trPr>
        <w:tc>
          <w:tcPr>
            <w:tcW w:w="504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w:t>
            </w: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235"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231F20"/>
        </w:rPr>
        <w:t xml:space="preserve">Sales and marketing expenses increased $6.1 million for the nine </w:t>
      </w:r>
      <w:r>
        <w:rPr>
          <w:rFonts w:ascii="Arial" w:cs="Arial" w:eastAsia="Arial" w:hAnsi="Arial"/>
          <w:sz w:val="18"/>
          <w:szCs w:val="18"/>
          <w:color w:val="000000"/>
        </w:rPr>
        <w:t>months ended September 30, 2016</w:t>
      </w:r>
      <w:r>
        <w:rPr>
          <w:rFonts w:ascii="Arial" w:cs="Arial" w:eastAsia="Arial" w:hAnsi="Arial"/>
          <w:sz w:val="18"/>
          <w:szCs w:val="18"/>
          <w:color w:val="231F20"/>
        </w:rPr>
        <w:t xml:space="preserve"> compared to the same period a year ago, primarily due to increased personnel expenses of $3.7 million, principally due to new employees; an increase in marketing expenses of $1.3 million, primarily due to increased trade shows and program activities as we introduce new services; increased software license and maintenance fees of $0.5 million; increased travel and entertainment of $0.2 million; and increased recruiting expenses of $0.2 million.</w:t>
      </w:r>
    </w:p>
    <w:p>
      <w:pPr>
        <w:spacing w:after="0" w:line="12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General and Administrative Expenses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gridSpan w:val="4"/>
          </w:tcPr>
          <w:p>
            <w:pPr>
              <w:jc w:val="center"/>
              <w:ind w:right="440"/>
              <w:spacing w:after="0"/>
              <w:rPr>
                <w:sz w:val="20"/>
                <w:szCs w:val="20"/>
                <w:color w:val="auto"/>
              </w:rPr>
            </w:pPr>
            <w:r>
              <w:rPr>
                <w:rFonts w:ascii="Arial" w:cs="Arial" w:eastAsia="Arial" w:hAnsi="Arial"/>
                <w:sz w:val="16"/>
                <w:szCs w:val="16"/>
                <w:b w:val="1"/>
                <w:bCs w:val="1"/>
                <w:color w:val="auto"/>
              </w:rPr>
              <w:t>Nine Months Ended</w:t>
            </w: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83"/>
        </w:trPr>
        <w:tc>
          <w:tcPr>
            <w:tcW w:w="50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center"/>
              <w:ind w:left="579"/>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bottom w:val="single" w:sz="8" w:color="auto"/>
            </w:tcBorders>
          </w:tcPr>
          <w:p>
            <w:pPr>
              <w:spacing w:after="0"/>
              <w:rPr>
                <w:sz w:val="24"/>
                <w:szCs w:val="24"/>
                <w:color w:val="auto"/>
              </w:rPr>
            </w:pPr>
          </w:p>
        </w:tc>
      </w:tr>
      <w:tr>
        <w:trPr>
          <w:trHeight w:val="264"/>
        </w:trPr>
        <w:tc>
          <w:tcPr>
            <w:tcW w:w="50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w:t>
            </w:r>
          </w:p>
        </w:tc>
      </w:tr>
      <w:tr>
        <w:trPr>
          <w:trHeight w:val="247"/>
        </w:trPr>
        <w:tc>
          <w:tcPr>
            <w:tcW w:w="5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760" w:type="dxa"/>
            <w:vAlign w:val="bottom"/>
            <w:gridSpan w:val="5"/>
          </w:tcPr>
          <w:p>
            <w:pPr>
              <w:jc w:val="right"/>
              <w:ind w:right="699"/>
              <w:spacing w:after="0"/>
              <w:rPr>
                <w:sz w:val="20"/>
                <w:szCs w:val="20"/>
                <w:color w:val="auto"/>
              </w:rPr>
            </w:pPr>
            <w:r>
              <w:rPr>
                <w:rFonts w:ascii="Arial" w:cs="Arial" w:eastAsia="Arial" w:hAnsi="Arial"/>
                <w:sz w:val="16"/>
                <w:szCs w:val="16"/>
                <w:b w:val="1"/>
                <w:bCs w:val="1"/>
                <w:color w:val="auto"/>
              </w:rPr>
              <w:t>(in thousands, except percentages)</w:t>
            </w:r>
          </w:p>
        </w:tc>
        <w:tc>
          <w:tcPr>
            <w:tcW w:w="1020" w:type="dxa"/>
            <w:vAlign w:val="bottom"/>
          </w:tcPr>
          <w:p>
            <w:pPr>
              <w:spacing w:after="0"/>
              <w:rPr>
                <w:sz w:val="21"/>
                <w:szCs w:val="21"/>
                <w:color w:val="auto"/>
              </w:rPr>
            </w:pPr>
          </w:p>
        </w:tc>
      </w:tr>
      <w:tr>
        <w:trPr>
          <w:trHeight w:val="28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231F20"/>
              </w:rPr>
              <w:t>$</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231F20"/>
              </w:rPr>
              <w:t>24,603</w:t>
            </w:r>
          </w:p>
        </w:tc>
        <w:tc>
          <w:tcPr>
            <w:tcW w:w="6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231F20"/>
              </w:rPr>
              <w:t>$</w:t>
            </w: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231F20"/>
              </w:rPr>
              <w:t>19,426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5,177</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51"/>
        </w:trPr>
        <w:tc>
          <w:tcPr>
            <w:tcW w:w="504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w:t>
            </w: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23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231F20"/>
        </w:rPr>
        <w:t xml:space="preserve">General and administrative expenses increased $5.2 million for the nine </w:t>
      </w:r>
      <w:r>
        <w:rPr>
          <w:rFonts w:ascii="Arial" w:cs="Arial" w:eastAsia="Arial" w:hAnsi="Arial"/>
          <w:sz w:val="18"/>
          <w:szCs w:val="18"/>
          <w:color w:val="000000"/>
        </w:rPr>
        <w:t>months ended September 30, 2016</w:t>
      </w:r>
      <w:r>
        <w:rPr>
          <w:rFonts w:ascii="Arial" w:cs="Arial" w:eastAsia="Arial" w:hAnsi="Arial"/>
          <w:sz w:val="18"/>
          <w:szCs w:val="18"/>
          <w:color w:val="231F20"/>
        </w:rPr>
        <w:t xml:space="preserve"> compared to the nine</w:t>
      </w:r>
    </w:p>
    <w:p>
      <w:pPr>
        <w:spacing w:after="0" w:line="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 xml:space="preserve">months ended September 30, 2015, </w:t>
      </w:r>
      <w:r>
        <w:rPr>
          <w:rFonts w:ascii="Arial" w:cs="Arial" w:eastAsia="Arial" w:hAnsi="Arial"/>
          <w:sz w:val="18"/>
          <w:szCs w:val="18"/>
          <w:color w:val="231F20"/>
        </w:rPr>
        <w:t>primarily driven by increased personnel expenses of $ 2.1 million, principally due to additional employees;</w:t>
      </w:r>
      <w:r>
        <w:rPr>
          <w:rFonts w:ascii="Arial" w:cs="Arial" w:eastAsia="Arial" w:hAnsi="Arial"/>
          <w:sz w:val="18"/>
          <w:szCs w:val="18"/>
          <w:color w:val="auto"/>
        </w:rPr>
        <w:t xml:space="preserve"> </w:t>
      </w:r>
      <w:r>
        <w:rPr>
          <w:rFonts w:ascii="Arial" w:cs="Arial" w:eastAsia="Arial" w:hAnsi="Arial"/>
          <w:sz w:val="18"/>
          <w:szCs w:val="18"/>
          <w:color w:val="231F20"/>
        </w:rPr>
        <w:t>increased legal, accounting, consulting and temporary services of $2.3 million; $0.7 million of a non-recurring expense in 2016, related to the remittance of payroll taxes from fiscal year 2013 through May 2016; a $ 0.2 million increase in recruiting expenses; and a $0.2 million increase in dues and subscriptions. These increases are partially offset by lower bad debt expense of $0.5 million.</w:t>
      </w:r>
    </w:p>
    <w:p>
      <w:pPr>
        <w:spacing w:after="0" w:line="12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Total Other Income (Expense), Net</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060" w:type="dxa"/>
            <w:vAlign w:val="bottom"/>
          </w:tcPr>
          <w:p>
            <w:pPr>
              <w:spacing w:after="0"/>
              <w:rPr>
                <w:sz w:val="18"/>
                <w:szCs w:val="18"/>
                <w:color w:val="auto"/>
              </w:rPr>
            </w:pPr>
          </w:p>
        </w:tc>
        <w:tc>
          <w:tcPr>
            <w:tcW w:w="2620" w:type="dxa"/>
            <w:vAlign w:val="bottom"/>
            <w:gridSpan w:val="3"/>
          </w:tcPr>
          <w:p>
            <w:pPr>
              <w:jc w:val="center"/>
              <w:ind w:left="479"/>
              <w:spacing w:after="0"/>
              <w:rPr>
                <w:sz w:val="20"/>
                <w:szCs w:val="20"/>
                <w:color w:val="auto"/>
              </w:rPr>
            </w:pPr>
            <w:r>
              <w:rPr>
                <w:rFonts w:ascii="Arial" w:cs="Arial" w:eastAsia="Arial" w:hAnsi="Arial"/>
                <w:sz w:val="16"/>
                <w:szCs w:val="16"/>
                <w:b w:val="1"/>
                <w:bCs w:val="1"/>
                <w:color w:val="auto"/>
              </w:rPr>
              <w:t>Nine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83"/>
        </w:trPr>
        <w:tc>
          <w:tcPr>
            <w:tcW w:w="50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right="339"/>
              <w:spacing w:after="0"/>
              <w:rPr>
                <w:sz w:val="20"/>
                <w:szCs w:val="20"/>
                <w:color w:val="auto"/>
              </w:rPr>
            </w:pPr>
            <w:r>
              <w:rPr>
                <w:rFonts w:ascii="Arial" w:cs="Arial" w:eastAsia="Arial" w:hAnsi="Arial"/>
                <w:sz w:val="16"/>
                <w:szCs w:val="16"/>
                <w:b w:val="1"/>
                <w:bCs w:val="1"/>
                <w:color w:val="auto"/>
              </w:rPr>
              <w:t>September 30,</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bottom w:val="single" w:sz="8" w:color="auto"/>
            </w:tcBorders>
          </w:tcPr>
          <w:p>
            <w:pPr>
              <w:spacing w:after="0"/>
              <w:rPr>
                <w:sz w:val="24"/>
                <w:szCs w:val="24"/>
                <w:color w:val="auto"/>
              </w:rPr>
            </w:pPr>
          </w:p>
        </w:tc>
      </w:tr>
      <w:tr>
        <w:trPr>
          <w:trHeight w:val="264"/>
        </w:trPr>
        <w:tc>
          <w:tcPr>
            <w:tcW w:w="50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w:t>
            </w:r>
          </w:p>
        </w:tc>
      </w:tr>
      <w:tr>
        <w:trPr>
          <w:trHeight w:val="247"/>
        </w:trPr>
        <w:tc>
          <w:tcPr>
            <w:tcW w:w="50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740" w:type="dxa"/>
            <w:vAlign w:val="bottom"/>
            <w:gridSpan w:val="5"/>
          </w:tcPr>
          <w:p>
            <w:pPr>
              <w:jc w:val="right"/>
              <w:ind w:right="699"/>
              <w:spacing w:after="0"/>
              <w:rPr>
                <w:sz w:val="20"/>
                <w:szCs w:val="20"/>
                <w:color w:val="auto"/>
              </w:rPr>
            </w:pPr>
            <w:r>
              <w:rPr>
                <w:rFonts w:ascii="Arial" w:cs="Arial" w:eastAsia="Arial" w:hAnsi="Arial"/>
                <w:sz w:val="16"/>
                <w:szCs w:val="16"/>
                <w:b w:val="1"/>
                <w:bCs w:val="1"/>
                <w:color w:val="auto"/>
              </w:rPr>
              <w:t>(in thousands, except percentages)</w:t>
            </w:r>
          </w:p>
        </w:tc>
        <w:tc>
          <w:tcPr>
            <w:tcW w:w="1020" w:type="dxa"/>
            <w:vAlign w:val="bottom"/>
          </w:tcPr>
          <w:p>
            <w:pPr>
              <w:spacing w:after="0"/>
              <w:rPr>
                <w:sz w:val="21"/>
                <w:szCs w:val="21"/>
                <w:color w:val="auto"/>
              </w:rPr>
            </w:pPr>
          </w:p>
        </w:tc>
      </w:tr>
      <w:tr>
        <w:trPr>
          <w:trHeight w:val="280"/>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income (expense), net</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231F20"/>
                <w:w w:val="89"/>
              </w:rPr>
              <w:t>$</w:t>
            </w:r>
          </w:p>
        </w:tc>
        <w:tc>
          <w:tcPr>
            <w:tcW w:w="6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231F20"/>
              </w:rPr>
              <w:t>438</w:t>
            </w:r>
          </w:p>
        </w:tc>
        <w:tc>
          <w:tcPr>
            <w:tcW w:w="104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231F20"/>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231F20"/>
              </w:rPr>
              <w:t>(103)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541</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51"/>
        </w:trPr>
        <w:tc>
          <w:tcPr>
            <w:tcW w:w="5060" w:type="dxa"/>
            <w:vAlign w:val="bottom"/>
          </w:tcPr>
          <w:p>
            <w:pPr>
              <w:ind w:left="20"/>
              <w:spacing w:after="0"/>
              <w:rPr>
                <w:sz w:val="20"/>
                <w:szCs w:val="20"/>
                <w:color w:val="auto"/>
              </w:rPr>
            </w:pPr>
            <w:r>
              <w:rPr>
                <w:rFonts w:ascii="Arial" w:cs="Arial" w:eastAsia="Arial" w:hAnsi="Arial"/>
                <w:sz w:val="16"/>
                <w:szCs w:val="16"/>
                <w:color w:val="auto"/>
              </w:rPr>
              <w:t>Percentage of revenues</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w:t>
            </w:r>
          </w:p>
        </w:tc>
        <w:tc>
          <w:tcPr>
            <w:tcW w:w="10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235"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Total other income (expense), net increased by $0.5 million for the nine months ended September 30, 2016 compared to the same period a year ago, primarily due to an increase in investment and interest income and lower foreign exchange losses.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141" w:right="239" w:bottom="1440" w:gutter="0" w:footer="0" w:header="0"/>
          <w:type w:val="continuous"/>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80" w:type="dxa"/>
            <w:vAlign w:val="bottom"/>
            <w:gridSpan w:val="4"/>
          </w:tcPr>
          <w:p>
            <w:pPr>
              <w:jc w:val="center"/>
              <w:ind w:right="440"/>
              <w:spacing w:after="0"/>
              <w:rPr>
                <w:sz w:val="20"/>
                <w:szCs w:val="20"/>
                <w:color w:val="auto"/>
              </w:rPr>
            </w:pPr>
            <w:r>
              <w:rPr>
                <w:rFonts w:ascii="Arial" w:cs="Arial" w:eastAsia="Arial" w:hAnsi="Arial"/>
                <w:sz w:val="16"/>
                <w:szCs w:val="16"/>
                <w:b w:val="1"/>
                <w:bCs w:val="1"/>
                <w:color w:val="auto"/>
              </w:rPr>
              <w:t>Nine Months Ended</w:t>
            </w: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83"/>
        </w:trPr>
        <w:tc>
          <w:tcPr>
            <w:tcW w:w="49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jc w:val="center"/>
              <w:ind w:left="579"/>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bottom w:val="single" w:sz="8" w:color="auto"/>
            </w:tcBorders>
          </w:tcPr>
          <w:p>
            <w:pPr>
              <w:spacing w:after="0"/>
              <w:rPr>
                <w:sz w:val="24"/>
                <w:szCs w:val="24"/>
                <w:color w:val="auto"/>
              </w:rPr>
            </w:pPr>
          </w:p>
        </w:tc>
      </w:tr>
      <w:tr>
        <w:trPr>
          <w:trHeight w:val="264"/>
        </w:trPr>
        <w:tc>
          <w:tcPr>
            <w:tcW w:w="49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2016</w:t>
            </w:r>
          </w:p>
        </w:tc>
        <w:tc>
          <w:tcPr>
            <w:tcW w:w="6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w:t>
            </w:r>
          </w:p>
        </w:tc>
      </w:tr>
      <w:tr>
        <w:trPr>
          <w:trHeight w:val="247"/>
        </w:trPr>
        <w:tc>
          <w:tcPr>
            <w:tcW w:w="4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780" w:type="dxa"/>
            <w:vAlign w:val="bottom"/>
            <w:gridSpan w:val="5"/>
          </w:tcPr>
          <w:p>
            <w:pPr>
              <w:jc w:val="right"/>
              <w:ind w:right="739"/>
              <w:spacing w:after="0"/>
              <w:rPr>
                <w:sz w:val="20"/>
                <w:szCs w:val="20"/>
                <w:color w:val="auto"/>
              </w:rPr>
            </w:pPr>
            <w:r>
              <w:rPr>
                <w:rFonts w:ascii="Arial" w:cs="Arial" w:eastAsia="Arial" w:hAnsi="Arial"/>
                <w:sz w:val="16"/>
                <w:szCs w:val="16"/>
                <w:b w:val="1"/>
                <w:bCs w:val="1"/>
                <w:color w:val="auto"/>
              </w:rPr>
              <w:t>(in thousands, except percentages)</w:t>
            </w:r>
          </w:p>
        </w:tc>
        <w:tc>
          <w:tcPr>
            <w:tcW w:w="1020" w:type="dxa"/>
            <w:vAlign w:val="bottom"/>
          </w:tcPr>
          <w:p>
            <w:pPr>
              <w:spacing w:after="0"/>
              <w:rPr>
                <w:sz w:val="21"/>
                <w:szCs w:val="21"/>
                <w:color w:val="auto"/>
              </w:rPr>
            </w:pPr>
          </w:p>
        </w:tc>
      </w:tr>
      <w:tr>
        <w:trPr>
          <w:trHeight w:val="280"/>
        </w:trPr>
        <w:tc>
          <w:tcPr>
            <w:tcW w:w="4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231F20"/>
              </w:rPr>
              <w:t>$</w:t>
            </w: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231F20"/>
              </w:rPr>
              <w:t>8,417</w:t>
            </w:r>
          </w:p>
        </w:tc>
        <w:tc>
          <w:tcPr>
            <w:tcW w:w="62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231F20"/>
              </w:rPr>
              <w:t>$</w:t>
            </w:r>
          </w:p>
        </w:tc>
        <w:tc>
          <w:tcPr>
            <w:tcW w:w="10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231F20"/>
              </w:rPr>
              <w:t>6,566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1,851</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51"/>
        </w:trPr>
        <w:tc>
          <w:tcPr>
            <w:tcW w:w="4980" w:type="dxa"/>
            <w:vAlign w:val="bottom"/>
          </w:tcPr>
          <w:p>
            <w:pPr>
              <w:ind w:left="40"/>
              <w:spacing w:after="0"/>
              <w:rPr>
                <w:sz w:val="20"/>
                <w:szCs w:val="20"/>
                <w:color w:val="auto"/>
              </w:rPr>
            </w:pPr>
            <w:r>
              <w:rPr>
                <w:rFonts w:ascii="Arial" w:cs="Arial" w:eastAsia="Arial" w:hAnsi="Arial"/>
                <w:sz w:val="16"/>
                <w:szCs w:val="16"/>
                <w:color w:val="auto"/>
              </w:rPr>
              <w:t>Effective Tax Rate</w:t>
            </w:r>
          </w:p>
        </w:tc>
        <w:tc>
          <w:tcPr>
            <w:tcW w:w="36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38.7 %</w:t>
            </w:r>
          </w:p>
        </w:tc>
        <w:tc>
          <w:tcPr>
            <w:tcW w:w="6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38.6 %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262"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231F20"/>
        </w:rPr>
        <w:t>The provision for income taxes increased by $1.9 million for the nine months ended September 30, 2016 compared to the nine months ended September 30, 2015, primarily due to an increase in income before taxes.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247"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231F20"/>
        </w:rPr>
        <w:t xml:space="preserve">At </w:t>
      </w:r>
      <w:r>
        <w:rPr>
          <w:rFonts w:ascii="Arial" w:cs="Arial" w:eastAsia="Arial" w:hAnsi="Arial"/>
          <w:sz w:val="18"/>
          <w:szCs w:val="18"/>
          <w:color w:val="000000"/>
        </w:rPr>
        <w:t>September 30, 2016</w:t>
      </w:r>
      <w:r>
        <w:rPr>
          <w:rFonts w:ascii="Arial" w:cs="Arial" w:eastAsia="Arial" w:hAnsi="Arial"/>
          <w:sz w:val="18"/>
          <w:szCs w:val="18"/>
          <w:color w:val="231F20"/>
        </w:rPr>
        <w:t xml:space="preserve">, our principal source of liquidity was cash, cash equivalents, and short-term and long-term investments of </w:t>
      </w:r>
      <w:r>
        <w:rPr>
          <w:rFonts w:ascii="Arial" w:cs="Arial" w:eastAsia="Arial" w:hAnsi="Arial"/>
          <w:sz w:val="18"/>
          <w:szCs w:val="18"/>
          <w:color w:val="000000"/>
        </w:rPr>
        <w:t>$275</w:t>
      </w:r>
      <w:r>
        <w:rPr>
          <w:rFonts w:ascii="Arial" w:cs="Arial" w:eastAsia="Arial" w:hAnsi="Arial"/>
          <w:sz w:val="18"/>
          <w:szCs w:val="18"/>
          <w:color w:val="231F20"/>
        </w:rPr>
        <w:t xml:space="preserve"> </w:t>
      </w:r>
      <w:r>
        <w:rPr>
          <w:rFonts w:ascii="Arial" w:cs="Arial" w:eastAsia="Arial" w:hAnsi="Arial"/>
          <w:sz w:val="18"/>
          <w:szCs w:val="18"/>
          <w:color w:val="000000"/>
        </w:rPr>
        <w:t>million</w:t>
      </w:r>
      <w:r>
        <w:rPr>
          <w:rFonts w:ascii="Arial" w:cs="Arial" w:eastAsia="Arial" w:hAnsi="Arial"/>
          <w:sz w:val="18"/>
          <w:szCs w:val="18"/>
          <w:color w:val="231F20"/>
        </w:rPr>
        <w:t>, including $3.8 million held outside of the United States by our foreign subsidiaries. We do not intend to repatriate these funds generated</w:t>
      </w:r>
      <w:r>
        <w:rPr>
          <w:rFonts w:ascii="Arial" w:cs="Arial" w:eastAsia="Arial" w:hAnsi="Arial"/>
          <w:sz w:val="18"/>
          <w:szCs w:val="18"/>
          <w:color w:val="000000"/>
        </w:rPr>
        <w:t xml:space="preserve"> </w:t>
      </w:r>
      <w:r>
        <w:rPr>
          <w:rFonts w:ascii="Arial" w:cs="Arial" w:eastAsia="Arial" w:hAnsi="Arial"/>
          <w:sz w:val="18"/>
          <w:szCs w:val="18"/>
          <w:color w:val="231F20"/>
        </w:rPr>
        <w:t>from foreign operations to fund our domestic operations.</w:t>
      </w:r>
    </w:p>
    <w:p>
      <w:pPr>
        <w:spacing w:after="0" w:line="202"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231F20"/>
        </w:rPr>
        <w:t>We have experienced positive cash flows from operations during the nine months ended September 30, 2016 and 2015. We believe our existing cash, cash equivalents, short-term and long-term investments, and cash from operations will be sufficient to fund our operations for at least the next twelve months. Our future capital requirements will depend on many factors, including our rate of revenue growth, the expansion of our sales and marketing activities, the timing and extent of our spending on research and development efforts, international expansion and investment in data centers. We may also seek to invest in or acquire complementary businesses or technologies.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w:t>
      </w:r>
    </w:p>
    <w:p>
      <w:pPr>
        <w:spacing w:after="0" w:line="247" w:lineRule="exact"/>
        <w:rPr>
          <w:sz w:val="20"/>
          <w:szCs w:val="20"/>
          <w:color w:val="auto"/>
        </w:rPr>
      </w:pPr>
    </w:p>
    <w:p>
      <w:pPr>
        <w:ind w:right="560" w:firstLine="162"/>
        <w:spacing w:after="0" w:line="262" w:lineRule="auto"/>
        <w:rPr>
          <w:sz w:val="20"/>
          <w:szCs w:val="20"/>
          <w:color w:val="auto"/>
        </w:rPr>
      </w:pPr>
      <w:r>
        <w:rPr>
          <w:rFonts w:ascii="Arial" w:cs="Arial" w:eastAsia="Arial" w:hAnsi="Arial"/>
          <w:sz w:val="18"/>
          <w:szCs w:val="18"/>
          <w:color w:val="231F20"/>
        </w:rPr>
        <w:t>The following summary of cash flows for the periods indicated has been derived from our condensed consolidated financial statements included elsewhere in this report: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gridSpan w:val="4"/>
          </w:tcPr>
          <w:p>
            <w:pPr>
              <w:jc w:val="center"/>
              <w:ind w:right="21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8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24"/>
                <w:szCs w:val="24"/>
                <w:color w:val="auto"/>
              </w:rPr>
            </w:pP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47"/>
        </w:trPr>
        <w:tc>
          <w:tcPr>
            <w:tcW w:w="8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0" w:type="dxa"/>
            <w:vAlign w:val="bottom"/>
            <w:gridSpan w:val="3"/>
          </w:tcPr>
          <w:p>
            <w:pPr>
              <w:jc w:val="center"/>
              <w:ind w:left="559"/>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1"/>
                <w:szCs w:val="2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operating activities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54,704</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41,668</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Cash used in investing activities</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(65,262)</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(30,318)</w:t>
            </w:r>
          </w:p>
        </w:tc>
      </w:tr>
      <w:tr>
        <w:trPr>
          <w:trHeight w:val="27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financing activities</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17,159</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6,909</w:t>
            </w:r>
          </w:p>
        </w:tc>
      </w:tr>
      <w:tr>
        <w:trPr>
          <w:trHeight w:val="240"/>
        </w:trPr>
        <w:tc>
          <w:tcPr>
            <w:tcW w:w="8340" w:type="dxa"/>
            <w:vAlign w:val="bottom"/>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6,601</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18,259</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Operating Activities</w:t>
      </w:r>
    </w:p>
    <w:p>
      <w:pPr>
        <w:spacing w:after="0" w:line="247"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nine months ended September 30, 2016</w:t>
      </w:r>
      <w:r>
        <w:rPr>
          <w:rFonts w:ascii="Arial" w:cs="Arial" w:eastAsia="Arial" w:hAnsi="Arial"/>
          <w:sz w:val="18"/>
          <w:szCs w:val="18"/>
          <w:color w:val="231F20"/>
        </w:rPr>
        <w:t xml:space="preserve">, cash flows from operating activities of </w:t>
      </w:r>
      <w:r>
        <w:rPr>
          <w:rFonts w:ascii="Arial" w:cs="Arial" w:eastAsia="Arial" w:hAnsi="Arial"/>
          <w:sz w:val="18"/>
          <w:szCs w:val="18"/>
          <w:color w:val="000000"/>
        </w:rPr>
        <w:t>$54.7 million</w:t>
      </w:r>
      <w:r>
        <w:rPr>
          <w:rFonts w:ascii="Arial" w:cs="Arial" w:eastAsia="Arial" w:hAnsi="Arial"/>
          <w:sz w:val="18"/>
          <w:szCs w:val="18"/>
          <w:color w:val="231F20"/>
        </w:rPr>
        <w:t xml:space="preserve"> primarily resulted from our net income of approximately </w:t>
      </w:r>
      <w:r>
        <w:rPr>
          <w:rFonts w:ascii="Arial" w:cs="Arial" w:eastAsia="Arial" w:hAnsi="Arial"/>
          <w:sz w:val="18"/>
          <w:szCs w:val="18"/>
          <w:color w:val="000000"/>
        </w:rPr>
        <w:t>$13.3 million</w:t>
      </w:r>
      <w:r>
        <w:rPr>
          <w:rFonts w:ascii="Arial" w:cs="Arial" w:eastAsia="Arial" w:hAnsi="Arial"/>
          <w:sz w:val="18"/>
          <w:szCs w:val="18"/>
          <w:color w:val="231F20"/>
        </w:rPr>
        <w:t xml:space="preserve">, as adjusted by an increase in deferred revenues of </w:t>
      </w:r>
      <w:r>
        <w:rPr>
          <w:rFonts w:ascii="Arial" w:cs="Arial" w:eastAsia="Arial" w:hAnsi="Arial"/>
          <w:sz w:val="18"/>
          <w:szCs w:val="18"/>
          <w:color w:val="000000"/>
        </w:rPr>
        <w:t>$10.9 million</w:t>
      </w:r>
      <w:r>
        <w:rPr>
          <w:rFonts w:ascii="Arial" w:cs="Arial" w:eastAsia="Arial" w:hAnsi="Arial"/>
          <w:sz w:val="18"/>
          <w:szCs w:val="18"/>
          <w:color w:val="231F20"/>
        </w:rPr>
        <w:t xml:space="preserve">, attributable to our continued growth, and an increase in accounts payable and accrued liabilities of $5.9 million due to the purchase of a large software license in the period. These working capital increases are further increased by non-cash items including depreciation and amortization expense of </w:t>
      </w:r>
      <w:r>
        <w:rPr>
          <w:rFonts w:ascii="Arial" w:cs="Arial" w:eastAsia="Arial" w:hAnsi="Arial"/>
          <w:sz w:val="18"/>
          <w:szCs w:val="18"/>
          <w:color w:val="000000"/>
        </w:rPr>
        <w:t>$12.4 million</w:t>
      </w:r>
      <w:r>
        <w:rPr>
          <w:rFonts w:ascii="Arial" w:cs="Arial" w:eastAsia="Arial" w:hAnsi="Arial"/>
          <w:sz w:val="18"/>
          <w:szCs w:val="18"/>
          <w:color w:val="231F20"/>
        </w:rPr>
        <w:t xml:space="preserve">, stock-based compensation of </w:t>
      </w:r>
      <w:r>
        <w:rPr>
          <w:rFonts w:ascii="Arial" w:cs="Arial" w:eastAsia="Arial" w:hAnsi="Arial"/>
          <w:sz w:val="18"/>
          <w:szCs w:val="18"/>
          <w:color w:val="000000"/>
        </w:rPr>
        <w:t>$15.1 million</w:t>
      </w:r>
      <w:r>
        <w:rPr>
          <w:rFonts w:ascii="Arial" w:cs="Arial" w:eastAsia="Arial" w:hAnsi="Arial"/>
          <w:sz w:val="18"/>
          <w:szCs w:val="18"/>
          <w:color w:val="231F20"/>
        </w:rPr>
        <w:t>, and net utilization of deferred income tax assets of $0.9 million. These increases are partially offset by excess tax benefits from stock-based compensation of $4.8 million.</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41"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nine months ended September 30, 2015</w:t>
      </w:r>
      <w:r>
        <w:rPr>
          <w:rFonts w:ascii="Arial" w:cs="Arial" w:eastAsia="Arial" w:hAnsi="Arial"/>
          <w:sz w:val="18"/>
          <w:szCs w:val="18"/>
          <w:color w:val="231F20"/>
        </w:rPr>
        <w:t xml:space="preserve">, cash flows from operating activities of </w:t>
      </w:r>
      <w:r>
        <w:rPr>
          <w:rFonts w:ascii="Arial" w:cs="Arial" w:eastAsia="Arial" w:hAnsi="Arial"/>
          <w:sz w:val="18"/>
          <w:szCs w:val="18"/>
          <w:color w:val="000000"/>
        </w:rPr>
        <w:t>$41.7 million</w:t>
      </w:r>
      <w:r>
        <w:rPr>
          <w:rFonts w:ascii="Arial" w:cs="Arial" w:eastAsia="Arial" w:hAnsi="Arial"/>
          <w:sz w:val="18"/>
          <w:szCs w:val="18"/>
          <w:color w:val="231F20"/>
        </w:rPr>
        <w:t xml:space="preserve"> primarily resulted from our net income of </w:t>
      </w:r>
      <w:r>
        <w:rPr>
          <w:rFonts w:ascii="Arial" w:cs="Arial" w:eastAsia="Arial" w:hAnsi="Arial"/>
          <w:sz w:val="18"/>
          <w:szCs w:val="18"/>
          <w:color w:val="000000"/>
        </w:rPr>
        <w:t>$10.4 million</w:t>
      </w:r>
      <w:r>
        <w:rPr>
          <w:rFonts w:ascii="Arial" w:cs="Arial" w:eastAsia="Arial" w:hAnsi="Arial"/>
          <w:sz w:val="18"/>
          <w:szCs w:val="18"/>
          <w:color w:val="231F20"/>
        </w:rPr>
        <w:t xml:space="preserve">, as adjusted by an increase in deferred revenues of </w:t>
      </w:r>
      <w:r>
        <w:rPr>
          <w:rFonts w:ascii="Arial" w:cs="Arial" w:eastAsia="Arial" w:hAnsi="Arial"/>
          <w:sz w:val="18"/>
          <w:szCs w:val="18"/>
          <w:color w:val="000000"/>
        </w:rPr>
        <w:t>$10.6 million</w:t>
      </w:r>
      <w:r>
        <w:rPr>
          <w:rFonts w:ascii="Arial" w:cs="Arial" w:eastAsia="Arial" w:hAnsi="Arial"/>
          <w:sz w:val="18"/>
          <w:szCs w:val="18"/>
          <w:color w:val="231F20"/>
        </w:rPr>
        <w:t xml:space="preserve">, attributable to our continued growth. These working capital increases are further increased by non-cash items including depreciation and amortization expense of </w:t>
      </w:r>
      <w:r>
        <w:rPr>
          <w:rFonts w:ascii="Arial" w:cs="Arial" w:eastAsia="Arial" w:hAnsi="Arial"/>
          <w:sz w:val="18"/>
          <w:szCs w:val="18"/>
          <w:color w:val="000000"/>
        </w:rPr>
        <w:t>$ 10.4 million</w:t>
      </w:r>
      <w:r>
        <w:rPr>
          <w:rFonts w:ascii="Arial" w:cs="Arial" w:eastAsia="Arial" w:hAnsi="Arial"/>
          <w:sz w:val="18"/>
          <w:szCs w:val="18"/>
          <w:color w:val="231F20"/>
        </w:rPr>
        <w:t xml:space="preserve">, stock-based compensation expense of </w:t>
      </w:r>
      <w:r>
        <w:rPr>
          <w:rFonts w:ascii="Arial" w:cs="Arial" w:eastAsia="Arial" w:hAnsi="Arial"/>
          <w:sz w:val="18"/>
          <w:szCs w:val="18"/>
          <w:color w:val="000000"/>
        </w:rPr>
        <w:t>$12.7 million</w:t>
      </w:r>
      <w:r>
        <w:rPr>
          <w:rFonts w:ascii="Arial" w:cs="Arial" w:eastAsia="Arial" w:hAnsi="Arial"/>
          <w:sz w:val="18"/>
          <w:szCs w:val="18"/>
          <w:color w:val="231F20"/>
        </w:rPr>
        <w:t>, and net utilization of deferred income tax assets of $ 5.1 million. These increases are partially offset by an increase in accounts receivable of $5.5 million, due to continued growth, and an increase in prepaid expenses and other assets of $2.1 million.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Investing Activities</w:t>
      </w:r>
    </w:p>
    <w:p>
      <w:pPr>
        <w:spacing w:after="0" w:line="247"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nine months ended September 30, 2016</w:t>
      </w:r>
      <w:r>
        <w:rPr>
          <w:rFonts w:ascii="Arial" w:cs="Arial" w:eastAsia="Arial" w:hAnsi="Arial"/>
          <w:sz w:val="18"/>
          <w:szCs w:val="18"/>
          <w:color w:val="231F20"/>
        </w:rPr>
        <w:t xml:space="preserve">, cash used in investing activities of </w:t>
      </w:r>
      <w:r>
        <w:rPr>
          <w:rFonts w:ascii="Arial" w:cs="Arial" w:eastAsia="Arial" w:hAnsi="Arial"/>
          <w:sz w:val="18"/>
          <w:szCs w:val="18"/>
          <w:color w:val="000000"/>
        </w:rPr>
        <w:t>$65.3 million was primarily attributable to $18.8 million</w:t>
      </w:r>
      <w:r>
        <w:rPr>
          <w:rFonts w:ascii="Arial" w:cs="Arial" w:eastAsia="Arial" w:hAnsi="Arial"/>
          <w:sz w:val="18"/>
          <w:szCs w:val="18"/>
          <w:color w:val="231F20"/>
        </w:rPr>
        <w:t xml:space="preserve"> </w:t>
      </w:r>
      <w:r>
        <w:rPr>
          <w:rFonts w:ascii="Arial" w:cs="Arial" w:eastAsia="Arial" w:hAnsi="Arial"/>
          <w:sz w:val="18"/>
          <w:szCs w:val="18"/>
          <w:color w:val="000000"/>
        </w:rPr>
        <w:t>of cash used for capital expenditures, including computer hardware and software for our data centers to support our growth and development, and physical scanner appliances and computer hardware provided to certain customers as part of their subscriptions; and purchases of investments, net of sales and maturities, of $46.5 million.</w:t>
      </w:r>
    </w:p>
    <w:p>
      <w:pPr>
        <w:spacing w:after="0" w:line="204"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nine months ended September 30, 2015</w:t>
      </w:r>
      <w:r>
        <w:rPr>
          <w:rFonts w:ascii="Arial" w:cs="Arial" w:eastAsia="Arial" w:hAnsi="Arial"/>
          <w:sz w:val="18"/>
          <w:szCs w:val="18"/>
          <w:color w:val="231F20"/>
        </w:rPr>
        <w:t xml:space="preserve">, cash used in investing activities of $30.3 million was primarily attributable to </w:t>
      </w:r>
      <w:r>
        <w:rPr>
          <w:rFonts w:ascii="Arial" w:cs="Arial" w:eastAsia="Arial" w:hAnsi="Arial"/>
          <w:sz w:val="18"/>
          <w:szCs w:val="18"/>
          <w:color w:val="000000"/>
        </w:rPr>
        <w:t>$14.9 million</w:t>
      </w:r>
      <w:r>
        <w:rPr>
          <w:rFonts w:ascii="Arial" w:cs="Arial" w:eastAsia="Arial" w:hAnsi="Arial"/>
          <w:sz w:val="18"/>
          <w:szCs w:val="18"/>
          <w:color w:val="231F20"/>
        </w:rPr>
        <w:t xml:space="preserve"> </w:t>
      </w:r>
      <w:r>
        <w:rPr>
          <w:rFonts w:ascii="Arial" w:cs="Arial" w:eastAsia="Arial" w:hAnsi="Arial"/>
          <w:sz w:val="18"/>
          <w:szCs w:val="18"/>
          <w:color w:val="000000"/>
        </w:rPr>
        <w:t>of cash used for capital expenditures, including computer hardware and software for our data centers to support our growth and development, and physical scanner appliances provided to certain customers as part of their subscriptions, and purchases of investments, net of sales and maturities, of $15.4 million.</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Financing Activities</w:t>
      </w:r>
    </w:p>
    <w:p>
      <w:pPr>
        <w:spacing w:after="0" w:line="247"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nine months ended September 30, 2016</w:t>
      </w:r>
      <w:r>
        <w:rPr>
          <w:rFonts w:ascii="Arial" w:cs="Arial" w:eastAsia="Arial" w:hAnsi="Arial"/>
          <w:sz w:val="18"/>
          <w:szCs w:val="18"/>
          <w:color w:val="231F20"/>
        </w:rPr>
        <w:t xml:space="preserve">, cash provided by financing activities of </w:t>
      </w:r>
      <w:r>
        <w:rPr>
          <w:rFonts w:ascii="Arial" w:cs="Arial" w:eastAsia="Arial" w:hAnsi="Arial"/>
          <w:sz w:val="18"/>
          <w:szCs w:val="18"/>
          <w:color w:val="000000"/>
        </w:rPr>
        <w:t>$17.2 million</w:t>
      </w:r>
      <w:r>
        <w:rPr>
          <w:rFonts w:ascii="Arial" w:cs="Arial" w:eastAsia="Arial" w:hAnsi="Arial"/>
          <w:sz w:val="18"/>
          <w:szCs w:val="18"/>
          <w:color w:val="231F20"/>
        </w:rPr>
        <w:t xml:space="preserve"> was primarily attributable to </w:t>
      </w:r>
      <w:r>
        <w:rPr>
          <w:rFonts w:ascii="Arial" w:cs="Arial" w:eastAsia="Arial" w:hAnsi="Arial"/>
          <w:sz w:val="18"/>
          <w:szCs w:val="18"/>
          <w:color w:val="000000"/>
        </w:rPr>
        <w:t>$12.5</w:t>
      </w:r>
      <w:r>
        <w:rPr>
          <w:rFonts w:ascii="Arial" w:cs="Arial" w:eastAsia="Arial" w:hAnsi="Arial"/>
          <w:sz w:val="18"/>
          <w:szCs w:val="18"/>
          <w:color w:val="231F20"/>
        </w:rPr>
        <w:t xml:space="preserve"> </w:t>
      </w:r>
      <w:r>
        <w:rPr>
          <w:rFonts w:ascii="Arial" w:cs="Arial" w:eastAsia="Arial" w:hAnsi="Arial"/>
          <w:sz w:val="18"/>
          <w:szCs w:val="18"/>
          <w:color w:val="000000"/>
        </w:rPr>
        <w:t xml:space="preserve">million </w:t>
      </w:r>
      <w:r>
        <w:rPr>
          <w:rFonts w:ascii="Arial" w:cs="Arial" w:eastAsia="Arial" w:hAnsi="Arial"/>
          <w:sz w:val="18"/>
          <w:szCs w:val="18"/>
          <w:color w:val="231F20"/>
        </w:rPr>
        <w:t>of proceeds from the exercise of stock options and $4.8 million of tax benefit from stock-based compensation.</w:t>
      </w:r>
    </w:p>
    <w:p>
      <w:pPr>
        <w:spacing w:after="0" w:line="196" w:lineRule="exact"/>
        <w:rPr>
          <w:sz w:val="20"/>
          <w:szCs w:val="20"/>
          <w:color w:val="auto"/>
        </w:rPr>
      </w:pPr>
    </w:p>
    <w:p>
      <w:pPr>
        <w:ind w:right="440" w:firstLine="486"/>
        <w:spacing w:after="0" w:line="262"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nine months ended September 30, 2015</w:t>
      </w:r>
      <w:r>
        <w:rPr>
          <w:rFonts w:ascii="Arial" w:cs="Arial" w:eastAsia="Arial" w:hAnsi="Arial"/>
          <w:sz w:val="18"/>
          <w:szCs w:val="18"/>
          <w:color w:val="231F20"/>
        </w:rPr>
        <w:t xml:space="preserve">, cash provided by financing activities of </w:t>
      </w:r>
      <w:r>
        <w:rPr>
          <w:rFonts w:ascii="Arial" w:cs="Arial" w:eastAsia="Arial" w:hAnsi="Arial"/>
          <w:sz w:val="18"/>
          <w:szCs w:val="18"/>
          <w:color w:val="000000"/>
        </w:rPr>
        <w:t>$6.9 million</w:t>
      </w:r>
      <w:r>
        <w:rPr>
          <w:rFonts w:ascii="Arial" w:cs="Arial" w:eastAsia="Arial" w:hAnsi="Arial"/>
          <w:sz w:val="18"/>
          <w:szCs w:val="18"/>
          <w:color w:val="231F20"/>
        </w:rPr>
        <w:t xml:space="preserve"> was primarily attributable to </w:t>
      </w:r>
      <w:r>
        <w:rPr>
          <w:rFonts w:ascii="Arial" w:cs="Arial" w:eastAsia="Arial" w:hAnsi="Arial"/>
          <w:sz w:val="18"/>
          <w:szCs w:val="18"/>
          <w:color w:val="000000"/>
        </w:rPr>
        <w:t>$6.6</w:t>
      </w:r>
      <w:r>
        <w:rPr>
          <w:rFonts w:ascii="Arial" w:cs="Arial" w:eastAsia="Arial" w:hAnsi="Arial"/>
          <w:sz w:val="18"/>
          <w:szCs w:val="18"/>
          <w:color w:val="231F20"/>
        </w:rPr>
        <w:t xml:space="preserve"> </w:t>
      </w:r>
      <w:r>
        <w:rPr>
          <w:rFonts w:ascii="Arial" w:cs="Arial" w:eastAsia="Arial" w:hAnsi="Arial"/>
          <w:sz w:val="18"/>
          <w:szCs w:val="18"/>
          <w:color w:val="000000"/>
        </w:rPr>
        <w:t xml:space="preserve">million </w:t>
      </w:r>
      <w:r>
        <w:rPr>
          <w:rFonts w:ascii="Arial" w:cs="Arial" w:eastAsia="Arial" w:hAnsi="Arial"/>
          <w:sz w:val="18"/>
          <w:szCs w:val="18"/>
          <w:color w:val="231F20"/>
        </w:rPr>
        <w:t>of proceeds from the exercise of stock options.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Contractual Obligations</w:t>
      </w:r>
    </w:p>
    <w:p>
      <w:pPr>
        <w:spacing w:after="0" w:line="247"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231F20"/>
        </w:rPr>
        <w:t xml:space="preserve">Our principal commitments consist of obligations under our outstanding leases for office space, third-party data centers and certain office equipment. The following table summarizes our contractual cash obligations at </w:t>
      </w:r>
      <w:r>
        <w:rPr>
          <w:rFonts w:ascii="Arial" w:cs="Arial" w:eastAsia="Arial" w:hAnsi="Arial"/>
          <w:sz w:val="18"/>
          <w:szCs w:val="18"/>
          <w:color w:val="000000"/>
        </w:rPr>
        <w:t>September 30, 2016</w:t>
      </w:r>
      <w:r>
        <w:rPr>
          <w:rFonts w:ascii="Arial" w:cs="Arial" w:eastAsia="Arial" w:hAnsi="Arial"/>
          <w:sz w:val="18"/>
          <w:szCs w:val="18"/>
          <w:color w:val="231F20"/>
        </w:rPr>
        <w:t xml:space="preserve"> and the effect such obligations are expected to have on our liquidity and cash flows in future periods: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6"/>
                <w:szCs w:val="16"/>
                <w:b w:val="1"/>
                <w:bCs w:val="1"/>
                <w:color w:val="auto"/>
              </w:rPr>
              <w:t>Payment Due by Period</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Remainder of</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2021 and</w:t>
            </w:r>
          </w:p>
        </w:tc>
        <w:tc>
          <w:tcPr>
            <w:tcW w:w="0" w:type="dxa"/>
            <w:vAlign w:val="bottom"/>
          </w:tcPr>
          <w:p>
            <w:pPr>
              <w:spacing w:after="0"/>
              <w:rPr>
                <w:sz w:val="1"/>
                <w:szCs w:val="1"/>
                <w:color w:val="auto"/>
              </w:rPr>
            </w:pPr>
          </w:p>
        </w:tc>
      </w:tr>
      <w:tr>
        <w:trPr>
          <w:trHeight w:val="126"/>
        </w:trPr>
        <w:tc>
          <w:tcPr>
            <w:tcW w:w="1920" w:type="dxa"/>
            <w:vAlign w:val="bottom"/>
            <w:gridSpan w:val="2"/>
            <w:vMerge w:val="restart"/>
          </w:tcPr>
          <w:p>
            <w:pPr>
              <w:ind w:left="40"/>
              <w:spacing w:after="0" w:line="181" w:lineRule="exact"/>
              <w:rPr>
                <w:sz w:val="20"/>
                <w:szCs w:val="20"/>
                <w:color w:val="auto"/>
              </w:rPr>
            </w:pPr>
            <w:r>
              <w:rPr>
                <w:rFonts w:ascii="Arial" w:cs="Arial" w:eastAsia="Arial" w:hAnsi="Arial"/>
                <w:sz w:val="16"/>
                <w:szCs w:val="16"/>
                <w:b w:val="1"/>
                <w:bCs w:val="1"/>
                <w:color w:val="auto"/>
              </w:rPr>
              <w:t>Contractual Obligations</w:t>
            </w:r>
          </w:p>
        </w:tc>
        <w:tc>
          <w:tcPr>
            <w:tcW w:w="12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1"/>
                <w:szCs w:val="11"/>
                <w:b w:val="1"/>
                <w:bCs w:val="1"/>
                <w:color w:val="auto"/>
                <w:w w:val="74"/>
              </w:rPr>
              <w:t>(1)</w:t>
            </w:r>
          </w:p>
        </w:tc>
        <w:tc>
          <w:tcPr>
            <w:tcW w:w="2660" w:type="dxa"/>
            <w:vAlign w:val="bottom"/>
            <w:vMerge w:val="restart"/>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gridSpan w:val="2"/>
            <w:vMerge w:val="restart"/>
          </w:tcPr>
          <w:p>
            <w:pPr>
              <w:ind w:left="160"/>
              <w:spacing w:after="0" w:line="181" w:lineRule="exact"/>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10"/>
                <w:szCs w:val="10"/>
                <w:color w:val="auto"/>
              </w:rPr>
            </w:pPr>
          </w:p>
        </w:tc>
        <w:tc>
          <w:tcPr>
            <w:tcW w:w="980" w:type="dxa"/>
            <w:vAlign w:val="bottom"/>
            <w:vMerge w:val="restart"/>
          </w:tcPr>
          <w:p>
            <w:pPr>
              <w:jc w:val="right"/>
              <w:ind w:right="359"/>
              <w:spacing w:after="0" w:line="181" w:lineRule="exact"/>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vMerge w:val="restart"/>
          </w:tcPr>
          <w:p>
            <w:pPr>
              <w:jc w:val="right"/>
              <w:ind w:right="159"/>
              <w:spacing w:after="0" w:line="181" w:lineRule="exact"/>
              <w:rPr>
                <w:sz w:val="20"/>
                <w:szCs w:val="20"/>
                <w:color w:val="auto"/>
              </w:rPr>
            </w:pPr>
            <w:r>
              <w:rPr>
                <w:rFonts w:ascii="Arial" w:cs="Arial" w:eastAsia="Arial" w:hAnsi="Arial"/>
                <w:sz w:val="16"/>
                <w:szCs w:val="16"/>
                <w:b w:val="1"/>
                <w:bCs w:val="1"/>
                <w:color w:val="auto"/>
              </w:rPr>
              <w:t>2017-2018</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vMerge w:val="restart"/>
          </w:tcPr>
          <w:p>
            <w:pPr>
              <w:jc w:val="right"/>
              <w:ind w:right="159"/>
              <w:spacing w:after="0" w:line="181" w:lineRule="exact"/>
              <w:rPr>
                <w:sz w:val="20"/>
                <w:szCs w:val="20"/>
                <w:color w:val="auto"/>
              </w:rPr>
            </w:pPr>
            <w:r>
              <w:rPr>
                <w:rFonts w:ascii="Arial" w:cs="Arial" w:eastAsia="Arial" w:hAnsi="Arial"/>
                <w:sz w:val="16"/>
                <w:szCs w:val="16"/>
                <w:b w:val="1"/>
                <w:bCs w:val="1"/>
                <w:color w:val="auto"/>
              </w:rPr>
              <w:t>2019-2020</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vMerge w:val="restart"/>
          </w:tcPr>
          <w:p>
            <w:pPr>
              <w:jc w:val="right"/>
              <w:ind w:right="179"/>
              <w:spacing w:after="0" w:line="181" w:lineRule="exact"/>
              <w:rPr>
                <w:sz w:val="20"/>
                <w:szCs w:val="20"/>
                <w:color w:val="auto"/>
              </w:rPr>
            </w:pPr>
            <w:r>
              <w:rPr>
                <w:rFonts w:ascii="Arial" w:cs="Arial" w:eastAsia="Arial" w:hAnsi="Arial"/>
                <w:sz w:val="16"/>
                <w:szCs w:val="16"/>
                <w:b w:val="1"/>
                <w:bCs w:val="1"/>
                <w:color w:val="auto"/>
              </w:rPr>
              <w:t>thereafter</w:t>
            </w:r>
          </w:p>
        </w:tc>
        <w:tc>
          <w:tcPr>
            <w:tcW w:w="0" w:type="dxa"/>
            <w:vAlign w:val="bottom"/>
          </w:tcPr>
          <w:p>
            <w:pPr>
              <w:spacing w:after="0"/>
              <w:rPr>
                <w:sz w:val="1"/>
                <w:szCs w:val="1"/>
                <w:color w:val="auto"/>
              </w:rPr>
            </w:pPr>
          </w:p>
        </w:tc>
      </w:tr>
      <w:tr>
        <w:trPr>
          <w:trHeight w:val="34"/>
        </w:trPr>
        <w:tc>
          <w:tcPr>
            <w:tcW w:w="19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266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8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9"/>
              </w:rPr>
              <w:t>(in thousands)</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40" w:type="dxa"/>
            <w:vAlign w:val="bottom"/>
            <w:shd w:val="clear" w:color="auto" w:fill="CCEEFF"/>
          </w:tcPr>
          <w:p>
            <w:pPr>
              <w:spacing w:after="0"/>
              <w:rPr>
                <w:sz w:val="16"/>
                <w:szCs w:val="16"/>
                <w:color w:val="auto"/>
              </w:rPr>
            </w:pPr>
          </w:p>
        </w:tc>
        <w:tc>
          <w:tcPr>
            <w:tcW w:w="200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shd w:val="clear" w:color="auto" w:fill="CCEEFF"/>
              </w:rPr>
              <w:t>Operating lease obligations</w:t>
            </w:r>
          </w:p>
        </w:tc>
        <w:tc>
          <w:tcPr>
            <w:tcW w:w="2660" w:type="dxa"/>
            <w:vAlign w:val="bottom"/>
            <w:shd w:val="clear" w:color="auto" w:fill="CCEEFF"/>
          </w:tcPr>
          <w:p>
            <w:pPr>
              <w:jc w:val="right"/>
              <w:ind w:right="2466"/>
              <w:spacing w:after="0"/>
              <w:rPr>
                <w:sz w:val="20"/>
                <w:szCs w:val="20"/>
                <w:color w:val="auto"/>
              </w:rPr>
            </w:pPr>
            <w:r>
              <w:rPr>
                <w:rFonts w:ascii="Arial" w:cs="Arial" w:eastAsia="Arial" w:hAnsi="Arial"/>
                <w:sz w:val="11"/>
                <w:szCs w:val="11"/>
                <w:color w:val="auto"/>
                <w:w w:val="88"/>
                <w:shd w:val="clear" w:color="auto" w:fill="CCEEFF"/>
              </w:rPr>
              <w:t>(2)</w:t>
            </w: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9,028</w:t>
            </w:r>
          </w:p>
        </w:tc>
        <w:tc>
          <w:tcPr>
            <w:tcW w:w="12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1,211</w:t>
            </w:r>
          </w:p>
        </w:tc>
        <w:tc>
          <w:tcPr>
            <w:tcW w:w="1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4,969</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2,136</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712</w:t>
            </w:r>
          </w:p>
        </w:tc>
        <w:tc>
          <w:tcPr>
            <w:tcW w:w="0" w:type="dxa"/>
            <w:vAlign w:val="bottom"/>
          </w:tcPr>
          <w:p>
            <w:pPr>
              <w:spacing w:after="0"/>
              <w:rPr>
                <w:sz w:val="1"/>
                <w:szCs w:val="1"/>
                <w:color w:val="auto"/>
              </w:rPr>
            </w:pPr>
          </w:p>
        </w:tc>
      </w:tr>
      <w:tr>
        <w:trPr>
          <w:trHeight w:val="90"/>
        </w:trPr>
        <w:tc>
          <w:tcPr>
            <w:tcW w:w="40" w:type="dxa"/>
            <w:vAlign w:val="bottom"/>
            <w:tcBorders>
              <w:bottom w:val="single" w:sz="8" w:color="CCEEFF"/>
            </w:tcBorders>
            <w:shd w:val="clear" w:color="auto" w:fill="CCEEFF"/>
          </w:tcPr>
          <w:p>
            <w:pPr>
              <w:spacing w:after="0"/>
              <w:rPr>
                <w:sz w:val="7"/>
                <w:szCs w:val="7"/>
                <w:color w:val="auto"/>
              </w:rPr>
            </w:pPr>
          </w:p>
        </w:tc>
        <w:tc>
          <w:tcPr>
            <w:tcW w:w="2000" w:type="dxa"/>
            <w:vAlign w:val="bottom"/>
            <w:tcBorders>
              <w:bottom w:val="single" w:sz="8" w:color="CCEEFF"/>
            </w:tcBorders>
            <w:gridSpan w:val="2"/>
            <w:vMerge w:val="continue"/>
            <w:shd w:val="clear" w:color="auto" w:fill="CCEEFF"/>
          </w:tcPr>
          <w:p>
            <w:pPr>
              <w:spacing w:after="0"/>
              <w:rPr>
                <w:sz w:val="7"/>
                <w:szCs w:val="7"/>
                <w:color w:val="auto"/>
              </w:rPr>
            </w:pPr>
          </w:p>
        </w:tc>
        <w:tc>
          <w:tcPr>
            <w:tcW w:w="2660" w:type="dxa"/>
            <w:vAlign w:val="bottom"/>
            <w:tcBorders>
              <w:bottom w:val="single" w:sz="8" w:color="CCEEFF"/>
            </w:tcBorders>
            <w:shd w:val="clear" w:color="auto" w:fill="CCEEFF"/>
          </w:tcPr>
          <w:p>
            <w:pPr>
              <w:spacing w:after="0"/>
              <w:rPr>
                <w:sz w:val="7"/>
                <w:szCs w:val="7"/>
                <w:color w:val="auto"/>
              </w:rPr>
            </w:pPr>
          </w:p>
        </w:tc>
        <w:tc>
          <w:tcPr>
            <w:tcW w:w="280" w:type="dxa"/>
            <w:vAlign w:val="bottom"/>
            <w:tcBorders>
              <w:bottom w:val="single" w:sz="8" w:color="CCEEFF"/>
            </w:tcBorders>
            <w:vMerge w:val="continue"/>
            <w:shd w:val="clear" w:color="auto" w:fill="CCEEFF"/>
          </w:tcPr>
          <w:p>
            <w:pPr>
              <w:spacing w:after="0"/>
              <w:rPr>
                <w:sz w:val="7"/>
                <w:szCs w:val="7"/>
                <w:color w:val="auto"/>
              </w:rPr>
            </w:pPr>
          </w:p>
        </w:tc>
        <w:tc>
          <w:tcPr>
            <w:tcW w:w="98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60" w:type="dxa"/>
            <w:vAlign w:val="bottom"/>
            <w:tcBorders>
              <w:bottom w:val="single" w:sz="8" w:color="CCEEFF"/>
            </w:tcBorders>
            <w:vMerge w:val="continue"/>
            <w:shd w:val="clear" w:color="auto" w:fill="CCEEFF"/>
          </w:tcPr>
          <w:p>
            <w:pPr>
              <w:spacing w:after="0"/>
              <w:rPr>
                <w:sz w:val="7"/>
                <w:szCs w:val="7"/>
                <w:color w:val="auto"/>
              </w:rPr>
            </w:pPr>
          </w:p>
        </w:tc>
        <w:tc>
          <w:tcPr>
            <w:tcW w:w="98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vMerge w:val="continue"/>
            <w:shd w:val="clear" w:color="auto" w:fill="CCEEFF"/>
          </w:tcPr>
          <w:p>
            <w:pPr>
              <w:spacing w:after="0"/>
              <w:rPr>
                <w:sz w:val="7"/>
                <w:szCs w:val="7"/>
                <w:color w:val="auto"/>
              </w:rPr>
            </w:pPr>
          </w:p>
        </w:tc>
        <w:tc>
          <w:tcPr>
            <w:tcW w:w="108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vMerge w:val="continue"/>
            <w:shd w:val="clear" w:color="auto" w:fill="CCEEFF"/>
          </w:tcPr>
          <w:p>
            <w:pPr>
              <w:spacing w:after="0"/>
              <w:rPr>
                <w:sz w:val="7"/>
                <w:szCs w:val="7"/>
                <w:color w:val="auto"/>
              </w:rPr>
            </w:pPr>
          </w:p>
        </w:tc>
        <w:tc>
          <w:tcPr>
            <w:tcW w:w="108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vMerge w:val="continue"/>
            <w:shd w:val="clear" w:color="auto" w:fill="CCEEFF"/>
          </w:tcPr>
          <w:p>
            <w:pPr>
              <w:spacing w:after="0"/>
              <w:rPr>
                <w:sz w:val="7"/>
                <w:szCs w:val="7"/>
                <w:color w:val="auto"/>
              </w:rPr>
            </w:pPr>
          </w:p>
        </w:tc>
        <w:tc>
          <w:tcPr>
            <w:tcW w:w="108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4660" w:type="dxa"/>
            <w:vAlign w:val="bottom"/>
            <w:gridSpan w:val="3"/>
          </w:tcPr>
          <w:p>
            <w:pPr>
              <w:ind w:left="24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9,028</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1,211</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4,969</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2,136</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712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340" w:right="2560" w:hanging="332"/>
        <w:spacing w:after="0" w:line="271" w:lineRule="auto"/>
        <w:tabs>
          <w:tab w:leader="none" w:pos="340" w:val="left"/>
        </w:tabs>
        <w:numPr>
          <w:ilvl w:val="0"/>
          <w:numId w:val="6"/>
        </w:numPr>
        <w:rPr>
          <w:rFonts w:ascii="Arial" w:cs="Arial" w:eastAsia="Arial" w:hAnsi="Arial"/>
          <w:sz w:val="14"/>
          <w:szCs w:val="14"/>
          <w:color w:val="231F20"/>
        </w:rPr>
      </w:pPr>
      <w:r>
        <w:rPr>
          <w:rFonts w:ascii="Arial" w:cs="Arial" w:eastAsia="Arial" w:hAnsi="Arial"/>
          <w:sz w:val="14"/>
          <w:szCs w:val="14"/>
          <w:color w:val="231F20"/>
        </w:rPr>
        <w:t>As discussed in Note 11 to our condensed consolidated financial statements included elsewhere in this Quarterly Report on Form 10-Q, on October 14, 2016, we entered into a new lease agreement with a total minimum commitment of $37.8 million through May 2028.</w:t>
      </w:r>
    </w:p>
    <w:p>
      <w:pPr>
        <w:spacing w:after="0" w:line="1" w:lineRule="exact"/>
        <w:rPr>
          <w:rFonts w:ascii="Arial" w:cs="Arial" w:eastAsia="Arial" w:hAnsi="Arial"/>
          <w:sz w:val="14"/>
          <w:szCs w:val="14"/>
          <w:color w:val="231F20"/>
        </w:rPr>
      </w:pPr>
    </w:p>
    <w:p>
      <w:pPr>
        <w:ind w:left="340" w:right="180" w:hanging="332"/>
        <w:spacing w:after="0" w:line="278" w:lineRule="auto"/>
        <w:tabs>
          <w:tab w:leader="none" w:pos="340" w:val="left"/>
        </w:tabs>
        <w:numPr>
          <w:ilvl w:val="0"/>
          <w:numId w:val="6"/>
        </w:numPr>
        <w:rPr>
          <w:rFonts w:ascii="Arial" w:cs="Arial" w:eastAsia="Arial" w:hAnsi="Arial"/>
          <w:sz w:val="14"/>
          <w:szCs w:val="14"/>
          <w:color w:val="231F20"/>
        </w:rPr>
      </w:pPr>
      <w:r>
        <w:rPr>
          <w:rFonts w:ascii="Arial" w:cs="Arial" w:eastAsia="Arial" w:hAnsi="Arial"/>
          <w:sz w:val="14"/>
          <w:szCs w:val="14"/>
          <w:color w:val="231F20"/>
        </w:rPr>
        <w:t xml:space="preserve">Operating lease obligations represent our obligations to make payments under the lease agreements for our facilities, data centers, and office equipment leases. During the </w:t>
      </w:r>
      <w:r>
        <w:rPr>
          <w:rFonts w:ascii="Arial" w:cs="Arial" w:eastAsia="Arial" w:hAnsi="Arial"/>
          <w:sz w:val="14"/>
          <w:szCs w:val="14"/>
          <w:color w:val="000000"/>
        </w:rPr>
        <w:t>nine months ended September 30, 2016</w:t>
      </w:r>
      <w:r>
        <w:rPr>
          <w:rFonts w:ascii="Arial" w:cs="Arial" w:eastAsia="Arial" w:hAnsi="Arial"/>
          <w:sz w:val="14"/>
          <w:szCs w:val="14"/>
          <w:color w:val="231F20"/>
        </w:rPr>
        <w:t>, we made regular payments on our operating lease obligations of $3.7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Off-Balance Sheet Arrangements</w:t>
      </w:r>
    </w:p>
    <w:p>
      <w:pPr>
        <w:spacing w:after="0" w:line="193"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231F20"/>
        </w:rPr>
        <w:t>During the periods presented, we did not have, nor do we currently have, any relationships with unconsolidated entities or financial partnerships, such as entities often referred to as structured finance or special purpose entities.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4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231F20"/>
        </w:rPr>
        <w:t>Recent Accounting Pronouncements</w:t>
      </w:r>
    </w:p>
    <w:p>
      <w:pPr>
        <w:spacing w:after="0" w:line="247"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231F20"/>
        </w:rPr>
        <w:t>See Note 1 to the unaudited condensed consolidated financial statements in Part I, Item 1 of this Quarterly Report on Form 10-Q for a discussion of recent accounting pronouncements.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Critical Accounting Policies and Estimates</w:t>
      </w:r>
    </w:p>
    <w:p>
      <w:pPr>
        <w:spacing w:after="0" w:line="247" w:lineRule="exact"/>
        <w:rPr>
          <w:sz w:val="20"/>
          <w:szCs w:val="20"/>
          <w:color w:val="auto"/>
        </w:rPr>
      </w:pPr>
    </w:p>
    <w:p>
      <w:pPr>
        <w:ind w:right="440" w:firstLine="486"/>
        <w:spacing w:after="0" w:line="254" w:lineRule="auto"/>
        <w:rPr>
          <w:sz w:val="20"/>
          <w:szCs w:val="20"/>
          <w:color w:val="auto"/>
        </w:rPr>
      </w:pPr>
      <w:r>
        <w:rPr>
          <w:rFonts w:ascii="Arial" w:cs="Arial" w:eastAsia="Arial" w:hAnsi="Arial"/>
          <w:sz w:val="18"/>
          <w:szCs w:val="18"/>
          <w:color w:val="231F20"/>
        </w:rPr>
        <w:t>Our condensed consolidated financial statements are prepared in accordance with U.S. GAAP. The preparation of these financial statements requires us to make estimates and assumptions that affect the reported amounts of assets, liabilities, revenues, expenses and related disclosures. On an ongoing basis, we evaluate our estimates and assumptions. Our actual results may differ from these estimates under different assumptions or conditions.</w:t>
      </w:r>
    </w:p>
    <w:p>
      <w:pPr>
        <w:spacing w:after="0" w:line="204"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231F20"/>
        </w:rPr>
        <w:t>We believe that of our significant accounting policies, which are described in the notes to our consolidated financial statements in our Annual Report on Form 10-K for the fiscal year ended December 31, 2015, filed with the SEC on February 26, 2016, the accounting policies related to revenue recognition, income taxes and stock-based compensation involve the greatest degree of judgment and complexity and have the greatest potential impact on our consolidated financial statements. A critical accounting policy is one that is material to the presentation of our consolidated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 There have been no material changes to our critical accounting policies and estimates as compared to the critical accounting policies and estimates as described in our Annual Report on Form 10-K for the fiscal year ended December 31, 2015.</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360" w:right="25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color w:val="231F20"/>
        </w:rPr>
        <w:t>Quantitative and Qualitative Disclosures about Market Risk</w:t>
      </w:r>
    </w:p>
    <w:p>
      <w:pPr>
        <w:spacing w:after="0" w:line="315" w:lineRule="exact"/>
        <w:rPr>
          <w:sz w:val="20"/>
          <w:szCs w:val="20"/>
          <w:color w:val="auto"/>
        </w:rPr>
      </w:pPr>
    </w:p>
    <w:p>
      <w:pPr>
        <w:jc w:val="both"/>
        <w:ind w:right="180" w:firstLine="486"/>
        <w:spacing w:after="0" w:line="254" w:lineRule="auto"/>
        <w:rPr>
          <w:sz w:val="20"/>
          <w:szCs w:val="20"/>
          <w:color w:val="auto"/>
        </w:rPr>
      </w:pPr>
      <w:r>
        <w:rPr>
          <w:rFonts w:ascii="Arial" w:cs="Arial" w:eastAsia="Arial" w:hAnsi="Arial"/>
          <w:sz w:val="18"/>
          <w:szCs w:val="18"/>
          <w:color w:val="231F20"/>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Foreign Currency Risk</w:t>
      </w:r>
    </w:p>
    <w:p>
      <w:pPr>
        <w:spacing w:after="0" w:line="139"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231F20"/>
        </w:rPr>
        <w:t>Our results of operations and cash flows have been and will continue to be subject to fluctuations because of changes in foreign currency exchange rates, particularly changes in exchange rates between the U.S. dollar and the Euro, British Pound, and Indian Rupee, the currencies of countries where we currently have our most significant international operations. A portion of our invoicing is denominated in the Euro, British Pound and Japanese Yen. Our expenses in international locations are generally denominated in the currencies of the countries in which our operations are located.</w:t>
      </w:r>
    </w:p>
    <w:p>
      <w:pPr>
        <w:spacing w:after="0" w:line="179"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231F20"/>
        </w:rPr>
        <w:t>Derivative financial instruments are utilized by the Company to reduce foreign currency exchange risks. We use foreign currency forward contracts to partially mitigate the impact of fluctuations in cash and accounts receivable balances denominated in Euros and British Pound. We do not use these contracts for speculative or trading purposes, nor are they designated as hedges. These contracts typically have a maturity of one month, and we record gains and losses from these instruments in other income (expense), net. The effect of an immediate 10% adverse change in foreign exchange rates would not be material to our financial condition, operating results or cash flows.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24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 xml:space="preserve">We have $275 million in cash, cash equivalents and short-term and long-term investments at September 30, 2016. Cash and cash equivalents include cash held in banks, highly liquid money market funds, U.S. government agency securities, and commercial paper. Investments consist of fixed-income U.S. government agency securities, corporate bonds, asset-backed securities, and commercial paper. We </w:t>
      </w:r>
      <w:r>
        <w:rPr>
          <w:rFonts w:ascii="Arial" w:cs="Arial" w:eastAsia="Arial" w:hAnsi="Arial"/>
          <w:sz w:val="18"/>
          <w:szCs w:val="18"/>
          <w:color w:val="231F20"/>
        </w:rPr>
        <w:t>determine the appropriate classification of our investments at the time of purchase and reevaluate such designation at each balance sheet date. We classify our investments as either short-term or long-term based on each instrument's underlying contractual maturity date.</w:t>
      </w:r>
    </w:p>
    <w:p>
      <w:pPr>
        <w:spacing w:after="0" w:line="206"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The primary objectives of our investment activities are the preservation of principal and support of our liquidity requirements. We do not enter into investments for trading or speculative purposes. Our investments are subject to market risk due to changes in interest rates, which may affect the interest income we earn and the fair market value. We do not believe that a 10% increase or decrease in interest rates would have a material impact on our operating results or cash flows.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41" w:right="25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Controls and Procedures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Evaluation of Disclosure Controls and Procedures</w:t>
      </w:r>
    </w:p>
    <w:p>
      <w:pPr>
        <w:spacing w:after="0" w:line="24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September 30, 2016.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2016, our Chief Executive Officer and Chief Financial Officer concluded that, as of such date, our disclosure controls and procedures were effective at the reasonable assurance level.</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Changes in Internal Control over Financial Reporting</w:t>
      </w:r>
    </w:p>
    <w:p>
      <w:pPr>
        <w:spacing w:after="0" w:line="247" w:lineRule="exact"/>
        <w:rPr>
          <w:sz w:val="20"/>
          <w:szCs w:val="20"/>
          <w:color w:val="auto"/>
        </w:rPr>
      </w:pPr>
    </w:p>
    <w:p>
      <w:pPr>
        <w:jc w:val="both"/>
        <w:ind w:right="240" w:firstLine="486"/>
        <w:spacing w:after="0" w:line="256"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141" w:right="29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 Legal Proceedings</w:t>
      </w:r>
    </w:p>
    <w:p>
      <w:pPr>
        <w:spacing w:after="0" w:line="193" w:lineRule="exact"/>
        <w:rPr>
          <w:sz w:val="20"/>
          <w:szCs w:val="20"/>
          <w:color w:val="auto"/>
        </w:rPr>
      </w:pPr>
    </w:p>
    <w:p>
      <w:pPr>
        <w:jc w:val="both"/>
        <w:ind w:right="100" w:firstLine="486"/>
        <w:spacing w:after="0" w:line="254" w:lineRule="auto"/>
        <w:rPr>
          <w:sz w:val="20"/>
          <w:szCs w:val="20"/>
          <w:color w:val="auto"/>
        </w:rPr>
      </w:pPr>
      <w:r>
        <w:rPr>
          <w:rFonts w:ascii="Arial" w:cs="Arial" w:eastAsia="Arial" w:hAnsi="Arial"/>
          <w:sz w:val="18"/>
          <w:szCs w:val="18"/>
          <w:color w:val="231F20"/>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1A. Risk Factors</w:t>
      </w:r>
    </w:p>
    <w:p>
      <w:pPr>
        <w:spacing w:after="0" w:line="229"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i w:val="1"/>
          <w:iCs w:val="1"/>
          <w:color w:val="231F20"/>
        </w:rPr>
        <w:t>An investment in our common stock involves a high degree of risk. You should carefully consider the risks and uncertainties described below, and all other information contained in this Quarterly Report on Form 10-Q, including our condensed consolidated financial statements and the related notes, before making a decision to invest in our common stock. Our business, operating results, financial condition, or prospects could be materially and adversely affected by any of these risks and uncertainties. In that case, the trading price of our common stock could decline, and you might lose all or part or all of your investment. In addition, the risks and uncertainties discussed below are not the only ones we face. Our business, operating results, financial performance or prospects could also be harmed by risks and uncertainties not currently known to us or that we currently do not believe are material.</w:t>
      </w:r>
    </w:p>
    <w:p>
      <w:pPr>
        <w:spacing w:after="0" w:line="18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231F20"/>
        </w:rPr>
        <w:t>Subscriptions to our Qualys Vulnerability Management solutions generate most of our revenues, and if we are unable to continue to renew and grow subscriptions for these solutions, our operating results would suffer.</w:t>
      </w:r>
    </w:p>
    <w:p>
      <w:pPr>
        <w:spacing w:after="0" w:line="175" w:lineRule="exact"/>
        <w:rPr>
          <w:sz w:val="20"/>
          <w:szCs w:val="20"/>
          <w:color w:val="auto"/>
        </w:rPr>
      </w:pPr>
    </w:p>
    <w:p>
      <w:pPr>
        <w:ind w:firstLine="392"/>
        <w:spacing w:after="0" w:line="252" w:lineRule="auto"/>
        <w:rPr>
          <w:sz w:val="20"/>
          <w:szCs w:val="20"/>
          <w:color w:val="auto"/>
        </w:rPr>
      </w:pPr>
      <w:r>
        <w:rPr>
          <w:rFonts w:ascii="Arial" w:cs="Arial" w:eastAsia="Arial" w:hAnsi="Arial"/>
          <w:sz w:val="18"/>
          <w:szCs w:val="18"/>
          <w:color w:val="231F20"/>
        </w:rPr>
        <w:t>We derived approximately 79% of our revenues from subscriptions to our core Vulnerability Management solutions for the nine months ended September 30, 2016. We expect to continue to derive a majority of our revenues from subscriptions to our VM solutions, which also include the related portion of additional offerings, such as Continuous Monitoring and Cloud Agent, that expand the scope of capabilities within our platform. The market demand for our Qualys Vulnerability Management solutions is critical to our continued success. Demand for these solutions is affected by a number of factors beyond our control, including continued market acceptance of our solution for existing and new use cases, the timing of development and release of new products or services by our competitors, technological change, and growth or contraction in our market. Our inability to renew or increase subscriptions for this solution or a decline in price of this solution would harm our business and operating results more seriously than if we derived significant revenues from a variety of solutions.</w:t>
      </w:r>
    </w:p>
    <w:p>
      <w:pPr>
        <w:spacing w:after="0" w:line="18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231F20"/>
        </w:rPr>
        <w:t>Our quarterly operating results may vary from period to period, which could result in our failure to meet expectations with respect to operating results and cause the trading price of our stock to decline.</w:t>
      </w:r>
    </w:p>
    <w:p>
      <w:pPr>
        <w:spacing w:after="0" w:line="175" w:lineRule="exact"/>
        <w:rPr>
          <w:sz w:val="20"/>
          <w:szCs w:val="20"/>
          <w:color w:val="auto"/>
        </w:rPr>
      </w:pPr>
    </w:p>
    <w:p>
      <w:pPr>
        <w:ind w:right="80" w:firstLine="405"/>
        <w:spacing w:after="0" w:line="262" w:lineRule="auto"/>
        <w:rPr>
          <w:sz w:val="20"/>
          <w:szCs w:val="20"/>
          <w:color w:val="auto"/>
        </w:rPr>
      </w:pPr>
      <w:r>
        <w:rPr>
          <w:rFonts w:ascii="Arial" w:cs="Arial" w:eastAsia="Arial" w:hAnsi="Arial"/>
          <w:sz w:val="18"/>
          <w:szCs w:val="18"/>
          <w:color w:val="231F20"/>
        </w:rPr>
        <w:t>Our operating results have historically varied from period to period, and we expect that they will continue to do so as a result of a number of factors, many of which are outside of our control, including:</w:t>
      </w:r>
    </w:p>
    <w:p>
      <w:pPr>
        <w:spacing w:after="0" w:line="8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demand for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publicity regarding security breaches generally and the level of perceived threats to IT security;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and marketing expenses associated with our existing and new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customer renewals of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to which customers subscribe for additional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seasonal buying patterns of our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perceived threats to IT security;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security breaches, technical difficulties or interruptions with our service;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growth rate of the IT security and compliance market;</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141" w:right="29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ind w:left="660" w:right="600" w:hanging="328"/>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success of new product or service introductions by us or our competitors or any other changes in the competitive landscape of our industry, including consolidation among our competitors;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introduction or adoption of new technologies that compete with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decisions by potential customers to purchase IT security and compliance products or services from other vendors;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operations and expansion of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sales commissions relative to the recognition of revenues;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announcement or adoption of new regulations and policy mandates or changes to existing regulations and policy mandates;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of our products and services to operate as designed;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 competition;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length of our sales cycle for our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 the foreign markets in which we sell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17"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integrate any products or services that we may acquire in the future into our product suite or migrate existing customers of any companies that we may acquire in the future to our products and services;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effective tax rate;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services or businesses;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goodwill and intangible asset impairment charges associated with acquired businesses.</w:t>
      </w:r>
    </w:p>
    <w:p>
      <w:pPr>
        <w:spacing w:after="0" w:line="333"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231F20"/>
        </w:rPr>
        <w:t>Each factor above or discussed elsewhere in this Quarterly Report on Form 10-Q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 exceed expectations for our operating results for these or any other reasons, the trading price of our common stock could fall and we could face costly lawsuits, including securities class action suits.</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If the market for cloud solutions for IT security and compliance does not evolve as we anticipate, our revenues may not grow and our operating results would be harmed.</w:t>
      </w:r>
    </w:p>
    <w:p>
      <w:pPr>
        <w:spacing w:after="0" w:line="175"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Our success depends to a significant extent on the willingness of organizations to increase their use of cloud solutions for their IT security and compliance. However, the market for cloud solutions for IT security and compliance is at an early stage relative to on-premise solutions, and as such, it is difficult to predict important market trends, including the potential growth, if any, of the market for cloud security and compliance solutions. To date, some organizations have been reluctant to use cloud solutions because they have concerns regarding the risks associated with the reliability or security of the technology delivery model associated with these solutions. If other cloud service providers experience security incidents, loss of customer data, disruptions in service delivery or other problems, the market for cloud solutions as a whole, including our solutions, may be negatively impacted. Moreover, many organizations have invested substantial personnel and financial resources to integrate on-premise software into their businesses, and as a result may be reluctant or unwilling to migrate to a cloud</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41" w:right="25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231F20"/>
        </w:rPr>
        <w:t>solution. Organizations that use on-premise security products, such as network firewalls, security information and event management products or data loss prevention solutions, may also believe that these products sufficiently protect their IT infrastructure and deliver adequate security. Therefore, they may continue spending their IT security budgets on these products and may not adopt our security and compliance solutions in addition to or as a replacement for such products.</w:t>
      </w:r>
    </w:p>
    <w:p>
      <w:pPr>
        <w:spacing w:after="0" w:line="204" w:lineRule="exact"/>
        <w:rPr>
          <w:sz w:val="20"/>
          <w:szCs w:val="20"/>
          <w:color w:val="auto"/>
        </w:rPr>
      </w:pPr>
    </w:p>
    <w:p>
      <w:pPr>
        <w:jc w:val="both"/>
        <w:ind w:right="160" w:firstLine="405"/>
        <w:spacing w:after="0" w:line="256" w:lineRule="auto"/>
        <w:rPr>
          <w:sz w:val="20"/>
          <w:szCs w:val="20"/>
          <w:color w:val="auto"/>
        </w:rPr>
      </w:pPr>
      <w:r>
        <w:rPr>
          <w:rFonts w:ascii="Arial" w:cs="Arial" w:eastAsia="Arial" w:hAnsi="Arial"/>
          <w:sz w:val="18"/>
          <w:szCs w:val="18"/>
          <w:color w:val="231F20"/>
        </w:rPr>
        <w:t>If the market for cloud solutions for IT security and compliance does not evolve in the way we anticipate or if customers do not recognize the benefits of our cloud solutions over traditional on-premise enterprise software products, and as a result we are unable to increase sales of subscriptions to our solutions, then our revenues may not grow or may decline, and our operating results would be harmed.</w:t>
      </w:r>
    </w:p>
    <w:p>
      <w:pPr>
        <w:spacing w:after="0" w:line="180"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b w:val="1"/>
          <w:bCs w:val="1"/>
          <w:i w:val="1"/>
          <w:iCs w:val="1"/>
          <w:color w:val="231F20"/>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spacing w:after="0" w:line="190"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The IT security and compliance market is characterized by rapid technological advances, customer price sensitivity, short product and service life cycles, intense competition, changes in customer requirements, frequent new product introductions and enhancements and evolving industry standards and regulatory mandates. Any of these factors could create downward pressure on pricing and gross margins, and could adversely affect our renewal rates, as well as our ability to attract new customers. Our future success will depend on our ability to enhance existing solutions, introduce new solutions on a timely and cost-effective basis, meet changing customer needs, extend our core technology into new applications, and anticipate and respond to emerging standards and business models. We must also continually change and improve our solutions in response to changes in operating systems, application software, computer and communications hardware, networking software, data center architectures, programming tools and computer language technology.</w:t>
      </w:r>
    </w:p>
    <w:p>
      <w:pPr>
        <w:spacing w:after="0" w:line="206"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We may not be able to anticipate future market needs and opportunities or develop enhancements or new solutions to meet such needs or opportunities in a timely manner or at all. The market for cloud solutions for IT security and compliance is relatively new, and it is uncertain whether our new solutions will gain market acceptance.</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Our solution enhancements or new solutions could fail to attain sufficient market acceptance for many reasons, including:</w:t>
      </w:r>
    </w:p>
    <w:p>
      <w:pPr>
        <w:spacing w:after="0" w:line="11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timely meet market demand for product functionality;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identify and provide intelligence regarding the attacks or techniques used by cyber-attackers;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interoperate effectively with the database technologies, file systems or web applications of our prospective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releasing our enhancements or new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introduction or anticipated introduction of products by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poor business conditions, causing customers to delay IT security and compliance purchases;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easing or changing of external regulations related to IT security and compliance;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reluctance of customers to purchase cloud solutions for IT security and compliance.</w:t>
      </w:r>
    </w:p>
    <w:p>
      <w:pPr>
        <w:spacing w:after="0" w:line="279"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231F20"/>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security and compliance providers that may be better established or have greater resources than we do, require additional investment of time and resources in the development and training of our channel partners and entail significant risk of failure.</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41"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right="400" w:firstLine="405"/>
        <w:spacing w:after="0" w:line="254" w:lineRule="auto"/>
        <w:rPr>
          <w:sz w:val="20"/>
          <w:szCs w:val="20"/>
          <w:color w:val="auto"/>
        </w:rPr>
      </w:pPr>
      <w:r>
        <w:rPr>
          <w:rFonts w:ascii="Arial" w:cs="Arial" w:eastAsia="Arial" w:hAnsi="Arial"/>
          <w:sz w:val="18"/>
          <w:szCs w:val="18"/>
          <w:color w:val="231F20"/>
        </w:rPr>
        <w:t>If we fail to anticipate market requirements or fail to develop and introduce solution enhancements or new solutions to satisfy those requirements in a timely manner, such failure could substantially decrease or delay market acceptance and sales of our present and future solutions and cause us to lose existing customers or fail to gain new customers, which would significantly harm our business, financial condition and results of operations.</w:t>
      </w:r>
    </w:p>
    <w:p>
      <w:pPr>
        <w:spacing w:after="0" w:line="18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231F20"/>
        </w:rPr>
        <w:t>If we fail to continue to effectively scale and adapt our platform to meet the performance and other requirements of our customers, our operating results and our business would be harmed.</w:t>
      </w:r>
    </w:p>
    <w:p>
      <w:pPr>
        <w:spacing w:after="0" w:line="175"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Our future growth depends upon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 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spacing w:after="0" w:line="184"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231F20"/>
        </w:rPr>
        <w:t>Our current research and development efforts may not produce successful products or enhancements to our platform that result in significant revenue, cost savings or other benefits in the near future, if at all.</w:t>
      </w:r>
    </w:p>
    <w:p>
      <w:pPr>
        <w:spacing w:after="0" w:line="175" w:lineRule="exact"/>
        <w:rPr>
          <w:sz w:val="20"/>
          <w:szCs w:val="20"/>
          <w:color w:val="auto"/>
        </w:rPr>
      </w:pPr>
    </w:p>
    <w:p>
      <w:pPr>
        <w:ind w:right="200" w:firstLine="405"/>
        <w:spacing w:after="0" w:line="253"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31F20"/>
        </w:rPr>
        <w:t>must</w:t>
      </w:r>
      <w:r>
        <w:rPr>
          <w:rFonts w:ascii="Arial" w:cs="Arial" w:eastAsia="Arial" w:hAnsi="Arial"/>
          <w:sz w:val="18"/>
          <w:szCs w:val="18"/>
          <w:color w:val="auto"/>
        </w:rPr>
        <w:t xml:space="preserve"> continue to dedicate significant financial and other resources to our research and development efforts if we are to maintain our competitive position. However, developing products and enhancements to our platform is expensive and time consuming, and there is no assurance that such activities will result in significant new marketable products or enhancements to our platform, design improvements, cost savings, revenue or other expected benefits. If we spend significant resources on research and development and are unable to generate an adequate return on our investment, our business and results of operations may be materially and adversely affected.</w:t>
      </w:r>
    </w:p>
    <w:p>
      <w:pPr>
        <w:spacing w:after="0" w:line="184"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231F20"/>
        </w:rPr>
        <w:t>Our platform, website and internal systems may be subject to intentional disruption or other security incidents that could result in liability and adversely impact our reputation and future sales.</w:t>
      </w:r>
    </w:p>
    <w:p>
      <w:pPr>
        <w:spacing w:after="0" w:line="17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We and our service providers could be a target of cyber-attacks or other malfeasance designed to impede the performance of our solutions, penetrate our network security or the security of our cloud platform or our internal systems, misappropriate proprietary information and/or cause interruptions to our services. Our solutions, platforms, and system may also suffer security incidents as a result of non-technical issues, including intentional or inadvertent breaches by our employees or service providers. Because our operations involve providing IT security solutions to our customers, we may be targeted for cyber-attacks and other security incidents. If an actual or perceived breach of our security measures or those of our service providers occurs, it could adversely affect the market perception of our solutions, negatively affecting our reputation, and may expose us to the loss of information, litigation, regulatory actions and possible liability. Any such actual or perceived security breach could also divert the efforts of our technical and management personnel. In addition, any such actual or perceived security breach could impair our ability to operate our business and provide solutions to our customers. If this happens, our reputation could be harmed, our revenues could decline and our business could suffer.</w:t>
      </w:r>
    </w:p>
    <w:p>
      <w:pPr>
        <w:spacing w:after="0" w:line="190"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231F20"/>
        </w:rPr>
        <w:t>Our business depends substantially on retaining our current customers, and any reduction in our customer renewals or revenues from such customers could harm our future operating results.</w:t>
      </w:r>
    </w:p>
    <w:p>
      <w:pPr>
        <w:spacing w:after="0" w:line="175"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231F20"/>
        </w:rPr>
        <w:t>We offer our Qualys Cloud Platform and integrated suite of solutions pursuant to a software-as-a-service model, and our customers purchase subscriptions from us that are generally one year in length. Our customers have no obligation to renew their subscriptions 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 or purchase additional solutions due to a number of factors, including their satisfaction or dissatisfaction with our solutions, the prices of our solutions, the</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41" w:right="25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231F20"/>
        </w:rPr>
        <w:t>prices of products or services offered by our competitors, reductions in our customers’ spending levels due to the macroeconomic environment or other factors. If our customers do not renew their subscriptions to our solutions, renew on less favorable terms, or do not purchase additional solutions or subscriptions, our revenues may grow more slowly than expected or decline and our results of operations may be harmed.</w:t>
      </w:r>
    </w:p>
    <w:p>
      <w:pPr>
        <w:spacing w:after="0" w:line="180"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31F20"/>
        </w:rPr>
        <w:t>If we are unable to continue to attract new customers and grow our customer base, our growth could be slower than we expect and our business may be harmed.</w:t>
      </w:r>
    </w:p>
    <w:p>
      <w:pPr>
        <w:spacing w:after="0" w:line="175"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We believe that our future growth depends in part upon increasing our customer base. Our ability to achieve significant growth in revenues in the future will depend, in large part, upon continually attracting new customers and obtaining subscription renewals to our solutions from those customers. If we fail to attract new customers our revenues may grow more slowly than expected and our business may be harmed.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sell subscriptions to additional solutions, our future revenue growth may be harmed and our business may suffer.</w:t>
      </w:r>
    </w:p>
    <w:p>
      <w:pPr>
        <w:spacing w:after="0" w:line="24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We will need to increase the revenues that we derive from our current and future solutions other than Qualys Vulnerability Management for our business and revenues to grow as we expect. Revenues from our other solutions, including our Web Application Scanning, Policy Compliance, PCI Compliance, Malware Detection Service, and Qualys SECURE Seal, have been relatively modest compared to revenues from our Qualys Vulnerability Management solutions. Our future success depends in part on our ability to sell subscriptions to these additional solutions to existing and new customers. This may require more costly sales and marketing efforts and may not result in additional sales. If our efforts to sell subscriptions to additional solutions to existing and new customers are not successful, our business may suffer.</w:t>
      </w:r>
    </w:p>
    <w:p>
      <w:pPr>
        <w:spacing w:after="0" w:line="187"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231F20"/>
        </w:rPr>
        <w:t>Our sales cycle can be long and unpredictable, and our sales efforts require considerable time and expense. As a result, revenues may vary from period to period, which may cause our operating results to fluctuate and could harm our business.</w:t>
      </w:r>
    </w:p>
    <w:p>
      <w:pPr>
        <w:spacing w:after="0" w:line="175"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The timing of sales of subscriptions for our solutions is difficult to forecast because of the length and unpredictability of our sales cycle, particularly with large enterprises. We sell subscriptions to our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 long and unpredictable. 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IT spending may adversely impact our business.</w:t>
      </w:r>
    </w:p>
    <w:p>
      <w:pPr>
        <w:spacing w:after="0" w:line="247" w:lineRule="exact"/>
        <w:rPr>
          <w:sz w:val="20"/>
          <w:szCs w:val="20"/>
          <w:color w:val="auto"/>
        </w:rPr>
      </w:pPr>
    </w:p>
    <w:p>
      <w:pPr>
        <w:ind w:right="80" w:firstLine="392"/>
        <w:spacing w:after="0" w:line="251" w:lineRule="auto"/>
        <w:rPr>
          <w:sz w:val="20"/>
          <w:szCs w:val="20"/>
          <w:color w:val="auto"/>
        </w:rPr>
      </w:pPr>
      <w:r>
        <w:rPr>
          <w:rFonts w:ascii="Arial" w:cs="Arial" w:eastAsia="Arial" w:hAnsi="Arial"/>
          <w:sz w:val="18"/>
          <w:szCs w:val="18"/>
          <w:color w:val="auto"/>
        </w:rPr>
        <w:t xml:space="preserve">Our business depends on the overall demand for IT and on the economic health of our current and prospective customers. </w:t>
      </w:r>
      <w:r>
        <w:rPr>
          <w:rFonts w:ascii="Arial" w:cs="Arial" w:eastAsia="Arial" w:hAnsi="Arial"/>
          <w:sz w:val="18"/>
          <w:szCs w:val="18"/>
          <w:color w:val="231F20"/>
        </w:rPr>
        <w:t>Economic</w:t>
      </w:r>
      <w:r>
        <w:rPr>
          <w:rFonts w:ascii="Arial" w:cs="Arial" w:eastAsia="Arial" w:hAnsi="Arial"/>
          <w:sz w:val="18"/>
          <w:szCs w:val="18"/>
          <w:color w:val="auto"/>
        </w:rPr>
        <w:t xml:space="preserve"> </w:t>
      </w:r>
      <w:r>
        <w:rPr>
          <w:rFonts w:ascii="Arial" w:cs="Arial" w:eastAsia="Arial" w:hAnsi="Arial"/>
          <w:sz w:val="18"/>
          <w:szCs w:val="18"/>
          <w:color w:val="231F20"/>
        </w:rPr>
        <w:t>weakness, customer financial difficulties, and constrained spending on IT security may result in decreased revenue and earnings. Such factors could make it difficult to accurately forecast our sales and operating results and could negatively affect our ability to provide accurate forecasts to our contract manufacturers. In addition, continued governmental budgetary challenges in the United States and Europe and geopolitical turmoil in many parts of the world have and may continue to put pressure on global economic conditions and overall spending on IT security. General economic weakness may also lead to longer collection cycles for payments due from our customers, an increase in customer bad debt, restructuring initiatives and associated expenses, and impairment of investments. Furthermore, the continued weakness and uncertainty in worldwide credit markets, including the sovereign debt situation in certain countries in the European Union, may adversely impact our customers' available budgetary spending, which could lead to delays in planned purchases of our solutions.</w:t>
      </w:r>
    </w:p>
    <w:p>
      <w:pPr>
        <w:spacing w:after="0" w:line="213" w:lineRule="exact"/>
        <w:rPr>
          <w:sz w:val="20"/>
          <w:szCs w:val="20"/>
          <w:color w:val="auto"/>
        </w:rPr>
      </w:pPr>
    </w:p>
    <w:p>
      <w:pPr>
        <w:ind w:right="580" w:firstLine="392"/>
        <w:spacing w:after="0" w:line="262" w:lineRule="auto"/>
        <w:rPr>
          <w:sz w:val="20"/>
          <w:szCs w:val="20"/>
          <w:color w:val="auto"/>
        </w:rPr>
      </w:pPr>
      <w:r>
        <w:rPr>
          <w:rFonts w:ascii="Arial" w:cs="Arial" w:eastAsia="Arial" w:hAnsi="Arial"/>
          <w:sz w:val="18"/>
          <w:szCs w:val="18"/>
          <w:color w:val="231F20"/>
        </w:rPr>
        <w:t>Uncertainty about future economic conditions also makes it difficult to forecast operating results and to make decisions about future investments. Future or continued economic weakness for us or our customers, failure of</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41"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spacing w:after="0" w:line="262" w:lineRule="auto"/>
        <w:rPr>
          <w:sz w:val="20"/>
          <w:szCs w:val="20"/>
          <w:color w:val="auto"/>
        </w:rPr>
      </w:pPr>
      <w:r>
        <w:rPr>
          <w:rFonts w:ascii="Arial" w:cs="Arial" w:eastAsia="Arial" w:hAnsi="Arial"/>
          <w:sz w:val="18"/>
          <w:szCs w:val="18"/>
          <w:color w:val="231F20"/>
        </w:rPr>
        <w:t>our customers and markets to recover from such weakness, customer financial difficulties, and reductions in spending on IT security could have a material adverse effect on demand for our platform and consequently on our business, financial condition and results of operations.</w:t>
      </w:r>
    </w:p>
    <w:p>
      <w:pPr>
        <w:spacing w:after="0" w:line="174"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b w:val="1"/>
          <w:bCs w:val="1"/>
          <w:i w:val="1"/>
          <w:iCs w:val="1"/>
          <w:color w:val="231F20"/>
        </w:rPr>
        <w:t>Our security and compliance solutions are primarily delivered from four data centers, and any disruption of service at these facilities would interrupt or delay our ability to deliver our solutions to our customers which could reduce our revenues and harm our operating results.</w:t>
      </w:r>
    </w:p>
    <w:p>
      <w:pPr>
        <w:spacing w:after="0" w:line="190" w:lineRule="exact"/>
        <w:rPr>
          <w:sz w:val="20"/>
          <w:szCs w:val="20"/>
          <w:color w:val="auto"/>
        </w:rPr>
      </w:pPr>
    </w:p>
    <w:p>
      <w:pPr>
        <w:ind w:right="380" w:firstLine="405"/>
        <w:spacing w:after="0" w:line="252" w:lineRule="auto"/>
        <w:rPr>
          <w:sz w:val="20"/>
          <w:szCs w:val="20"/>
          <w:color w:val="auto"/>
        </w:rPr>
      </w:pPr>
      <w:r>
        <w:rPr>
          <w:rFonts w:ascii="Arial" w:cs="Arial" w:eastAsia="Arial" w:hAnsi="Arial"/>
          <w:sz w:val="18"/>
          <w:szCs w:val="18"/>
          <w:color w:val="231F20"/>
        </w:rPr>
        <w:t>We currently host substantially all of our solutions from third-party data centers located in the United States, Switzerland and the Netherlands. These facilities are vulnerable to damage or interruption from earthquakes, hurricanes, floods, fires, cybersecurity attacks, terrorist attacks, employee negligence, power losses, telecommunications failures and similar events. The facilities also could be subject to break-ins, sabotage, intentional acts of vandalism and other misconduct. The occurrence of a natural disaster, an act of terrorism or misconduct, a decision to close the facilities without adequate notice or other unanticipated problems could result in interruptions in our services.</w:t>
      </w:r>
    </w:p>
    <w:p>
      <w:pPr>
        <w:spacing w:after="0" w:line="209" w:lineRule="exact"/>
        <w:rPr>
          <w:sz w:val="20"/>
          <w:szCs w:val="20"/>
          <w:color w:val="auto"/>
        </w:rPr>
      </w:pPr>
    </w:p>
    <w:p>
      <w:pPr>
        <w:jc w:val="both"/>
        <w:ind w:right="40" w:firstLine="405"/>
        <w:spacing w:after="0" w:line="254" w:lineRule="auto"/>
        <w:rPr>
          <w:sz w:val="20"/>
          <w:szCs w:val="20"/>
          <w:color w:val="auto"/>
        </w:rPr>
      </w:pPr>
      <w:r>
        <w:rPr>
          <w:rFonts w:ascii="Arial" w:cs="Arial" w:eastAsia="Arial" w:hAnsi="Arial"/>
          <w:sz w:val="18"/>
          <w:szCs w:val="18"/>
          <w:color w:val="231F20"/>
        </w:rPr>
        <w:t>Our data centers are not currently redundant and we cannot rapidly move customers from one data center to another, which may increase delays in the restoration of our service for our customers if an adverse event occurs. We have added data center facilities to provide additional capacity for our cloud platform and to enable disaster recovery. We continue to build out these facilities; however, these additional facilities may not be operational in the anticipated time-frame and we may incur unplanned expenses.</w:t>
      </w:r>
    </w:p>
    <w:p>
      <w:pPr>
        <w:spacing w:after="0" w:line="204"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Additionally, our existing data center facilities providers have no obligations to renew their agreements with us on commercially reasonable terms, or at all. If we are unable to renew our agreements with the facilities providers on commercially reasonable terms or if in the future we add additional data center facility providers, we may experience costs or downtime in connection with the loss of an existing facility or the transfer to, or addition of, new data center facilities.</w:t>
      </w:r>
    </w:p>
    <w:p>
      <w:pPr>
        <w:spacing w:after="0" w:line="204" w:lineRule="exact"/>
        <w:rPr>
          <w:sz w:val="20"/>
          <w:szCs w:val="20"/>
          <w:color w:val="auto"/>
        </w:rPr>
      </w:pPr>
    </w:p>
    <w:p>
      <w:pPr>
        <w:ind w:right="240" w:firstLine="405"/>
        <w:spacing w:after="0" w:line="256" w:lineRule="auto"/>
        <w:rPr>
          <w:sz w:val="20"/>
          <w:szCs w:val="20"/>
          <w:color w:val="auto"/>
        </w:rPr>
      </w:pPr>
      <w:r>
        <w:rPr>
          <w:rFonts w:ascii="Arial" w:cs="Arial" w:eastAsia="Arial" w:hAnsi="Arial"/>
          <w:sz w:val="18"/>
          <w:szCs w:val="18"/>
          <w:color w:val="231F20"/>
        </w:rPr>
        <w:t>Any disruptions or other performance problems with our solutions could harm our reputation and business and may damage our customers’ businesses. Interruptions in our service delivery might reduce our revenues, cause us to issue credits to customers, subject us to potential liability and cause customers to terminate their subscriptions or not renew their subscriptions.</w:t>
      </w:r>
    </w:p>
    <w:p>
      <w:pPr>
        <w:spacing w:after="0" w:line="180"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231F20"/>
        </w:rPr>
        <w:t>If we are unable to increase market awareness of our company and our new solutions, our revenues may not continue to grow, or may decline.</w:t>
      </w:r>
    </w:p>
    <w:p>
      <w:pPr>
        <w:spacing w:after="0" w:line="175" w:lineRule="exact"/>
        <w:rPr>
          <w:sz w:val="20"/>
          <w:szCs w:val="20"/>
          <w:color w:val="auto"/>
        </w:rPr>
      </w:pPr>
    </w:p>
    <w:p>
      <w:pPr>
        <w:ind w:right="400" w:firstLine="405"/>
        <w:spacing w:after="0" w:line="253" w:lineRule="auto"/>
        <w:rPr>
          <w:sz w:val="20"/>
          <w:szCs w:val="20"/>
          <w:color w:val="auto"/>
        </w:rPr>
      </w:pPr>
      <w:r>
        <w:rPr>
          <w:rFonts w:ascii="Arial" w:cs="Arial" w:eastAsia="Arial" w:hAnsi="Arial"/>
          <w:sz w:val="18"/>
          <w:szCs w:val="18"/>
          <w:color w:val="231F20"/>
        </w:rPr>
        <w:t>We have a limited operating history, particularly in certain markets and solution offerings, and we believe that we need to continue to develop market awareness in the IT security and compliance market. Market awareness of our capabilities and solutions is essential to our continued growth and success in all of our markets, particularly for the large enterprise, service provider and government markets. If our marketing programs are not successful in creating market awareness of our company and our full suite of solutions, our business, financial condition and results of operations may be adversely affected, and we may not be able to achieve our expected growth.</w:t>
      </w:r>
    </w:p>
    <w:p>
      <w:pPr>
        <w:spacing w:after="0" w:line="18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231F20"/>
        </w:rPr>
        <w:t>We face competition in our markets, and we may lack sufficient financial or other resources to maintain or improve our competitive position.</w:t>
      </w:r>
    </w:p>
    <w:p>
      <w:pPr>
        <w:spacing w:after="0" w:line="175" w:lineRule="exact"/>
        <w:rPr>
          <w:sz w:val="20"/>
          <w:szCs w:val="20"/>
          <w:color w:val="auto"/>
        </w:rPr>
      </w:pPr>
    </w:p>
    <w:p>
      <w:pPr>
        <w:ind w:right="300" w:firstLine="405"/>
        <w:spacing w:after="0" w:line="254" w:lineRule="auto"/>
        <w:rPr>
          <w:sz w:val="20"/>
          <w:szCs w:val="20"/>
          <w:color w:val="auto"/>
        </w:rPr>
      </w:pPr>
      <w:r>
        <w:rPr>
          <w:rFonts w:ascii="Arial" w:cs="Arial" w:eastAsia="Arial" w:hAnsi="Arial"/>
          <w:sz w:val="18"/>
          <w:szCs w:val="18"/>
          <w:color w:val="231F20"/>
        </w:rPr>
        <w:t>We compete with a large range of established and emerging vulnerability management vendors, compliance vendors and data security vendors in a highly fragmented and competitive environment. We face significant competition for each of our solutions from companies with broad product suites and greater name recognition and resources than we have, as well as from small companies focused on specialized security solutions.</w:t>
      </w:r>
    </w:p>
    <w:p>
      <w:pPr>
        <w:spacing w:after="0" w:line="204" w:lineRule="exact"/>
        <w:rPr>
          <w:sz w:val="20"/>
          <w:szCs w:val="20"/>
          <w:color w:val="auto"/>
        </w:rPr>
      </w:pPr>
    </w:p>
    <w:p>
      <w:pPr>
        <w:ind w:right="300" w:firstLine="405"/>
        <w:spacing w:after="0" w:line="253" w:lineRule="auto"/>
        <w:rPr>
          <w:sz w:val="20"/>
          <w:szCs w:val="20"/>
          <w:color w:val="auto"/>
        </w:rPr>
      </w:pPr>
      <w:r>
        <w:rPr>
          <w:rFonts w:ascii="Arial" w:cs="Arial" w:eastAsia="Arial" w:hAnsi="Arial"/>
          <w:sz w:val="18"/>
          <w:szCs w:val="18"/>
          <w:color w:val="231F20"/>
        </w:rPr>
        <w:t>We compete with large and small public companies, such as Barracuda Networks, Inc., Hewlett-Packard Company, Imperva, Inc., International Business Machines Corporation, Symantec Corporation, and Rapid7, Inc., as well as privately held security providers including BeyondTrust Software, Inc., Tripwire, Inc., NetIQ Corporation, Tenable Network Security, Inc. and Trustwave Holdings, Inc. We also seek to replace IT security and compliance solutions that organizations have developed internally. As we continue to extend our cloud platform’s functionality by further developing security and compliance solutions, such as web application scanning and</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41"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231F20"/>
        </w:rPr>
        <w:t>firewalls, we expect to face additional competition in these new markets. Our competitors may also attempt to further expand their presence in the IT security and compliance market and compete more directly against one or more of our solutions.</w:t>
      </w:r>
    </w:p>
    <w:p>
      <w:pPr>
        <w:spacing w:after="0" w:line="196" w:lineRule="exact"/>
        <w:rPr>
          <w:sz w:val="20"/>
          <w:szCs w:val="20"/>
          <w:color w:val="auto"/>
        </w:rPr>
      </w:pPr>
    </w:p>
    <w:p>
      <w:pPr>
        <w:jc w:val="both"/>
        <w:ind w:right="560" w:firstLine="405"/>
        <w:spacing w:after="0" w:line="256" w:lineRule="auto"/>
        <w:rPr>
          <w:sz w:val="20"/>
          <w:szCs w:val="20"/>
          <w:color w:val="auto"/>
        </w:rPr>
      </w:pPr>
      <w:r>
        <w:rPr>
          <w:rFonts w:ascii="Arial" w:cs="Arial" w:eastAsia="Arial" w:hAnsi="Arial"/>
          <w:sz w:val="18"/>
          <w:szCs w:val="18"/>
          <w:color w:val="231F20"/>
        </w:rPr>
        <w:t>We believe that the principal competitive factors affecting our markets include product functionality, breadth of offerings, flexibility of delivery models, ease of deployment and use, total cost of ownership, scalability and performance, customer support and extensibility of platform. Many of our existing and potential competitors have competitive advantages, including:</w:t>
      </w:r>
    </w:p>
    <w:p>
      <w:pPr>
        <w:spacing w:after="0" w:line="94" w:lineRule="exact"/>
        <w:rPr>
          <w:sz w:val="20"/>
          <w:szCs w:val="20"/>
          <w:color w:val="auto"/>
        </w:rPr>
      </w:pPr>
    </w:p>
    <w:p>
      <w:pPr>
        <w:ind w:left="860" w:hanging="528"/>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brand name recognition;</w:t>
      </w:r>
    </w:p>
    <w:p>
      <w:pPr>
        <w:spacing w:after="0" w:line="117" w:lineRule="exact"/>
        <w:rPr>
          <w:rFonts w:ascii="Arial" w:cs="Arial" w:eastAsia="Arial" w:hAnsi="Arial"/>
          <w:sz w:val="18"/>
          <w:szCs w:val="18"/>
          <w:color w:val="auto"/>
        </w:rPr>
      </w:pPr>
    </w:p>
    <w:p>
      <w:pPr>
        <w:ind w:left="860" w:hanging="528"/>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117" w:lineRule="exact"/>
        <w:rPr>
          <w:rFonts w:ascii="Arial" w:cs="Arial" w:eastAsia="Arial" w:hAnsi="Arial"/>
          <w:sz w:val="18"/>
          <w:szCs w:val="18"/>
          <w:color w:val="auto"/>
        </w:rPr>
      </w:pPr>
    </w:p>
    <w:p>
      <w:pPr>
        <w:ind w:left="860" w:hanging="528"/>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broader distribution networks and more established relationships with distributors and customers;</w:t>
      </w:r>
    </w:p>
    <w:p>
      <w:pPr>
        <w:spacing w:after="0" w:line="117" w:lineRule="exact"/>
        <w:rPr>
          <w:rFonts w:ascii="Arial" w:cs="Arial" w:eastAsia="Arial" w:hAnsi="Arial"/>
          <w:sz w:val="18"/>
          <w:szCs w:val="18"/>
          <w:color w:val="auto"/>
        </w:rPr>
      </w:pPr>
    </w:p>
    <w:p>
      <w:pPr>
        <w:ind w:left="860" w:hanging="528"/>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117" w:lineRule="exact"/>
        <w:rPr>
          <w:rFonts w:ascii="Arial" w:cs="Arial" w:eastAsia="Arial" w:hAnsi="Arial"/>
          <w:sz w:val="18"/>
          <w:szCs w:val="18"/>
          <w:color w:val="auto"/>
        </w:rPr>
      </w:pPr>
    </w:p>
    <w:p>
      <w:pPr>
        <w:ind w:left="860" w:hanging="528"/>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117" w:lineRule="exact"/>
        <w:rPr>
          <w:rFonts w:ascii="Arial" w:cs="Arial" w:eastAsia="Arial" w:hAnsi="Arial"/>
          <w:sz w:val="18"/>
          <w:szCs w:val="18"/>
          <w:color w:val="auto"/>
        </w:rPr>
      </w:pPr>
    </w:p>
    <w:p>
      <w:pPr>
        <w:ind w:left="860" w:hanging="528"/>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117" w:lineRule="exact"/>
        <w:rPr>
          <w:rFonts w:ascii="Arial" w:cs="Arial" w:eastAsia="Arial" w:hAnsi="Arial"/>
          <w:sz w:val="18"/>
          <w:szCs w:val="18"/>
          <w:color w:val="auto"/>
        </w:rPr>
      </w:pPr>
    </w:p>
    <w:p>
      <w:pPr>
        <w:ind w:left="860" w:hanging="528"/>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resources to develop and introduce products that compete with our solutions;</w:t>
      </w:r>
    </w:p>
    <w:p>
      <w:pPr>
        <w:spacing w:after="0" w:line="117" w:lineRule="exact"/>
        <w:rPr>
          <w:rFonts w:ascii="Arial" w:cs="Arial" w:eastAsia="Arial" w:hAnsi="Arial"/>
          <w:sz w:val="18"/>
          <w:szCs w:val="18"/>
          <w:color w:val="auto"/>
        </w:rPr>
      </w:pPr>
    </w:p>
    <w:p>
      <w:pPr>
        <w:ind w:left="860" w:hanging="528"/>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resources to meet relevant regulatory requirements; and</w:t>
      </w:r>
    </w:p>
    <w:p>
      <w:pPr>
        <w:spacing w:after="0" w:line="117" w:lineRule="exact"/>
        <w:rPr>
          <w:rFonts w:ascii="Arial" w:cs="Arial" w:eastAsia="Arial" w:hAnsi="Arial"/>
          <w:sz w:val="18"/>
          <w:szCs w:val="18"/>
          <w:color w:val="auto"/>
        </w:rPr>
      </w:pPr>
    </w:p>
    <w:p>
      <w:pPr>
        <w:ind w:left="860" w:hanging="528"/>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ind w:right="420" w:firstLine="405"/>
        <w:spacing w:after="0" w:line="256" w:lineRule="auto"/>
        <w:rPr>
          <w:sz w:val="20"/>
          <w:szCs w:val="20"/>
          <w:color w:val="auto"/>
        </w:rPr>
      </w:pPr>
      <w:r>
        <w:rPr>
          <w:rFonts w:ascii="Arial" w:cs="Arial" w:eastAsia="Arial" w:hAnsi="Arial"/>
          <w:sz w:val="18"/>
          <w:szCs w:val="18"/>
          <w:color w:val="231F20"/>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spacing w:after="0" w:line="202"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solutions and cause the average sales price for our solutions to decline. These larger competitors are also often in a better position to withstand any significant reduction in capital spending, and will therefore not be as susceptible to economic downturns.</w:t>
      </w:r>
    </w:p>
    <w:p>
      <w:pPr>
        <w:spacing w:after="0" w:line="20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8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231F20"/>
        </w:rPr>
        <w:t>If our solutions fail to help our customers achieve and maintain compliance with regulations and industry standards, our revenues and operating results could be harmed.</w:t>
      </w:r>
    </w:p>
    <w:p>
      <w:pPr>
        <w:spacing w:after="0" w:line="175"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We generate a portion of our revenues from solutions that help organizations achieve and maintain compliance with regulations and industry standards. For example, many of our customers subscribe to our security and compliance solutions to help them comply with the security standards developed and maintained by the Payment Card Industry Security Standards Council, or the PCI Council, which apply to companies that store cardholder data. Industry organizations like the PCI Council may significantly change their security standards with little or no notice, including changes that could make their standards more or less onerous for businesses. Governments may also adopt new laws or regulations, or make changes to existing laws or regulations, that could impact the demand for or value of our solutions.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41" w:right="25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 compliance as less critical to their businesses, and our customers may be less willing to purchase our solutions. In any of these cases, our revenues and operating results could be harmed.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maintain profitability in the future.</w:t>
      </w:r>
    </w:p>
    <w:p>
      <w:pPr>
        <w:spacing w:after="0" w:line="247" w:lineRule="exact"/>
        <w:rPr>
          <w:sz w:val="20"/>
          <w:szCs w:val="20"/>
          <w:color w:val="auto"/>
        </w:rPr>
      </w:pPr>
    </w:p>
    <w:p>
      <w:pPr>
        <w:ind w:right="140" w:firstLine="405"/>
        <w:spacing w:after="0" w:line="252" w:lineRule="auto"/>
        <w:rPr>
          <w:sz w:val="20"/>
          <w:szCs w:val="20"/>
          <w:color w:val="auto"/>
        </w:rPr>
      </w:pPr>
      <w:r>
        <w:rPr>
          <w:rFonts w:ascii="Arial" w:cs="Arial" w:eastAsia="Arial" w:hAnsi="Arial"/>
          <w:sz w:val="18"/>
          <w:szCs w:val="18"/>
          <w:color w:val="231F20"/>
        </w:rPr>
        <w:t>We may not be able to sustain or increase our growth or maintain profitability in the future. We plan to continue to invest in our infrastructure, new solutions, research and development and sales and marketing, and as a result, we cannot assure you that we will maintain profitability. We may incur losses in the future for a number of reasons, including without limitation, the other risks and uncertainties described in this Quarterly Report on Form 10-Q.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spacing w:after="0" w:line="187"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The sales prices of our solutions are subject to competitive pressures and may decrease, which may reduce our gross profits and adversely impact our financial results.</w:t>
      </w:r>
    </w:p>
    <w:p>
      <w:pPr>
        <w:spacing w:after="0" w:line="17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The sales prices for our solutions may decline for a variety of reasons, including competitive pricing pressures, discounts, a change in our mix of solutions and subscriptions, anticipation of the introduction of new solutions or subscriptions, or promotional programs. Competition continues to increase in the market segments in which we participate, and we expect competition to further increase in the future, thereby leading to increased pricing pressures. Larger competitors with more diverse product and service offerings may reduce the price of products or subscriptions that compete with ours or may bundle them with other products and subscriptions. Additionally, although we price our products and subscriptions worldwide in U.S. dollars, Euros, British Pound and Japanese Yen, currency fluctuations in certain countries and regions may negatively impact actual prices that partners and customers are willing to pay in those countries and regions, or the effective prices we realize in our reporting currency. We cannot assure you that we will be successful in developing and introducing new offerings with enhanced functionality on a timely basis, or that our new product and subscription offerings, if introduced, will enable us to maintain our prices and gross profits at levels that will allow us to maintain positive gross margins and achieve profitability.</w:t>
      </w:r>
    </w:p>
    <w:p>
      <w:pPr>
        <w:spacing w:after="0" w:line="190"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231F20"/>
        </w:rPr>
        <w:t>If our solutions fail to detect vulnerabilities or incorrectly detect vulnerabilities, our brand and reputation could be harmed, which could have an adverse effect on our business and results of operations.</w:t>
      </w:r>
    </w:p>
    <w:p>
      <w:pPr>
        <w:spacing w:after="0" w:line="17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security and compliance solutions may falsely detect vulnerabilities or threats that do not actually exist. For example, some of our solutions rely on information on attack sources aggregated from third-party data providers who monitor global malicious activity 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 perceived reliability or usability of our solutions and may therefore adversely impact market acceptance of our solutions and could result in negative publicity, loss of customers and sales, increased costs to remedy any incorrect information or problem, or claims by aggrieved parties. Similar issues may be generated by the misuse of our tools to identify and exploit vulnerabilities.</w:t>
      </w:r>
    </w:p>
    <w:p>
      <w:pPr>
        <w:spacing w:after="0" w:line="213" w:lineRule="exact"/>
        <w:rPr>
          <w:sz w:val="20"/>
          <w:szCs w:val="20"/>
          <w:color w:val="auto"/>
        </w:rPr>
      </w:pPr>
    </w:p>
    <w:p>
      <w:pPr>
        <w:ind w:right="400" w:firstLine="405"/>
        <w:spacing w:after="0" w:line="256" w:lineRule="auto"/>
        <w:rPr>
          <w:sz w:val="20"/>
          <w:szCs w:val="20"/>
          <w:color w:val="auto"/>
        </w:rPr>
      </w:pPr>
      <w:r>
        <w:rPr>
          <w:rFonts w:ascii="Arial" w:cs="Arial" w:eastAsia="Arial" w:hAnsi="Arial"/>
          <w:sz w:val="18"/>
          <w:szCs w:val="18"/>
          <w:color w:val="231F20"/>
        </w:rPr>
        <w:t>In addition, our solutions do not currently extend to cover mobile devices or personal devices that employees may bring into an organization. As such, our solutions would not identify or address vulnerabilities in mobile devices, such as mobile phones or tablets, or personal devices, and our customers’ IT infrastructures may be compromised by attacks that infiltrate their networks through such devices.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41"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right="840" w:firstLine="405"/>
        <w:spacing w:after="0" w:line="262" w:lineRule="auto"/>
        <w:rPr>
          <w:sz w:val="20"/>
          <w:szCs w:val="20"/>
          <w:color w:val="auto"/>
        </w:rPr>
      </w:pPr>
      <w:r>
        <w:rPr>
          <w:rFonts w:ascii="Arial" w:cs="Arial" w:eastAsia="Arial" w:hAnsi="Arial"/>
          <w:sz w:val="18"/>
          <w:szCs w:val="18"/>
          <w:color w:val="231F20"/>
        </w:rPr>
        <w:t>An actual or perceived security breach or theft of the sensitive data of one of our customers, regardless of whether the breach is attributable to the failure of our solutions, could adversely affect the market’s perception of our security solutions.</w:t>
      </w:r>
    </w:p>
    <w:p>
      <w:pPr>
        <w:spacing w:after="0" w:line="174"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231F20"/>
        </w:rPr>
        <w:t>Incorrect or improper implementation or use of our solutions could result in customer dissatisfaction and harm our business and reputation.</w:t>
      </w:r>
    </w:p>
    <w:p>
      <w:pPr>
        <w:spacing w:after="0" w:line="175"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231F20"/>
        </w:rPr>
        <w:t>Our solutions are deployed in a wide variety of IT environments, including large-scale, complex infrastructures. If our customers are unable to implement our solutions successfully, customer perceptions of our platform may be impaired or our reputation and brand may suffer. Our customers have in the past inadvertently misused our solutions, which triggered downtime in their internal infrastructure until the problem was resolved. Any misuse of our solutions could result in customer dissatisfaction, impact the perceived reliability of our solutions, result in negative press coverage, negatively affect our reputation and harm our financial results.</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Undetected software errors or flaws in our cloud platform could harm our reputation or decrease market acceptance of our solutions, which would harm our operating results.</w:t>
      </w:r>
    </w:p>
    <w:p>
      <w:pPr>
        <w:spacing w:after="0" w:line="17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 after commercial release of these solutions. Since our customers use our solutions for security and compliance reasons, any errors, defects, disruptions in service or other performance problems with our solutions may damage our customers’ business and could hurt our reputation. If that occurs, we may incur significant costs, the attention of our key personnel could be diverted, our customers may delay or withhold payment to us or elect not to renew, or other significant customer relations problems may arise. We may also be subject to liability claims for damages related to errors or defects in our solutions. A material liability claim or other occurrence that harms our reputation or decreases market acceptance of our solutions may harm our business and operating results.</w:t>
      </w:r>
    </w:p>
    <w:p>
      <w:pPr>
        <w:spacing w:after="0" w:line="184"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231F20"/>
        </w:rPr>
        <w:t>Our solutions could be used to collect and store personal information of our customers’ employees or customers, and therefore privacy and other data handling concerns could result in additional cost and liability to us or inhibit sales of our solutions.</w:t>
      </w:r>
    </w:p>
    <w:p>
      <w:pPr>
        <w:spacing w:after="0" w:line="17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We collect the names and email addresses of our customers in connection with subscriptions to our solutions. Additionally, the data that our solutions collect to help secure and protect the IT infrastructure of our customers may include additional personal or confidential information of our customers’ employees and their customers. Personal privacy has become a significant issue in the United States and in many other countries where we offer our solutions. The regulatory framework for privacy issues worldwide is currently evolving and is likely to remain uncertain for the foreseeable future. Many federal, state and foreign government bodies and agencies have adopted or are considering adopting laws and regulations regarding the collection, use, disclosure and retention of personal information. In the United States, these include, for example, rules and regulations promulgated under the authority of the Federal Trade Commission, the Health Insurance Portability and Accountability Act of 1996, or HIPAA, the Gramm-Leach-Bliley Act, or GLB, and state breach notification laws. Internationally, virtually every jurisdiction in which we operate has established its own data security and privacy legal framework with which we or our customers must comply, including the Data Protection Directive established in the European Union and the Federal Data Protection Act passed in Germany.</w:t>
      </w:r>
    </w:p>
    <w:p>
      <w:pPr>
        <w:spacing w:after="0" w:line="212" w:lineRule="exact"/>
        <w:rPr>
          <w:sz w:val="20"/>
          <w:szCs w:val="20"/>
          <w:color w:val="auto"/>
        </w:rPr>
      </w:pPr>
    </w:p>
    <w:p>
      <w:pPr>
        <w:ind w:right="180" w:firstLine="405"/>
        <w:spacing w:after="0" w:line="252" w:lineRule="auto"/>
        <w:rPr>
          <w:sz w:val="20"/>
          <w:szCs w:val="20"/>
          <w:color w:val="auto"/>
        </w:rPr>
      </w:pPr>
      <w:r>
        <w:rPr>
          <w:rFonts w:ascii="Arial" w:cs="Arial" w:eastAsia="Arial" w:hAnsi="Arial"/>
          <w:sz w:val="18"/>
          <w:szCs w:val="18"/>
          <w:color w:val="231F20"/>
        </w:rPr>
        <w:t>In addition to laws and regulations, privacy advocacy and industry groups or other private parties may propose new and different privacy standards that either legally or contractually apply to us. Because the interpretation and application of privacy and data protection laws, regulations, standards and contractual obligations are uncertain, it is possible that they may be interpreted and applied in a manner that is, or perceived to be, inconsistent with our data management practices or the features of our solutions. If so, in addition to the possibility of regulatory investigations and enforcement actions, fines, lawsuits and other claims, other forms of injunctive or operations-limiting relief, and damage to our reputations and loss of goodwill, we could be required to fundamentally change our business activities and practices or modify our solutions and may face limitations in our ability to develop new solutions and features, any of which could have an adverse effect on our business. Any</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41"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231F20"/>
        </w:rPr>
        <w:t>inability to adequately address privacy concerns, even if unfounded, or any actual or perceived inability to comply with applicable privacy or data protection laws, regulations and privacy standards, could result in cost and liability to us, damage our reputation, inhibit sales of subscriptions and harm our business.</w:t>
      </w:r>
    </w:p>
    <w:p>
      <w:pPr>
        <w:spacing w:after="0" w:line="202"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Furthermore, the costs of compliance with, and other burdens imposed by, the laws, regulations, and privacy standards that are applicable to the businesses of our customers may limit the use and adoption of, and reduce the overall demand for, our solutions. Privacy concerns, whether valid or not valid, may inhibit market adoption of our solutions particularly in certain industries and foreign countries.</w:t>
      </w:r>
    </w:p>
    <w:p>
      <w:pPr>
        <w:spacing w:after="0" w:line="180"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231F20"/>
        </w:rPr>
        <w:t>If we are unable to continue the expansion of our sales force, sales of our solutions and the growth of our business would be harmed.</w:t>
      </w:r>
    </w:p>
    <w:p>
      <w:pPr>
        <w:spacing w:after="0" w:line="17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We believe that our growth will depend, to a significant extent, on our success in recruiting and retaining a sufficient number of qualified sales personnel and their ability to obtain new customers, manage our existing customer base and expand the sales of our newer solutions. We plan to continue to expand our sales force and make significant investment in our sales and marketing activities. Our recent hires and planned hires may not become as productive as quickly as we would like, and we may be unable to hire or retain sufficient numbers of qualified individuals in the future in the competitive markets where we do business. Competition for highly skilled personnel is frequently intense, especially in the San Francisco Bay Area, one of the locations in which we have a substantial presence and need for highly skilled personnel and we may not be able to compete for these employees. If we are unable to recruit and retain a sufficient number of productive sales personnel, sales of our solutions and the growth of our business may be harmed. Additionally, if our efforts do not result in increased revenues, our operating results could be negatively impacted due to the upfront operating expenses associated with expanding our sales force.</w:t>
      </w:r>
    </w:p>
    <w:p>
      <w:pPr>
        <w:spacing w:after="0" w:line="191"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b w:val="1"/>
          <w:bCs w:val="1"/>
          <w:i w:val="1"/>
          <w:iCs w:val="1"/>
          <w:color w:val="231F20"/>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90"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231F20"/>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 outside the United States, particularly in Europe and Asia. Therefore, we are subject to risks associated with having international sales and worldwide operations, including:</w:t>
      </w:r>
    </w:p>
    <w:p>
      <w:pPr>
        <w:spacing w:after="0" w:line="9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foreign currency exchange fluctuations;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trade and foreign exchange restrictions;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 laws (including U.S. taxes on foreign subsidiaries);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117" w:lineRule="exact"/>
        <w:rPr>
          <w:rFonts w:ascii="Arial" w:cs="Arial" w:eastAsia="Arial" w:hAnsi="Arial"/>
          <w:sz w:val="18"/>
          <w:szCs w:val="18"/>
          <w:color w:val="auto"/>
        </w:rPr>
      </w:pPr>
    </w:p>
    <w:p>
      <w:pPr>
        <w:jc w:val="both"/>
        <w:ind w:left="660" w:right="20" w:hanging="328"/>
        <w:spacing w:after="0" w:line="25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economic sanctions and other regulatory or contractual limitations on our ability to sell our solutions in certain foreign markets, and the risks and costs of non-compliance;</w:t>
      </w:r>
    </w:p>
    <w:p>
      <w:pPr>
        <w:spacing w:after="0" w:line="93"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41" w:right="25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for political unrest, acts of terrorism, hostilities or war;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2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spacing w:after="0" w:line="213"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In addition, approximately 49% of our employees are located outside of the United States, with a significant number of these employees located in Pune, India. Accordingly, we are exposed to changes in laws governing our employee relationships in various U.S. and foreign jurisdictions, including laws and regulations regarding wage and hour requirements, fair labor standards, employee data privacy, unemployment tax rates, workers’ compensation rates, citizenship requirements and payroll and other taxes which may have a direct impact on our operating costs. We may continue to expand our international operations and international sales and marketing activities. Expansion in international markets has required, and will continue to require, significant management attention and resources. We may be unable to scale our infrastructure effectively or as quickly as our competitors in these markets and our revenues may not increase to offset any increased costs and operating expenses, which would cause our results to suffer.</w:t>
      </w:r>
    </w:p>
    <w:p>
      <w:pPr>
        <w:spacing w:after="0" w:line="18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231F20"/>
        </w:rPr>
        <w:t>Disruptive technologies could gain wide adoption and supplant our cloud security and compliance solutions, thereby weakening our sales and harming our results of operations.</w:t>
      </w:r>
    </w:p>
    <w:p>
      <w:pPr>
        <w:spacing w:after="0" w:line="175"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231F20"/>
        </w:rPr>
        <w:t>The introduction of products and services embodying new technologies could render our existing solutions obsolete or less attractive to customers. Our business could be harmed if new security and compliance technologies are widely adopted. We may not be able to successfully anticipate or adapt to changing technology or customer requirements on a timely basis, or at all. If we fail to keep up with technological changes or to convince our customers and potential customers of the value of our solutions even in light of new technologies, our business could be harmed and our revenues may decline.</w:t>
      </w:r>
    </w:p>
    <w:p>
      <w:pPr>
        <w:spacing w:after="0" w:line="18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231F20"/>
        </w:rPr>
        <w:t>Our business and operations have experienced significant growth, and if we do not appropriately manage any future growth, or are unable to improve our systems and processes, our operating results may be negatively affected.</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 xml:space="preserve">We have experienced significant growth over the last several years. From 2013 to 2015, our revenues have grown from </w:t>
      </w:r>
      <w:r>
        <w:rPr>
          <w:rFonts w:ascii="Arial" w:cs="Arial" w:eastAsia="Arial" w:hAnsi="Arial"/>
          <w:sz w:val="18"/>
          <w:szCs w:val="18"/>
          <w:color w:val="000000"/>
        </w:rPr>
        <w:t>$108 million</w:t>
      </w:r>
      <w:r>
        <w:rPr>
          <w:rFonts w:ascii="Arial" w:cs="Arial" w:eastAsia="Arial" w:hAnsi="Arial"/>
          <w:sz w:val="18"/>
          <w:szCs w:val="18"/>
          <w:color w:val="231F20"/>
        </w:rPr>
        <w:t xml:space="preserve">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$164 million</w:t>
      </w:r>
      <w:r>
        <w:rPr>
          <w:rFonts w:ascii="Arial" w:cs="Arial" w:eastAsia="Arial" w:hAnsi="Arial"/>
          <w:sz w:val="18"/>
          <w:szCs w:val="18"/>
          <w:color w:val="231F20"/>
        </w:rPr>
        <w:t>, and our headcount increased from 359 employees at the beginning of 2013 to 661 employees at September 30, 2016. We rely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information technology systems to help manage critical functions such as order processing, revenue recognition and financial forecasts.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manage any future growth effectively we must continue to improve and expand our IT systems, financial infrastructure, and operating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administrative systems and controls, and continue to manage headcount, capital and processes in an efficient manner. We may not be able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successfully implement improvements to these systems and processes in a timely or efficient manner.</w:t>
      </w:r>
    </w:p>
    <w:p>
      <w:pPr>
        <w:spacing w:after="0" w:line="225"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231F20"/>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 our solutions may also be adversely affected if we do not integrate and train our new employees quickly and</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41"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231F20"/>
        </w:rPr>
        <w:t>effectively. Any future growth would add complexity to our organization and require effective coordination across our organization. Failure to manage any future growth effectively could result in increased costs, harm our results of operations and lead to investors losing confidence in our internal systems and processes.</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Forecasts of market growth may prove to be inaccurate, and even if the markets in which we compete achieve the forecasted growth, there can be no assurance that our business will grow at similar rates, or at all.</w:t>
      </w:r>
    </w:p>
    <w:p>
      <w:pPr>
        <w:spacing w:after="0" w:line="175"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231F20"/>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forecasts of market growth should not be taken as indicative of our future growth.</w:t>
      </w:r>
    </w:p>
    <w:p>
      <w:pPr>
        <w:spacing w:after="0" w:line="18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231F20"/>
        </w:rPr>
        <w:t>We rely on third-party channel partners to generate a substantial amount of our revenues, and if we fail to expand and manage our distribution channels, our revenues could decline and our growth prospects could suffer.</w:t>
      </w:r>
    </w:p>
    <w:p>
      <w:pPr>
        <w:spacing w:after="0" w:line="17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Our success significantly depends upon establishing and maintaining relationships with a variety of channel partners and we anticipate that we will continue to depend on these partners in order to grow our business. For the nine months ended September 30, 2016, we derived approximately 42% of our revenues from sales of subscriptions for our solutions through channel partners, and the percentage of revenues derived from channel partners may increase in future periods. Our agreements with our channel partners are generally non-exclusive and do not 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 sell our solutions, or fail to meet the 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 depends in part on our ability to educate our channel partners about our solutions, which can be complex. Our failure to recruit additional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spacing w:after="0" w:line="211"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In addition, the financial health of our channel partners and our continuing relationships with them are important to our success. Some of these channel partners may be unable to withstand adverse changes in economic conditions, which could result in insolvency and/or the inability of such distributors to obtain credit to finance purchases of our products and services. In addition, weakness in the end-user market could negatively affect the cash flows of our channel partners who could, in turn, delay paying their obligations to us, which would increase our credit risk exposure. Our business could be harmed if the financial condition of some of these channel partners substantially weakened and we were unable to timely secure replacement channel partners.</w:t>
      </w:r>
    </w:p>
    <w:p>
      <w:pPr>
        <w:spacing w:after="0" w:line="18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231F20"/>
        </w:rPr>
        <w:t>Our solutions contain third-party open source software components, and our failure to comply with the terms of the underlying open source software licenses could restrict our ability to sell our solutions.</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Our solutions contain software licensed to us by third-parties under so-called “open source” licenses, including the GNU General Public License, or GPL, the GNU Lesser General Public License, or LGPL,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41" w:right="25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231F20"/>
        </w:rPr>
        <w:t>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spacing w:after="0" w:line="20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Although we monitor our use of open source software in an effort both to comply with the terms of the applicable open source licenses and to avoid subjecting our solutions to conditions we do not intend, the terms of many open source licenses have not been interpreted by U.S. courts, and there is a risk that these licenses could be construed in a way that could impose unanticipated conditions or restrictions on our ability to commercialize our solutions. In this event, we could be required to seek licenses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spacing w:after="0" w:line="185"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231F20"/>
        </w:rPr>
        <w:t>We rely on software-as-a-service vendors to operate certain functions of our business and any failure of such vendors to provide services to us could adversely impact our business and operations.</w:t>
      </w:r>
    </w:p>
    <w:p>
      <w:pPr>
        <w:spacing w:after="0" w:line="175"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231F20"/>
        </w:rPr>
        <w:t>We rely on third-party software-as-a-service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 sales of our solutions and supporting our customers could be impaired until equivalent services, if available, are identified, obtained and integrated, all of which could harm our business.</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We use third-party software and data that may be difficult to replace or cause errors or failures of our solutions that could lead to lost customers or harm to our reputation and our operating results.</w:t>
      </w:r>
    </w:p>
    <w:p>
      <w:pPr>
        <w:spacing w:after="0" w:line="175"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 until equivalent technology or data is either developed by us, or, if available, is identified, obtained and integrated, which could harm our business. In addition, any errors or defects in or failures of this third-party software or data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207" w:lineRule="exact"/>
        <w:rPr>
          <w:sz w:val="20"/>
          <w:szCs w:val="20"/>
          <w:color w:val="auto"/>
        </w:rPr>
      </w:pPr>
    </w:p>
    <w:p>
      <w:pPr>
        <w:ind w:right="320" w:firstLine="405"/>
        <w:spacing w:after="0" w:line="256" w:lineRule="auto"/>
        <w:rPr>
          <w:sz w:val="20"/>
          <w:szCs w:val="20"/>
          <w:color w:val="auto"/>
        </w:rPr>
      </w:pPr>
      <w:r>
        <w:rPr>
          <w:rFonts w:ascii="Arial" w:cs="Arial" w:eastAsia="Arial" w:hAnsi="Arial"/>
          <w:sz w:val="18"/>
          <w:szCs w:val="18"/>
          <w:color w:val="231F20"/>
        </w:rPr>
        <w:t>We will need to maintain our relationships with third-party software and data providers, and to obtain software and data from such providers that do not contain any errors or defects. Any failure to do so could adversely impact our ability to deliver effective solutions to our customers and could harm our operating results.</w:t>
      </w:r>
    </w:p>
    <w:p>
      <w:pPr>
        <w:spacing w:after="0" w:line="18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231F20"/>
        </w:rPr>
        <w:t>Delays or interruptions in the manufacturing and delivery of our physical scanner appliances by our sole source manufacturer may harm our business.</w:t>
      </w:r>
    </w:p>
    <w:p>
      <w:pPr>
        <w:spacing w:after="0" w:line="175"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Upon customer request, we provide physical or virtual scanner appliances on a subscription basis as an additional capability to the customer’s subscription for use during their subscription term. Our physical scanner appliances are built by a single manufacturer. Our reliance on a sole manufacturer involves several risks, including a potential inability to obtain an adequate supply of physical scanner appliances and limited control over pricing, quality and timely deployment of such scanner appliances. In addition, replacing this manufacturer may be difficult and could result in an inability or delay in deploying our solutions to customers that request physical scanner appliances as part of their subscriptions.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41"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231F20"/>
        </w:rPr>
        <w:t>Furthermore, our manufacturer’s ability to timely manufacture and ship our physical scanner appliances depends on a variety of factors, such as the availability of hardware components, supply shortages or contractual restrictions. In the event of an interruption from this manufacturer, we may not be able to develop alternate or secondary sources in a timely manner. If we are unable to purchase physical scanner appliances in quantities sufficient to meet our requirements on a timely basis, we may not be able to effectively deploy our solutions to new customers that request physical scanner appliances, which could harm our business.</w:t>
      </w:r>
    </w:p>
    <w:p>
      <w:pPr>
        <w:spacing w:after="0" w:line="184"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i w:val="1"/>
          <w:iCs w:val="1"/>
          <w:color w:val="231F20"/>
        </w:rPr>
        <w:t>We are exposed to fluctuations in currency exchange rates, which could negatively affect our financial condition and results of operations.</w:t>
      </w:r>
    </w:p>
    <w:p>
      <w:pPr>
        <w:spacing w:after="0" w:line="17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Our reporting currency is the U.S. dollar and we generate a majority of our revenues in U.S. dollars. However, for nine months ended September 30, 2016, we incurred approximately 19% of our expenses outside of the United States in foreign currencies, primarily Euros, British Pounds, and Indian Rupee, principally with respect to salaries and related personnel expenses associated with our European and Indian operations. Additionally, for nine months ended September 30, 2016, approximately 16% of our revenues were generated in foreign currencies. Accordingly, changes in exchange rates may have a material adverse effect on our business, operating results and financial condition. The exchange rate between the U.S. dollar and foreign currencies has fluctuated substantially in recent years and may continue to fluctuate substantially in the future. We expect that a majority of our revenues will continue to be generated in U.S. dollars for the foreseeable future and that a significant portion of our expenses, including personnel costs, as well as capital and operating expenditures, will continue to be denominated in Euro, British Pound and Indian Rupee. The results of our operations may be adversely affected by foreign exchange fluctuations.</w:t>
      </w:r>
    </w:p>
    <w:p>
      <w:pPr>
        <w:spacing w:after="0" w:line="212" w:lineRule="exact"/>
        <w:rPr>
          <w:sz w:val="20"/>
          <w:szCs w:val="20"/>
          <w:color w:val="auto"/>
        </w:rPr>
      </w:pPr>
    </w:p>
    <w:p>
      <w:pPr>
        <w:ind w:right="200" w:firstLine="405"/>
        <w:spacing w:after="0" w:line="254" w:lineRule="auto"/>
        <w:rPr>
          <w:sz w:val="20"/>
          <w:szCs w:val="20"/>
          <w:color w:val="auto"/>
        </w:rPr>
      </w:pPr>
      <w:r>
        <w:rPr>
          <w:rFonts w:ascii="Arial" w:cs="Arial" w:eastAsia="Arial" w:hAnsi="Arial"/>
          <w:sz w:val="18"/>
          <w:szCs w:val="18"/>
          <w:color w:val="231F20"/>
        </w:rPr>
        <w:t>We use forward foreign exchange contracts to mitigate the effect of changes in foreign exchange rates on cash and accounts receivable balances denominated in certain foreign currencies. However, we may not be able to purchase derivative instruments that are adequate to insulate ourselves from foreign currency exchange risks. Additionally, our hedging activities may contribute to increased losses as a result of volatility in foreign currency markets.</w:t>
      </w:r>
    </w:p>
    <w:p>
      <w:pPr>
        <w:spacing w:after="0" w:line="182"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231F20"/>
        </w:rPr>
        <w:t>Failure to protect our proprietary technology and intellectual property rights could substantially harm our business and operating results.</w:t>
      </w:r>
    </w:p>
    <w:p>
      <w:pPr>
        <w:spacing w:after="0" w:line="175" w:lineRule="exact"/>
        <w:rPr>
          <w:sz w:val="20"/>
          <w:szCs w:val="20"/>
          <w:color w:val="auto"/>
        </w:rPr>
      </w:pPr>
    </w:p>
    <w:p>
      <w:pPr>
        <w:jc w:val="both"/>
        <w:ind w:right="200" w:firstLine="405"/>
        <w:spacing w:after="0" w:line="256" w:lineRule="auto"/>
        <w:rPr>
          <w:sz w:val="20"/>
          <w:szCs w:val="20"/>
          <w:color w:val="auto"/>
        </w:rPr>
      </w:pPr>
      <w:r>
        <w:rPr>
          <w:rFonts w:ascii="Arial" w:cs="Arial" w:eastAsia="Arial" w:hAnsi="Arial"/>
          <w:sz w:val="18"/>
          <w:szCs w:val="18"/>
          <w:color w:val="231F20"/>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spacing w:after="0" w:line="202"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 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solutions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solutions, technologies or intellectual property rights.</w:t>
      </w:r>
    </w:p>
    <w:p>
      <w:pPr>
        <w:spacing w:after="0" w:line="206" w:lineRule="exact"/>
        <w:rPr>
          <w:sz w:val="20"/>
          <w:szCs w:val="20"/>
          <w:color w:val="auto"/>
        </w:rPr>
      </w:pPr>
    </w:p>
    <w:p>
      <w:pPr>
        <w:ind w:right="20" w:firstLine="392"/>
        <w:spacing w:after="0" w:line="254" w:lineRule="auto"/>
        <w:rPr>
          <w:sz w:val="20"/>
          <w:szCs w:val="20"/>
          <w:color w:val="auto"/>
        </w:rPr>
      </w:pPr>
      <w:r>
        <w:rPr>
          <w:rFonts w:ascii="Arial" w:cs="Arial" w:eastAsia="Arial" w:hAnsi="Arial"/>
          <w:sz w:val="18"/>
          <w:szCs w:val="18"/>
          <w:color w:val="231F20"/>
        </w:rPr>
        <w:t>We have four issued patents and several pending U.S. patent applications, and may file additional patent applications in the future. Additionally, we have an exclusive license to four third-party patents. The process of obtaining patent protection is expensive and time-consuming, and we may not be able to prosecute all necessary or desirable patent applications at a reasonable cost or in a timely manner, if at all. We may choose not to seek patent protection for certain innovations and may choose not to pursue patent protection in certain jurisdictions.</w:t>
      </w:r>
    </w:p>
    <w:p>
      <w:pPr>
        <w:spacing w:after="0" w:line="204" w:lineRule="exact"/>
        <w:rPr>
          <w:sz w:val="20"/>
          <w:szCs w:val="20"/>
          <w:color w:val="auto"/>
        </w:rPr>
      </w:pPr>
    </w:p>
    <w:p>
      <w:pPr>
        <w:ind w:right="560" w:firstLine="392"/>
        <w:spacing w:after="0" w:line="262" w:lineRule="auto"/>
        <w:rPr>
          <w:sz w:val="20"/>
          <w:szCs w:val="20"/>
          <w:color w:val="auto"/>
        </w:rPr>
      </w:pPr>
      <w:r>
        <w:rPr>
          <w:rFonts w:ascii="Arial" w:cs="Arial" w:eastAsia="Arial" w:hAnsi="Arial"/>
          <w:sz w:val="18"/>
          <w:szCs w:val="18"/>
          <w:color w:val="231F20"/>
        </w:rPr>
        <w:t>Furthermore, it is possible that our patent applications may not result in granted patents, that the scope of our issued patents will be limited or not provide the coverage originally sought, that our issued patents will not</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41"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spacing w:after="0" w:line="254" w:lineRule="auto"/>
        <w:rPr>
          <w:sz w:val="20"/>
          <w:szCs w:val="20"/>
          <w:color w:val="auto"/>
        </w:rPr>
      </w:pPr>
      <w:r>
        <w:rPr>
          <w:rFonts w:ascii="Arial" w:cs="Arial" w:eastAsia="Arial" w:hAnsi="Arial"/>
          <w:sz w:val="18"/>
          <w:szCs w:val="18"/>
          <w:color w:val="231F20"/>
        </w:rPr>
        <w:t>provide us with any competitive advantages, or that our patents and other intellectual property rights may be challenged by others or invalidated through administrative processes or litigation. In addition, issuance of a patent does not guarantee that we have an absolute right to practice the patented invention. As a result, we may not be able to obtain adequate patent protection or to enforce our issued patents effectively.</w:t>
      </w:r>
    </w:p>
    <w:p>
      <w:pPr>
        <w:spacing w:after="0" w:line="204"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231F20"/>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 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187"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231F20"/>
        </w:rPr>
        <w:t>Assertions by third parties of infringement or other violations by us of their intellectual property rights could result in significant costs and harm our business and operating results.</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 intellectual property rights of third parties. As the numbers of products and competitors in our market increase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from our business.</w:t>
      </w:r>
    </w:p>
    <w:p>
      <w:pPr>
        <w:spacing w:after="0" w:line="206"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 be no assurance that we will not be found to infringe or otherwise violate any third-party intellectual property rights or to have done so in the past.</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An adverse outcome of a dispute may require us to:</w:t>
      </w:r>
    </w:p>
    <w:p>
      <w:pPr>
        <w:spacing w:after="0" w:line="11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substantial damages, including treble damages, if we are found to have willfully infringed a third party’s patents or copyrights;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cease making, licensing or using solutions that are alleged to infringe or misappropriate the intellectual property of others;</w:t>
      </w:r>
    </w:p>
    <w:p>
      <w:pPr>
        <w:spacing w:after="0" w:line="117"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expend additional development resources to attempt to redesign our solutions or otherwise develop non-infringing technology, which may not be successful;</w:t>
      </w:r>
    </w:p>
    <w:p>
      <w:pPr>
        <w:spacing w:after="0" w:line="88"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potentially unfavorable royalty or license agreements in order to obtain the right to use necessary technologies or intellectual property rights;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indemnify our partners and other third parties.</w:t>
      </w:r>
    </w:p>
    <w:p>
      <w:pPr>
        <w:spacing w:after="0" w:line="225" w:lineRule="exact"/>
        <w:rPr>
          <w:sz w:val="20"/>
          <w:szCs w:val="20"/>
          <w:color w:val="auto"/>
        </w:rPr>
      </w:pPr>
    </w:p>
    <w:p>
      <w:pPr>
        <w:jc w:val="both"/>
        <w:ind w:right="360" w:firstLine="405"/>
        <w:spacing w:after="0" w:line="254" w:lineRule="auto"/>
        <w:rPr>
          <w:sz w:val="20"/>
          <w:szCs w:val="20"/>
          <w:color w:val="auto"/>
        </w:rPr>
      </w:pPr>
      <w:r>
        <w:rPr>
          <w:rFonts w:ascii="Arial" w:cs="Arial" w:eastAsia="Arial" w:hAnsi="Arial"/>
          <w:sz w:val="18"/>
          <w:szCs w:val="18"/>
          <w:color w:val="231F20"/>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 technology licensed to us. Any of the foregoing events could seriously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141" w:right="27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If we are required to collect sales and use or other taxes on the solutions we sell, we may be subject to liability for past sales and our future sales may decrease.</w:t>
      </w:r>
    </w:p>
    <w:p>
      <w:pPr>
        <w:spacing w:after="0" w:line="175"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It is possible that we could face sales tax audits and that our liability for these taxes could exceed our estimates as tax authorities could still assert that we are obligated to collect additional amounts as taxes from our customers and remit those taxes to those authorities. We could also be subject to audits with respect to state and international jurisdictions for which we have not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We depend on the continued services and performance of our senior management and other key employees, the loss of any of whom could adversely affect our business, operating results and financial condition.</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Our future performance depends on the continued services and continuing contributions of our senior management, particularly Philippe F. Courtot, our Chairman, President and Chief Executive Officer, and other key employees to execute on our business plan and to identify and pursue new opportunities and product innovations. We do not maintain key-man insurance for Mr. Courtot or for any other member of our senior management team. From time to time, there may be changes in our senior management team resulting from the termination or departure of executives. Our senior management and key employees are generally employed on an at-will basis, which means that they could terminate their employment with us at any time. The loss of the services of our senior management, particularly Mr. Courtot, or other key employees for any reason could significantly delay or prevent the achievement of our development and strategic objectives and harm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hire, retain and motivate qualified personnel, our business may suffer.</w:t>
      </w:r>
    </w:p>
    <w:p>
      <w:pPr>
        <w:spacing w:after="0" w:line="247"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231F20"/>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in the San Francisco Bay Area, one of the locations in which we have a substantial presence and need for highly skilled personnel and we may not be able to compete for these employees.</w:t>
      </w:r>
    </w:p>
    <w:p>
      <w:pPr>
        <w:spacing w:after="0" w:line="206" w:lineRule="exact"/>
        <w:rPr>
          <w:sz w:val="20"/>
          <w:szCs w:val="20"/>
          <w:color w:val="auto"/>
        </w:rPr>
      </w:pPr>
    </w:p>
    <w:p>
      <w:pPr>
        <w:ind w:right="160" w:firstLine="405"/>
        <w:spacing w:after="0" w:line="253" w:lineRule="auto"/>
        <w:rPr>
          <w:sz w:val="20"/>
          <w:szCs w:val="20"/>
          <w:color w:val="auto"/>
        </w:rPr>
      </w:pPr>
      <w:r>
        <w:rPr>
          <w:rFonts w:ascii="Arial" w:cs="Arial" w:eastAsia="Arial" w:hAnsi="Arial"/>
          <w:sz w:val="18"/>
          <w:szCs w:val="18"/>
          <w:color w:val="231F20"/>
        </w:rPr>
        <w:t>We are required under accounting principles generally accepted in the United States (“U.S. GAAP”)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In addition, to the extent we hire personnel from competitors, we may be subject to allegations that they have been improperly solicited or divulged proprietary or other confidential information.</w:t>
      </w:r>
    </w:p>
    <w:p>
      <w:pPr>
        <w:spacing w:after="0" w:line="18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31F20"/>
        </w:rPr>
        <w:t>Changes in laws or regulations related to the Internet may diminish the demand for our solutions and could have a negative impact on our business.</w:t>
      </w:r>
    </w:p>
    <w:p>
      <w:pPr>
        <w:spacing w:after="0" w:line="175"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231F20"/>
        </w:rPr>
        <w:t>We deliver our solutions through the Internet. Federal, state or foreign government bodies or agencies have in the past adopted, and may in the future adopt, laws or regulations affecting data privacy and the use of the Internet. In addition, government agencies or private organizations may begin to impose taxes, fees or other charges for accessing the Internet or on commerce conducted via the Internet. These laws or charges could limit the viability of Internet-based solutions such as ours and reduce the demand for our solutions.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41" w:right="25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 portion of our revenues are generated by sales to government entities, which are subject to a number of challenges and risks.</w:t>
      </w:r>
    </w:p>
    <w:p>
      <w:pPr>
        <w:spacing w:after="0" w:line="247"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231F20"/>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time-consuming, often requiring significant upfront time and expense without any assurance that we will win a sale. We have invested in the creation of a cloud offering certified under the Federal Information Security Management Act, or FISMA, for government usage but we cannot be sure that we will continue to sustain or renew this certification, that the government will continue to mandate such certification or that other government agencies or entities will use this cloud offering. Government demand and payment for our solutions may be impacted by public sector budgetary cycles and funding authorizations, with funding reductions or delays adversely affecting public sector demand for our solutions. 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spacing w:after="0" w:line="189"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b w:val="1"/>
          <w:bCs w:val="1"/>
          <w:i w:val="1"/>
          <w:iCs w:val="1"/>
          <w:color w:val="231F20"/>
        </w:rPr>
        <w:t>Governmental export or import controls could subject us to liability if we violate them or limit our ability to compete in foreign markets.</w:t>
      </w:r>
    </w:p>
    <w:p>
      <w:pPr>
        <w:spacing w:after="0" w:line="175"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231F20"/>
        </w:rPr>
        <w:t xml:space="preserve">Our solutions are subject to U.S. export controls, </w:t>
      </w:r>
      <w:r>
        <w:rPr>
          <w:rFonts w:ascii="Arial" w:cs="Arial" w:eastAsia="Arial" w:hAnsi="Arial"/>
          <w:sz w:val="18"/>
          <w:szCs w:val="18"/>
          <w:color w:val="000000"/>
        </w:rPr>
        <w:t>specifically, the Export Administration Regulations and economic sanctions enforced by</w:t>
      </w:r>
      <w:r>
        <w:rPr>
          <w:rFonts w:ascii="Arial" w:cs="Arial" w:eastAsia="Arial" w:hAnsi="Arial"/>
          <w:sz w:val="18"/>
          <w:szCs w:val="18"/>
          <w:color w:val="231F20"/>
        </w:rPr>
        <w:t xml:space="preserve"> </w:t>
      </w:r>
      <w:r>
        <w:rPr>
          <w:rFonts w:ascii="Arial" w:cs="Arial" w:eastAsia="Arial" w:hAnsi="Arial"/>
          <w:sz w:val="18"/>
          <w:szCs w:val="18"/>
          <w:color w:val="000000"/>
        </w:rPr>
        <w:t xml:space="preserve">the Office of Foreign Assets Control. </w:t>
      </w:r>
      <w:r>
        <w:rPr>
          <w:rFonts w:ascii="Arial" w:cs="Arial" w:eastAsia="Arial" w:hAnsi="Arial"/>
          <w:sz w:val="18"/>
          <w:szCs w:val="18"/>
          <w:color w:val="231F20"/>
        </w:rPr>
        <w:t>We incorporate encryption technology into certain of our solutions. These encryption solutions and the</w:t>
      </w:r>
      <w:r>
        <w:rPr>
          <w:rFonts w:ascii="Arial" w:cs="Arial" w:eastAsia="Arial" w:hAnsi="Arial"/>
          <w:sz w:val="18"/>
          <w:szCs w:val="18"/>
          <w:color w:val="000000"/>
        </w:rPr>
        <w:t xml:space="preserve"> </w:t>
      </w:r>
      <w:r>
        <w:rPr>
          <w:rFonts w:ascii="Arial" w:cs="Arial" w:eastAsia="Arial" w:hAnsi="Arial"/>
          <w:sz w:val="18"/>
          <w:szCs w:val="18"/>
          <w:color w:val="231F20"/>
        </w:rPr>
        <w:t>underlying technology may be exported only with the required export authorizations, including by license, a license exception or other appropriate government authorizations. U.S. export controls may require submission of an encryption registration, product classification and/or annual or semi-annual reports. Governmental regulation of encryption technology and regulation of imports or exports of encryption products, or our failure to obtain required import or export authorization for our solutions, when applicable, could harm our international sales and adversely affect our revenues. Compliance with applicable regulatory requirements regarding the export of our solutions, including with respect to new releases of our 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 operations and decreased revenues. If we fail to comply with export and import regulations, we may be fined or other penalties could be imposed, including a denial of certain export privileges.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in acquiring and integrating other businesses, products or technologies could impact our financial position.</w:t>
      </w:r>
    </w:p>
    <w:p>
      <w:pPr>
        <w:spacing w:after="0" w:line="247"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In order to remain competitive, we have in the past and may in the future seek to acquire additional businesses, products, services or technologies. The environment for acquisitions in our industry is very competitive and acquisition candidate purchase prices will likely exceed what we would prefer to pay. Moreover, achieving the anticipated benefits of future acquisitions will depend in part upon whether we can integrate acquired operations, products and technology in a timely and cost-effective manner</w:t>
      </w:r>
      <w:r>
        <w:rPr>
          <w:rFonts w:ascii="Arial" w:cs="Arial" w:eastAsia="Arial" w:hAnsi="Arial"/>
          <w:sz w:val="18"/>
          <w:szCs w:val="18"/>
          <w:color w:val="000000"/>
        </w:rPr>
        <w:t>, and even if we achieve benefits from</w:t>
      </w:r>
      <w:r>
        <w:rPr>
          <w:rFonts w:ascii="Arial" w:cs="Arial" w:eastAsia="Arial" w:hAnsi="Arial"/>
          <w:sz w:val="18"/>
          <w:szCs w:val="18"/>
          <w:color w:val="231F20"/>
        </w:rPr>
        <w:t xml:space="preserve"> </w:t>
      </w:r>
      <w:r>
        <w:rPr>
          <w:rFonts w:ascii="Arial" w:cs="Arial" w:eastAsia="Arial" w:hAnsi="Arial"/>
          <w:sz w:val="18"/>
          <w:szCs w:val="18"/>
          <w:color w:val="000000"/>
        </w:rPr>
        <w:t xml:space="preserve">acquisitions, such acquisitions may still be viewed negatively by customers, financial markets or investors. </w:t>
      </w:r>
      <w:r>
        <w:rPr>
          <w:rFonts w:ascii="Arial" w:cs="Arial" w:eastAsia="Arial" w:hAnsi="Arial"/>
          <w:sz w:val="18"/>
          <w:szCs w:val="18"/>
          <w:color w:val="231F20"/>
        </w:rPr>
        <w:t>The acquisition and integration</w:t>
      </w:r>
      <w:r>
        <w:rPr>
          <w:rFonts w:ascii="Arial" w:cs="Arial" w:eastAsia="Arial" w:hAnsi="Arial"/>
          <w:sz w:val="18"/>
          <w:szCs w:val="18"/>
          <w:color w:val="000000"/>
        </w:rPr>
        <w:t xml:space="preserve"> </w:t>
      </w:r>
      <w:r>
        <w:rPr>
          <w:rFonts w:ascii="Arial" w:cs="Arial" w:eastAsia="Arial" w:hAnsi="Arial"/>
          <w:sz w:val="18"/>
          <w:szCs w:val="18"/>
          <w:color w:val="231F20"/>
        </w:rPr>
        <w:t xml:space="preserve">process is complex, expensive and time-consuming, and may cause an interruption of, or loss of momentum in, product development and sales activities and operations of both companies </w:t>
      </w:r>
      <w:r>
        <w:rPr>
          <w:rFonts w:ascii="Arial" w:cs="Arial" w:eastAsia="Arial" w:hAnsi="Arial"/>
          <w:sz w:val="18"/>
          <w:szCs w:val="18"/>
          <w:color w:val="000000"/>
        </w:rPr>
        <w:t>and we may incur substantial cost and expense, as well as divert the attention of management. We</w:t>
      </w:r>
      <w:r>
        <w:rPr>
          <w:rFonts w:ascii="Arial" w:cs="Arial" w:eastAsia="Arial" w:hAnsi="Arial"/>
          <w:sz w:val="18"/>
          <w:szCs w:val="18"/>
          <w:color w:val="231F20"/>
        </w:rPr>
        <w:t xml:space="preserve"> </w:t>
      </w:r>
      <w:r>
        <w:rPr>
          <w:rFonts w:ascii="Arial" w:cs="Arial" w:eastAsia="Arial" w:hAnsi="Arial"/>
          <w:sz w:val="18"/>
          <w:szCs w:val="18"/>
          <w:color w:val="000000"/>
        </w:rPr>
        <w:t>may issue equity securities which could dilute current stockholders’ ownership, incur debt, assume contingent or other liabilities and expend cash in acquisitions, which could negatively impact our financial position, stockholder</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41"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equity and stock price. </w:t>
      </w:r>
      <w:r>
        <w:rPr>
          <w:rFonts w:ascii="Arial" w:cs="Arial" w:eastAsia="Arial" w:hAnsi="Arial"/>
          <w:sz w:val="18"/>
          <w:szCs w:val="18"/>
          <w:color w:val="231F20"/>
        </w:rPr>
        <w:t>We may not find suitable acquisition candidates, and acquisitions we complete may be unsuccessful. If we consummate</w:t>
      </w:r>
      <w:r>
        <w:rPr>
          <w:rFonts w:ascii="Arial" w:cs="Arial" w:eastAsia="Arial" w:hAnsi="Arial"/>
          <w:sz w:val="18"/>
          <w:szCs w:val="18"/>
          <w:color w:val="auto"/>
        </w:rPr>
        <w:t xml:space="preserve"> </w:t>
      </w:r>
      <w:r>
        <w:rPr>
          <w:rFonts w:ascii="Arial" w:cs="Arial" w:eastAsia="Arial" w:hAnsi="Arial"/>
          <w:sz w:val="18"/>
          <w:szCs w:val="18"/>
          <w:color w:val="231F20"/>
        </w:rPr>
        <w:t>a transaction, we may be unable to integrate and manage acquired products and businesses effectively or retain key personnel. If we are unable to effectively execute acquisitions, our business, financial condition and operating results could be adversely affected.</w:t>
      </w:r>
    </w:p>
    <w:p>
      <w:pPr>
        <w:spacing w:after="0" w:line="180"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231F20"/>
        </w:rPr>
        <w:t>Our financial results are based in part on our estimates or judgments relating to our critical accounting policies. These estimates or judgments may prove to be incorrect, which could harm our operating results and result in a decline in our stock price.</w:t>
      </w:r>
    </w:p>
    <w:p>
      <w:pPr>
        <w:spacing w:after="0" w:line="175"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231F20"/>
        </w:rPr>
        <w:t>The preparation of financial statements in conformity with U.S. GAAP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the section titled “Item 2 - Management’s 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accounting for income taxes, stock-based compensation, and fair value measurement.</w:t>
      </w:r>
    </w:p>
    <w:p>
      <w:pPr>
        <w:spacing w:after="0" w:line="19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231F20"/>
        </w:rPr>
        <w:t>Changes in financial accounting standards may cause adverse and unexpected revenue fluctuations and impact our reported results of operations.</w:t>
      </w:r>
    </w:p>
    <w:p>
      <w:pPr>
        <w:spacing w:after="0" w:line="17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 xml:space="preserve">We prepare our financial statements in accordance with U.S. GAAP. These principles are subject to interpretation by the SEC and various bodies formed to interpret and create appropriate accounting principles. A change in these accounting standards or practices could harm our operating results and could have a significant effect on our reporting of transactions, </w:t>
      </w:r>
      <w:r>
        <w:rPr>
          <w:rFonts w:ascii="Arial" w:cs="Arial" w:eastAsia="Arial" w:hAnsi="Arial"/>
          <w:sz w:val="18"/>
          <w:szCs w:val="18"/>
          <w:color w:val="000000"/>
        </w:rPr>
        <w:t>reported results and may even retroactively affect</w:t>
      </w:r>
      <w:r>
        <w:rPr>
          <w:rFonts w:ascii="Arial" w:cs="Arial" w:eastAsia="Arial" w:hAnsi="Arial"/>
          <w:sz w:val="18"/>
          <w:szCs w:val="18"/>
          <w:color w:val="231F20"/>
        </w:rPr>
        <w:t xml:space="preserve"> </w:t>
      </w:r>
      <w:r>
        <w:rPr>
          <w:rFonts w:ascii="Arial" w:cs="Arial" w:eastAsia="Arial" w:hAnsi="Arial"/>
          <w:sz w:val="18"/>
          <w:szCs w:val="18"/>
          <w:color w:val="000000"/>
        </w:rPr>
        <w:t xml:space="preserve">previously reported transactions. </w:t>
      </w:r>
      <w:r>
        <w:rPr>
          <w:rFonts w:ascii="Arial" w:cs="Arial" w:eastAsia="Arial" w:hAnsi="Arial"/>
          <w:sz w:val="18"/>
          <w:szCs w:val="18"/>
          <w:color w:val="231F20"/>
        </w:rPr>
        <w:t>New accounting pronouncements and varying interpretations of accounting pronouncements have occurred</w:t>
      </w:r>
      <w:r>
        <w:rPr>
          <w:rFonts w:ascii="Arial" w:cs="Arial" w:eastAsia="Arial" w:hAnsi="Arial"/>
          <w:sz w:val="18"/>
          <w:szCs w:val="18"/>
          <w:color w:val="000000"/>
        </w:rPr>
        <w:t xml:space="preserve"> </w:t>
      </w:r>
      <w:r>
        <w:rPr>
          <w:rFonts w:ascii="Arial" w:cs="Arial" w:eastAsia="Arial" w:hAnsi="Arial"/>
          <w:sz w:val="18"/>
          <w:szCs w:val="18"/>
          <w:color w:val="231F20"/>
        </w:rPr>
        <w:t xml:space="preserve">and may occur in the future. Changes to existing rules or the questioning of current practices may harm our operating results, </w:t>
      </w:r>
      <w:r>
        <w:rPr>
          <w:rFonts w:ascii="Arial" w:cs="Arial" w:eastAsia="Arial" w:hAnsi="Arial"/>
          <w:sz w:val="18"/>
          <w:szCs w:val="18"/>
          <w:color w:val="000000"/>
        </w:rPr>
        <w:t>require that we</w:t>
      </w:r>
      <w:r>
        <w:rPr>
          <w:rFonts w:ascii="Arial" w:cs="Arial" w:eastAsia="Arial" w:hAnsi="Arial"/>
          <w:sz w:val="18"/>
          <w:szCs w:val="18"/>
          <w:color w:val="231F20"/>
        </w:rPr>
        <w:t xml:space="preserve"> </w:t>
      </w:r>
      <w:r>
        <w:rPr>
          <w:rFonts w:ascii="Arial" w:cs="Arial" w:eastAsia="Arial" w:hAnsi="Arial"/>
          <w:sz w:val="18"/>
          <w:szCs w:val="18"/>
          <w:color w:val="000000"/>
        </w:rPr>
        <w:t xml:space="preserve">make significant changes to our systems, processes and controls </w:t>
      </w:r>
      <w:r>
        <w:rPr>
          <w:rFonts w:ascii="Arial" w:cs="Arial" w:eastAsia="Arial" w:hAnsi="Arial"/>
          <w:sz w:val="18"/>
          <w:szCs w:val="18"/>
          <w:color w:val="231F20"/>
        </w:rPr>
        <w:t>or the way we conduct our business.</w:t>
      </w:r>
    </w:p>
    <w:p>
      <w:pPr>
        <w:spacing w:after="0" w:line="187" w:lineRule="exact"/>
        <w:rPr>
          <w:sz w:val="20"/>
          <w:szCs w:val="20"/>
          <w:color w:val="auto"/>
        </w:rPr>
      </w:pPr>
    </w:p>
    <w:p>
      <w:pPr>
        <w:jc w:val="both"/>
        <w:ind w:right="220"/>
        <w:spacing w:after="0" w:line="269" w:lineRule="auto"/>
        <w:rPr>
          <w:sz w:val="20"/>
          <w:szCs w:val="20"/>
          <w:color w:val="auto"/>
        </w:rPr>
      </w:pPr>
      <w:r>
        <w:rPr>
          <w:rFonts w:ascii="Arial" w:cs="Arial" w:eastAsia="Arial" w:hAnsi="Arial"/>
          <w:sz w:val="18"/>
          <w:szCs w:val="18"/>
          <w:b w:val="1"/>
          <w:bCs w:val="1"/>
          <w:i w:val="1"/>
          <w:iCs w:val="1"/>
          <w:color w:val="231F20"/>
        </w:rPr>
        <w:t>Because we expense commissions associated with sales of our solutions immediately upon receipt of a subscription order from a customer and generally recognize the revenues associated with such sale over the term of the agreement, our operating income in any period may not be indicative of our financial health and future performance.</w:t>
      </w:r>
    </w:p>
    <w:p>
      <w:pPr>
        <w:spacing w:after="0" w:line="190" w:lineRule="exact"/>
        <w:rPr>
          <w:sz w:val="20"/>
          <w:szCs w:val="20"/>
          <w:color w:val="auto"/>
        </w:rPr>
      </w:pPr>
    </w:p>
    <w:p>
      <w:pPr>
        <w:ind w:right="140" w:firstLine="405"/>
        <w:spacing w:after="0" w:line="252" w:lineRule="auto"/>
        <w:rPr>
          <w:sz w:val="20"/>
          <w:szCs w:val="20"/>
          <w:color w:val="auto"/>
        </w:rPr>
      </w:pPr>
      <w:r>
        <w:rPr>
          <w:rFonts w:ascii="Arial" w:cs="Arial" w:eastAsia="Arial" w:hAnsi="Arial"/>
          <w:sz w:val="18"/>
          <w:szCs w:val="18"/>
          <w:color w:val="231F20"/>
        </w:rPr>
        <w:t>We expense commissions paid to our sales personnel in the quarter in which the related order is received. In contrast, we generally recognize the revenues associated with a sale of our solutions ratably over the term of the subscription, which is typically one year. Although we believe increased sales is a positive indicator of the long-term health of our business, increased sales would increase our operating expenses and decrease net income in any particular period. Thus, we may report poor operating results due to higher sales commissions in a period in which we experience strong sales of our solutions. Alternatively, we may report better operating results due to the reduction of sales commissions in a period in which we experience a slowdown in sales. Therefore, you should not rely on our operating results during any one quarter as an indication of our financial health and future performance.</w:t>
      </w:r>
    </w:p>
    <w:p>
      <w:pPr>
        <w:spacing w:after="0" w:line="18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231F20"/>
        </w:rPr>
        <w:t>We recognize revenues from subscriptions over the term of the relevant service period, and therefore any decreases or increases in bookings are not immediately reflected in our operating results.</w:t>
      </w:r>
    </w:p>
    <w:p>
      <w:pPr>
        <w:spacing w:after="0" w:line="175"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 revenues in future periods. Accordingly, the effect of significant downturns in bookings may not be fully reflected in</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41" w:right="25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231F20"/>
        </w:rPr>
        <w:t>our results of operations until future periods. We may be unable to adjust our costs and expenses to compensate for such a potential shortfall in revenues. Our subscription model also makes it difficult for us to rapidly increase our revenues through additional bookings in any period, as revenues are recognized ratably over the subscription period.</w:t>
      </w:r>
    </w:p>
    <w:p>
      <w:pPr>
        <w:spacing w:after="0" w:line="180"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b w:val="1"/>
          <w:bCs w:val="1"/>
          <w:i w:val="1"/>
          <w:iCs w:val="1"/>
          <w:color w:val="231F20"/>
        </w:rPr>
        <w:t>Changes in our provision for income taxes or adverse outcomes resulting from examination of our income tax returns could adversely affect our operating results. We could be subject to additional taxes.</w:t>
      </w:r>
    </w:p>
    <w:p>
      <w:pPr>
        <w:spacing w:after="0" w:line="175"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231F20"/>
        </w:rPr>
        <w:t xml:space="preserve">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arising from the requirement to expense stock options and the valuation of deferred tax assets and liabilities, including our ability to utilize our federal net operating losses, which were </w:t>
      </w:r>
      <w:r>
        <w:rPr>
          <w:rFonts w:ascii="Arial" w:cs="Arial" w:eastAsia="Arial" w:hAnsi="Arial"/>
          <w:sz w:val="18"/>
          <w:szCs w:val="18"/>
          <w:color w:val="000000"/>
        </w:rPr>
        <w:t>$35.6 million</w:t>
      </w:r>
      <w:r>
        <w:rPr>
          <w:rFonts w:ascii="Arial" w:cs="Arial" w:eastAsia="Arial" w:hAnsi="Arial"/>
          <w:sz w:val="18"/>
          <w:szCs w:val="18"/>
          <w:color w:val="231F20"/>
        </w:rPr>
        <w:t xml:space="preserve"> as of </w:t>
      </w:r>
      <w:r>
        <w:rPr>
          <w:rFonts w:ascii="Arial" w:cs="Arial" w:eastAsia="Arial" w:hAnsi="Arial"/>
          <w:sz w:val="18"/>
          <w:szCs w:val="18"/>
          <w:color w:val="000000"/>
        </w:rPr>
        <w:t>December 31,</w:t>
      </w:r>
      <w:r>
        <w:rPr>
          <w:rFonts w:ascii="Arial" w:cs="Arial" w:eastAsia="Arial" w:hAnsi="Arial"/>
          <w:sz w:val="18"/>
          <w:szCs w:val="18"/>
          <w:color w:val="231F20"/>
        </w:rPr>
        <w:t xml:space="preserve"> </w:t>
      </w:r>
      <w:r>
        <w:rPr>
          <w:rFonts w:ascii="Arial" w:cs="Arial" w:eastAsia="Arial" w:hAnsi="Arial"/>
          <w:sz w:val="18"/>
          <w:szCs w:val="18"/>
          <w:color w:val="000000"/>
        </w:rPr>
        <w:t>2015</w:t>
      </w:r>
      <w:r>
        <w:rPr>
          <w:rFonts w:ascii="Arial" w:cs="Arial" w:eastAsia="Arial" w:hAnsi="Arial"/>
          <w:sz w:val="18"/>
          <w:szCs w:val="18"/>
          <w:color w:val="231F20"/>
        </w:rPr>
        <w:t>. Increases in our effective tax rate could harm our operating results.</w:t>
      </w:r>
    </w:p>
    <w:p>
      <w:pPr>
        <w:spacing w:after="0" w:line="206"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 xml:space="preserve">Additionally, </w:t>
      </w:r>
      <w:r>
        <w:rPr>
          <w:rFonts w:ascii="Arial" w:cs="Arial" w:eastAsia="Arial" w:hAnsi="Arial"/>
          <w:sz w:val="18"/>
          <w:szCs w:val="18"/>
          <w:color w:val="000000"/>
        </w:rPr>
        <w:t>significant judgment is required in evaluating our tax positions and our worldwide provision for taxes. During the ordinary</w:t>
      </w:r>
      <w:r>
        <w:rPr>
          <w:rFonts w:ascii="Arial" w:cs="Arial" w:eastAsia="Arial" w:hAnsi="Arial"/>
          <w:sz w:val="18"/>
          <w:szCs w:val="18"/>
          <w:color w:val="231F20"/>
        </w:rPr>
        <w:t xml:space="preserve"> </w:t>
      </w:r>
      <w:r>
        <w:rPr>
          <w:rFonts w:ascii="Arial" w:cs="Arial" w:eastAsia="Arial" w:hAnsi="Arial"/>
          <w:sz w:val="18"/>
          <w:szCs w:val="18"/>
          <w:color w:val="000000"/>
        </w:rPr>
        <w:t>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We may be audited in various jurisdictions, and such jurisdictions may assess additional taxes, sales taxes and value-added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or periods for which a determination is made.</w:t>
      </w:r>
    </w:p>
    <w:p>
      <w:pPr>
        <w:spacing w:after="0" w:line="19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231F20"/>
        </w:rPr>
        <w:t>Our business is subject to the risks of earthquakes, fire, power outages, floods and other catastrophic events, and to interruption by manmade problems such as terrorism.</w:t>
      </w:r>
    </w:p>
    <w:p>
      <w:pPr>
        <w:spacing w:after="0" w:line="17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 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acts of terrorism could cause disruptions in our business or the business of our business partners, customers or the economy as a whole. All of the aforementioned risks may be exacerbated if the disaster recovery plans for us and our suppliers prove to be inadequate. To the extent that any of the above results in delays of customer subscriptions or commercialization of our solutions, our business, financial condition and results of operations could be adversely affected.</w:t>
      </w:r>
    </w:p>
    <w:p>
      <w:pPr>
        <w:spacing w:after="0" w:line="190"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b w:val="1"/>
          <w:bCs w:val="1"/>
          <w:i w:val="1"/>
          <w:iCs w:val="1"/>
          <w:color w:val="231F20"/>
        </w:rPr>
        <w:t>If we fail to maintain an effective system of internal control over financial reporting, our ability to produce timely and accurate financial statements or comply with applicable regulations could be impaired.</w:t>
      </w:r>
    </w:p>
    <w:p>
      <w:pPr>
        <w:spacing w:after="0" w:line="175"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231F20"/>
        </w:rPr>
        <w:t>As a public company, we are subject to the reporting requirements of the Securities Exchange Act of 1934, or the Exchange Act, the Sarbanes-Oxley Act, and the rules and regulations of the NASDAQ Stock Market. To comply with the requirements of being a public company, we may need to undertake various actions, such as implementing additional internal controls and procedures and hiring accounting or internal audit staff.</w:t>
      </w:r>
    </w:p>
    <w:p>
      <w:pPr>
        <w:spacing w:after="0" w:line="204"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231F20"/>
        </w:rPr>
        <w:t xml:space="preserve">Our </w:t>
      </w:r>
      <w:r>
        <w:rPr>
          <w:rFonts w:ascii="Arial" w:cs="Arial" w:eastAsia="Arial" w:hAnsi="Arial"/>
          <w:sz w:val="18"/>
          <w:szCs w:val="18"/>
          <w:color w:val="000000"/>
        </w:rPr>
        <w:t>internal control over financial reporting is a process designed to provide reasonable assurance regarding the reliability of financial</w:t>
      </w:r>
      <w:r>
        <w:rPr>
          <w:rFonts w:ascii="Arial" w:cs="Arial" w:eastAsia="Arial" w:hAnsi="Arial"/>
          <w:sz w:val="18"/>
          <w:szCs w:val="18"/>
          <w:color w:val="231F20"/>
        </w:rPr>
        <w:t xml:space="preserve"> </w:t>
      </w:r>
      <w:r>
        <w:rPr>
          <w:rFonts w:ascii="Arial" w:cs="Arial" w:eastAsia="Arial" w:hAnsi="Arial"/>
          <w:sz w:val="18"/>
          <w:szCs w:val="18"/>
          <w:color w:val="000000"/>
        </w:rPr>
        <w:t xml:space="preserve">reporting and the preparation of financial statements in accordance with GAAP. Our </w:t>
      </w:r>
      <w:r>
        <w:rPr>
          <w:rFonts w:ascii="Arial" w:cs="Arial" w:eastAsia="Arial" w:hAnsi="Arial"/>
          <w:sz w:val="18"/>
          <w:szCs w:val="18"/>
          <w:color w:val="231F20"/>
        </w:rPr>
        <w:t>current controls and any new controls that we develop may</w:t>
      </w:r>
      <w:r>
        <w:rPr>
          <w:rFonts w:ascii="Arial" w:cs="Arial" w:eastAsia="Arial" w:hAnsi="Arial"/>
          <w:sz w:val="18"/>
          <w:szCs w:val="18"/>
          <w:color w:val="000000"/>
        </w:rPr>
        <w:t xml:space="preserve"> </w:t>
      </w:r>
      <w:r>
        <w:rPr>
          <w:rFonts w:ascii="Arial" w:cs="Arial" w:eastAsia="Arial" w:hAnsi="Arial"/>
          <w:sz w:val="18"/>
          <w:szCs w:val="18"/>
          <w:color w:val="231F20"/>
        </w:rPr>
        <w:t>become inadequate because of changes in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41"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231F20"/>
        </w:rPr>
        <w:t>conditions in our business. Any failure to maintain effective controls, or any difficulties encountered in their improvement, could harm our operating results or cause us to fail to meet our reporting obligations. Any failure to maintain effective internal control over financial reporting also could adversely affect the results of periodic management evaluations regarding the effectiveness of our internal control over financial reporting that we are required to include in our periodic reports we file with the SEC under Section 404 of the Sarbanes-Oxley Act. In the event that our internal control over financial reporting is perceived as inadequate or that we are unable to produce timely or accurate financial statements, investors may lose confidence in our operating results and our stock price could decline. In addition, if we are unable to continue to meet these requirements, we may not be able to remain listed on the NASDAQ Stock Market.</w:t>
      </w:r>
    </w:p>
    <w:p>
      <w:pPr>
        <w:spacing w:after="0" w:line="20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As a public company, we are required to comply with certain of these rules, which require management to certify financial and other information in this Quarterly Report on Form 10-Q and other quarterly and annual reports and provide an annual management report on the effectiveness of our internal control over financial reporting and our independent registered public accounting firm is required to formally attest to the effectiveness of our internal control over financial reporting. It is possible that in the future our independent registered public accounting firm may issue a report that is adverse in the event it is not satisfied with the level at which our controls are documented, designed or operating. Our remediation efforts may not enable us to avoid a material weakness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Market volatility may affect our stock price and the value of an investment in our common stock and could subject us to litigation.</w:t>
      </w:r>
    </w:p>
    <w:p>
      <w:pPr>
        <w:spacing w:after="0" w:line="247" w:lineRule="exact"/>
        <w:rPr>
          <w:sz w:val="20"/>
          <w:szCs w:val="20"/>
          <w:color w:val="auto"/>
        </w:rPr>
      </w:pPr>
    </w:p>
    <w:p>
      <w:pPr>
        <w:ind w:right="280" w:firstLine="405"/>
        <w:spacing w:after="0" w:line="262" w:lineRule="auto"/>
        <w:rPr>
          <w:sz w:val="20"/>
          <w:szCs w:val="20"/>
          <w:color w:val="auto"/>
        </w:rPr>
      </w:pPr>
      <w:r>
        <w:rPr>
          <w:rFonts w:ascii="Arial" w:cs="Arial" w:eastAsia="Arial" w:hAnsi="Arial"/>
          <w:sz w:val="18"/>
          <w:szCs w:val="18"/>
          <w:color w:val="231F20"/>
        </w:rPr>
        <w:t>The trading price of our common stock has been, and may continue to be, subject to significant fluctuations in response to a number of factors, most of which we cannot predict or control, including:</w:t>
      </w:r>
    </w:p>
    <w:p>
      <w:pPr>
        <w:spacing w:after="0" w:line="88" w:lineRule="exact"/>
        <w:rPr>
          <w:sz w:val="20"/>
          <w:szCs w:val="20"/>
          <w:color w:val="auto"/>
        </w:rPr>
      </w:pPr>
    </w:p>
    <w:p>
      <w:pPr>
        <w:ind w:left="660" w:right="72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of new solutions, services or technologies, commercial relationships, acquisitions or other events by us or our competitors;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securities of similar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variations in our operating results, or the operating results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additions or departures of any of our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changing legal or regulatory developments in the United States and other countries;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press and in online investor communities.</w:t>
      </w:r>
    </w:p>
    <w:p>
      <w:pPr>
        <w:spacing w:after="0" w:line="333"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actual operating results may differ significantly from our guidance.</w:t>
      </w:r>
    </w:p>
    <w:p>
      <w:pPr>
        <w:spacing w:after="0" w:line="247" w:lineRule="exact"/>
        <w:rPr>
          <w:sz w:val="20"/>
          <w:szCs w:val="20"/>
          <w:color w:val="auto"/>
        </w:rPr>
      </w:pPr>
    </w:p>
    <w:p>
      <w:pPr>
        <w:jc w:val="both"/>
        <w:ind w:right="40" w:firstLine="405"/>
        <w:spacing w:after="0" w:line="256" w:lineRule="auto"/>
        <w:rPr>
          <w:sz w:val="20"/>
          <w:szCs w:val="20"/>
          <w:color w:val="auto"/>
        </w:rPr>
      </w:pPr>
      <w:r>
        <w:rPr>
          <w:rFonts w:ascii="Arial" w:cs="Arial" w:eastAsia="Arial" w:hAnsi="Arial"/>
          <w:sz w:val="18"/>
          <w:szCs w:val="18"/>
          <w:color w:val="231F20"/>
        </w:rPr>
        <w:t>From time to time, we have released, and may continue to release guidance in our quarterly earnings conference calls, quarterly earnings releases, or otherwise, regarding our future performance that represents our management's estimates as of the date of release. This guidance, which includes forward-looking statements,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41" w:right="25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231F20"/>
        </w:rPr>
        <w:t>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204"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207"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231F20"/>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204"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231F20"/>
        </w:rPr>
        <w:t>Any failure to successfully implement our operating strategy or the occurrence of any of the events or circumstances set forth in this “Risk Factors” section in this Quarterly Report on Form 10-Q could result in the actual operating results being different from our guidance, and the differences may be adverse and material.</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Concentration of ownership among our existing executive officers, directors and holders of 10% or more of our outstanding common stock may prevent new investors from influencing significant corporate decisions.</w:t>
      </w:r>
    </w:p>
    <w:p>
      <w:pPr>
        <w:spacing w:after="0" w:line="175"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As of September 30, 2016, our executive officers, directors and holders of 10% or more of our outstanding common stock beneficially own, in the aggregate, approximately 25% of our outstanding common stock. As a result, such persons, acting together, have significant ability to control our management and affairs and substantially all matters submitted to our stockholders for approval, including the election and removal of directors and approval of any significant transaction. These persons also have significant ability to control our management and business affairs.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Future sales of shares by existing stockholders could cause our stock price to decline.</w:t>
      </w:r>
    </w:p>
    <w:p>
      <w:pPr>
        <w:spacing w:after="0" w:line="24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The market price of shares of our common stock could decline as a result of substantial sales of our common stock, particularly sales by our directors, executive officers, employees and significant stockholders, a large number of shares of our common stock becoming available for sale, or the perception in the market that holders of a large number of shares intend to sell their shares. As of September 30, 2016, we had approximately 35.7 million shares of our common stock outstanding. Certain holders of shares of common stock have rights, subject to some conditions, to require us to file registration statements covering their shares or to include these shares in registration statements that we may file for ourselves or other stockholders.</w:t>
      </w:r>
    </w:p>
    <w:p>
      <w:pPr>
        <w:spacing w:after="0" w:line="209" w:lineRule="exact"/>
        <w:rPr>
          <w:sz w:val="20"/>
          <w:szCs w:val="20"/>
          <w:color w:val="auto"/>
        </w:rPr>
      </w:pPr>
    </w:p>
    <w:p>
      <w:pPr>
        <w:jc w:val="both"/>
        <w:ind w:right="20" w:firstLine="405"/>
        <w:spacing w:after="0" w:line="253" w:lineRule="auto"/>
        <w:rPr>
          <w:sz w:val="20"/>
          <w:szCs w:val="20"/>
          <w:color w:val="auto"/>
        </w:rPr>
      </w:pPr>
      <w:r>
        <w:rPr>
          <w:rFonts w:ascii="Arial" w:cs="Arial" w:eastAsia="Arial" w:hAnsi="Arial"/>
          <w:sz w:val="18"/>
          <w:szCs w:val="18"/>
          <w:color w:val="231F20"/>
        </w:rPr>
        <w:t>In addition, as of September 30, 2016, we had 0.5 million of outstanding restricted stock units and options to purchase approximately 7.7 million shares of common stock. If such RSUs are released or options are exercised, these additional shares would become available for sale. As of September 30, 2016, we had an aggregate of 1.5 million shares of our common stock reserved for future issuance under our 2012 Equity Incentive Plan, which can be freely sold in the public market upon issuance. If a large number of these shares are sold in the public market, the sales could reduce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41" w:right="25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do not intend to pay dividends on our common stock and therefore any returns will be limited to the value of our stock.</w:t>
      </w:r>
    </w:p>
    <w:p>
      <w:pPr>
        <w:spacing w:after="0" w:line="24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value of their stock.</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75" w:lineRule="exact"/>
        <w:rPr>
          <w:sz w:val="20"/>
          <w:szCs w:val="20"/>
          <w:color w:val="auto"/>
        </w:rPr>
      </w:pPr>
    </w:p>
    <w:p>
      <w:pPr>
        <w:ind w:right="100" w:firstLine="405"/>
        <w:spacing w:after="0" w:line="262" w:lineRule="auto"/>
        <w:rPr>
          <w:sz w:val="20"/>
          <w:szCs w:val="20"/>
          <w:color w:val="auto"/>
        </w:rPr>
      </w:pPr>
      <w:r>
        <w:rPr>
          <w:rFonts w:ascii="Arial" w:cs="Arial" w:eastAsia="Arial" w:hAnsi="Arial"/>
          <w:sz w:val="18"/>
          <w:szCs w:val="18"/>
          <w:color w:val="231F20"/>
        </w:rPr>
        <w:t>Our amended and restated certificate of incorporation and amended and restated bylaws contain provisions that may delay or prevent an acquisition of us or a change in our management. These provisions include:</w:t>
      </w:r>
    </w:p>
    <w:p>
      <w:pPr>
        <w:spacing w:after="0" w:line="88" w:lineRule="exact"/>
        <w:rPr>
          <w:sz w:val="20"/>
          <w:szCs w:val="20"/>
          <w:color w:val="auto"/>
        </w:rPr>
      </w:pPr>
    </w:p>
    <w:p>
      <w:pPr>
        <w:ind w:left="660" w:right="60" w:hanging="328"/>
        <w:spacing w:after="0" w:line="25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 which would increase the number of outstanding shares and could thwart a takeover attempt;</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classified board of directors whose members can only be dismissed for cause;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prohibition on actions by written consent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limitation on who may call a special meeting of stockholders;</w:t>
      </w:r>
    </w:p>
    <w:p>
      <w:pPr>
        <w:spacing w:after="0" w:line="117"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establishment of advance notice requirements for nominations for election to our board of directors or for proposing matters that can be acted upon at stockholder meetings;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requirement of at least two-thirds of the outstanding capital stock to amend any of the foregoing second through fifth provisions.</w:t>
      </w:r>
    </w:p>
    <w:p>
      <w:pPr>
        <w:spacing w:after="0" w:line="225"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231F20"/>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Unregistered Sales of Equity Securities and Use of Proceeds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3. Defaults upon Senior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5.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6. Exhibits</w:t>
      </w:r>
    </w:p>
    <w:p>
      <w:pPr>
        <w:spacing w:after="0" w:line="315"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231F20"/>
        </w:rPr>
        <w:t>See the Exhibit Index on the page immediately preceding the exhibits for a list of exhibits filed as part of this Quarterly Report on Form 10-Q, which Exhibit Index is incorporated herein by reference.</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41" w:right="25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88" w:lineRule="exact"/>
        <w:rPr>
          <w:sz w:val="20"/>
          <w:szCs w:val="20"/>
          <w:color w:val="auto"/>
        </w:rPr>
      </w:pPr>
    </w:p>
    <w:p>
      <w:pPr>
        <w:ind w:left="80" w:firstLine="432"/>
        <w:spacing w:after="0" w:line="262" w:lineRule="auto"/>
        <w:rPr>
          <w:sz w:val="20"/>
          <w:szCs w:val="20"/>
          <w:color w:val="auto"/>
        </w:rPr>
      </w:pPr>
      <w:r>
        <w:rPr>
          <w:rFonts w:ascii="Arial" w:cs="Arial" w:eastAsia="Arial" w:hAnsi="Arial"/>
          <w:sz w:val="18"/>
          <w:szCs w:val="18"/>
          <w:color w:val="231F20"/>
        </w:rPr>
        <w:t>Pursuant to the requirements of the Securities Exchange Act of 1934, the registrant has duly caused this report to be signed on its behalf by the undersigned, thereunto duly authorized, in the City of Redwood City, State of California on November 4, 2016.</w:t>
      </w:r>
    </w:p>
    <w:p>
      <w:pPr>
        <w:spacing w:after="0" w:line="336"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QUALYS, INC.</w:t>
      </w:r>
    </w:p>
    <w:p>
      <w:pPr>
        <w:spacing w:after="0" w:line="59"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 xml:space="preserve">By:  </w:t>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26035</wp:posOffset>
            </wp:positionV>
            <wp:extent cx="23583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6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 Philippe F. Courtot</w:t>
      </w:r>
    </w:p>
    <w:p>
      <w:pPr>
        <w:spacing w:after="0" w:line="45"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Title: Chairman, President and Chief</w:t>
      </w:r>
    </w:p>
    <w:p>
      <w:pPr>
        <w:ind w:left="7740"/>
        <w:spacing w:after="0"/>
        <w:rPr>
          <w:sz w:val="20"/>
          <w:szCs w:val="20"/>
          <w:color w:val="auto"/>
        </w:rPr>
      </w:pPr>
      <w:r>
        <w:rPr>
          <w:rFonts w:ascii="Arial" w:cs="Arial" w:eastAsia="Arial" w:hAnsi="Arial"/>
          <w:sz w:val="18"/>
          <w:szCs w:val="18"/>
          <w:color w:val="auto"/>
        </w:rPr>
        <w:t>Executive Officer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(principal executive officer)</w:t>
      </w:r>
    </w:p>
    <w:p>
      <w:pPr>
        <w:spacing w:after="0" w:line="159"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 xml:space="preserve">By:  </w:t>
      </w: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26035</wp:posOffset>
            </wp:positionV>
            <wp:extent cx="23583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6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 Melissa B. Fisher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Title: Chief Financial Officer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41" w:right="25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28"/>
          <w:szCs w:val="28"/>
          <w:color w:val="auto"/>
          <w:vertAlign w:val="superscript"/>
        </w:rPr>
        <w:t>+</w:t>
      </w:r>
    </w:p>
    <w:p>
      <w:pPr>
        <w:spacing w:after="0" w:line="3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31.1</w:t>
      </w: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31.2</w:t>
      </w: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32.1^</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32.2^</w:t>
      </w: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 INS</w:t>
      </w:r>
    </w:p>
    <w:p>
      <w:pPr>
        <w:spacing w:after="0" w:line="293" w:lineRule="exact"/>
        <w:rPr>
          <w:sz w:val="20"/>
          <w:szCs w:val="20"/>
          <w:color w:val="auto"/>
        </w:rPr>
      </w:pPr>
    </w:p>
    <w:p>
      <w:pPr>
        <w:ind w:left="380" w:hanging="345"/>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SCH</w:t>
      </w:r>
    </w:p>
    <w:p>
      <w:pPr>
        <w:spacing w:after="0" w:line="252" w:lineRule="exact"/>
        <w:rPr>
          <w:rFonts w:ascii="Arial" w:cs="Arial" w:eastAsia="Arial" w:hAnsi="Arial"/>
          <w:sz w:val="18"/>
          <w:szCs w:val="18"/>
          <w:color w:val="auto"/>
        </w:rPr>
      </w:pPr>
    </w:p>
    <w:p>
      <w:pPr>
        <w:ind w:left="380" w:hanging="345"/>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CAL</w:t>
      </w:r>
    </w:p>
    <w:p>
      <w:pPr>
        <w:spacing w:after="0" w:line="252" w:lineRule="exact"/>
        <w:rPr>
          <w:rFonts w:ascii="Arial" w:cs="Arial" w:eastAsia="Arial" w:hAnsi="Arial"/>
          <w:sz w:val="18"/>
          <w:szCs w:val="18"/>
          <w:color w:val="auto"/>
        </w:rPr>
      </w:pPr>
    </w:p>
    <w:p>
      <w:pPr>
        <w:ind w:left="380" w:hanging="345"/>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w:t>
      </w:r>
    </w:p>
    <w:p>
      <w:pPr>
        <w:spacing w:after="0" w:line="252" w:lineRule="exact"/>
        <w:rPr>
          <w:rFonts w:ascii="Arial" w:cs="Arial" w:eastAsia="Arial" w:hAnsi="Arial"/>
          <w:sz w:val="18"/>
          <w:szCs w:val="18"/>
          <w:color w:val="auto"/>
        </w:rPr>
      </w:pPr>
    </w:p>
    <w:p>
      <w:pPr>
        <w:ind w:left="380" w:hanging="345"/>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LAB</w:t>
      </w:r>
    </w:p>
    <w:p>
      <w:pPr>
        <w:spacing w:after="0" w:line="252" w:lineRule="exact"/>
        <w:rPr>
          <w:rFonts w:ascii="Arial" w:cs="Arial" w:eastAsia="Arial" w:hAnsi="Arial"/>
          <w:sz w:val="18"/>
          <w:szCs w:val="18"/>
          <w:color w:val="auto"/>
        </w:rPr>
      </w:pPr>
    </w:p>
    <w:p>
      <w:pPr>
        <w:ind w:left="380" w:hanging="345"/>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EXHIBIT INDEX</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wp:posOffset>
            </wp:positionV>
            <wp:extent cx="6080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367" w:lineRule="exact"/>
        <w:rPr>
          <w:sz w:val="20"/>
          <w:szCs w:val="20"/>
          <w:color w:val="auto"/>
        </w:rPr>
      </w:pPr>
    </w:p>
    <w:p>
      <w:pPr>
        <w:ind w:left="320" w:right="700" w:hanging="323"/>
        <w:spacing w:after="0" w:line="246" w:lineRule="auto"/>
        <w:rPr>
          <w:sz w:val="20"/>
          <w:szCs w:val="20"/>
          <w:color w:val="auto"/>
        </w:rPr>
      </w:pPr>
      <w:r>
        <w:rPr>
          <w:rFonts w:ascii="Arial" w:cs="Arial" w:eastAsia="Arial" w:hAnsi="Arial"/>
          <w:sz w:val="18"/>
          <w:szCs w:val="18"/>
          <w:color w:val="231F20"/>
        </w:rPr>
        <w:t>Qualys, Inc. 2016 Corporate Bonus Plan, as amended (incorporated herein by reference to Exhibit 10.3 to the Registrant’s Quarterly Report on Form 10-Q filed with the Commission on August 4, 2016)</w:t>
      </w:r>
    </w:p>
    <w:p>
      <w:pPr>
        <w:spacing w:after="0" w:line="237" w:lineRule="exact"/>
        <w:rPr>
          <w:sz w:val="20"/>
          <w:szCs w:val="20"/>
          <w:color w:val="auto"/>
        </w:rPr>
      </w:pPr>
    </w:p>
    <w:p>
      <w:pPr>
        <w:ind w:left="320" w:right="20" w:hanging="323"/>
        <w:spacing w:after="0" w:line="246" w:lineRule="auto"/>
        <w:rPr>
          <w:sz w:val="20"/>
          <w:szCs w:val="20"/>
          <w:color w:val="auto"/>
        </w:rPr>
      </w:pPr>
      <w:r>
        <w:rPr>
          <w:rFonts w:ascii="Arial" w:cs="Arial" w:eastAsia="Arial" w:hAnsi="Arial"/>
          <w:sz w:val="18"/>
          <w:szCs w:val="18"/>
          <w:color w:val="231F20"/>
        </w:rPr>
        <w:t>Certification of Chief Executive Officer pursuant to Rule 13a-14(a) or Rule 15d-14(a) of the Securities Exchange Act of 1934, as adopted pursuant to Section 302 of The Sarbanes-Oxley Act of 2002.</w:t>
      </w:r>
    </w:p>
    <w:p>
      <w:pPr>
        <w:spacing w:after="0" w:line="237" w:lineRule="exact"/>
        <w:rPr>
          <w:sz w:val="20"/>
          <w:szCs w:val="20"/>
          <w:color w:val="auto"/>
        </w:rPr>
      </w:pPr>
    </w:p>
    <w:p>
      <w:pPr>
        <w:ind w:left="320" w:right="80" w:hanging="323"/>
        <w:spacing w:after="0" w:line="246" w:lineRule="auto"/>
        <w:rPr>
          <w:sz w:val="20"/>
          <w:szCs w:val="20"/>
          <w:color w:val="auto"/>
        </w:rPr>
      </w:pPr>
      <w:r>
        <w:rPr>
          <w:rFonts w:ascii="Arial" w:cs="Arial" w:eastAsia="Arial" w:hAnsi="Arial"/>
          <w:sz w:val="18"/>
          <w:szCs w:val="18"/>
          <w:color w:val="231F20"/>
        </w:rPr>
        <w:t>Certification of Chief Financial Officer pursuant to Rule 13a-14(a) or Rule 15d-14(a) of the Securities Exchange Act of 1934, as adopted pursuant to Section 302 of The Sarbanes-Oxley Act of 2002.</w:t>
      </w:r>
    </w:p>
    <w:p>
      <w:pPr>
        <w:spacing w:after="0" w:line="237" w:lineRule="exact"/>
        <w:rPr>
          <w:sz w:val="20"/>
          <w:szCs w:val="20"/>
          <w:color w:val="auto"/>
        </w:rPr>
      </w:pPr>
    </w:p>
    <w:p>
      <w:pPr>
        <w:ind w:left="320" w:right="20" w:hanging="323"/>
        <w:spacing w:after="0" w:line="246" w:lineRule="auto"/>
        <w:rPr>
          <w:sz w:val="20"/>
          <w:szCs w:val="20"/>
          <w:color w:val="auto"/>
        </w:rPr>
      </w:pPr>
      <w:r>
        <w:rPr>
          <w:rFonts w:ascii="Arial" w:cs="Arial" w:eastAsia="Arial" w:hAnsi="Arial"/>
          <w:sz w:val="18"/>
          <w:szCs w:val="18"/>
          <w:color w:val="231F20"/>
        </w:rPr>
        <w:t>Certification of Chief Executive Officer pursuant to Rule 13a-14(b) or Rule 15d-14(b) of the Securities Exchange Act of 1934 and 18 U.S.C. Section 1350 as adopted pursuant to Section 906 of The Sarbanes-Oxley Act of 2002.</w:t>
      </w:r>
    </w:p>
    <w:p>
      <w:pPr>
        <w:spacing w:after="0" w:line="278" w:lineRule="exact"/>
        <w:rPr>
          <w:sz w:val="20"/>
          <w:szCs w:val="20"/>
          <w:color w:val="auto"/>
        </w:rPr>
      </w:pPr>
    </w:p>
    <w:p>
      <w:pPr>
        <w:ind w:left="320" w:right="80" w:hanging="323"/>
        <w:spacing w:after="0" w:line="246" w:lineRule="auto"/>
        <w:rPr>
          <w:sz w:val="20"/>
          <w:szCs w:val="20"/>
          <w:color w:val="auto"/>
        </w:rPr>
      </w:pPr>
      <w:r>
        <w:rPr>
          <w:rFonts w:ascii="Arial" w:cs="Arial" w:eastAsia="Arial" w:hAnsi="Arial"/>
          <w:sz w:val="18"/>
          <w:szCs w:val="18"/>
          <w:color w:val="auto"/>
        </w:rPr>
        <w:t>Certification of Chief Financial Officer pursuant to Rule 13a-14(b) or Rule 15d-14(b) of the Securities Exchange Act of 1934 and 18 U.S.C. Section 1350 as adopted pursuant to Section 906 of The Sarbanes-Oxley Act of 2002.</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231F20"/>
        </w:rPr>
        <w:t>XBRL Instance Document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Schema Document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Calculation Linkbase Document.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Definition Linkbase Document.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Labels Linkbase Document.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Presentation Linkbase Document.</w:t>
      </w:r>
    </w:p>
    <w:p>
      <w:pPr>
        <w:spacing w:after="0" w:line="200" w:lineRule="exact"/>
        <w:rPr>
          <w:sz w:val="20"/>
          <w:szCs w:val="20"/>
          <w:color w:val="auto"/>
        </w:rPr>
      </w:pPr>
    </w:p>
    <w:p>
      <w:pPr>
        <w:sectPr>
          <w:pgSz w:w="11900" w:h="16838" w:orient="portrait"/>
          <w:cols w:equalWidth="0" w:num="2">
            <w:col w:w="1480" w:space="400"/>
            <w:col w:w="9400"/>
          </w:cols>
          <w:pgMar w:left="240" w:top="141" w:right="379" w:bottom="1440" w:gutter="0" w:footer="0" w:header="0"/>
        </w:sectPr>
      </w:pPr>
    </w:p>
    <w:p>
      <w:pPr>
        <w:spacing w:after="0" w:line="93" w:lineRule="exact"/>
        <w:rPr>
          <w:sz w:val="20"/>
          <w:szCs w:val="20"/>
          <w:color w:val="auto"/>
        </w:rPr>
      </w:pPr>
    </w:p>
    <w:p>
      <w:pPr>
        <w:ind w:left="640" w:hanging="632"/>
        <w:spacing w:after="0" w:line="210" w:lineRule="auto"/>
        <w:tabs>
          <w:tab w:leader="none" w:pos="154" w:val="left"/>
        </w:tabs>
        <w:numPr>
          <w:ilvl w:val="0"/>
          <w:numId w:val="21"/>
        </w:numPr>
        <w:rPr>
          <w:rFonts w:ascii="Arial" w:cs="Arial" w:eastAsia="Arial" w:hAnsi="Arial"/>
          <w:sz w:val="29"/>
          <w:szCs w:val="29"/>
          <w:color w:val="231F20"/>
          <w:vertAlign w:val="superscript"/>
        </w:rPr>
      </w:pPr>
      <w:r>
        <w:rPr>
          <w:rFonts w:ascii="Arial" w:cs="Arial" w:eastAsia="Arial" w:hAnsi="Arial"/>
          <w:sz w:val="18"/>
          <w:szCs w:val="18"/>
          <w:color w:val="231F20"/>
        </w:rPr>
        <w:t>Portions of this exhibit have been omitted due to a determination by the Securities and Exchange Commission that these portions should be granted confidential treatment.</w:t>
      </w:r>
    </w:p>
    <w:p>
      <w:pPr>
        <w:spacing w:after="0" w:line="256" w:lineRule="exact"/>
        <w:rPr>
          <w:sz w:val="20"/>
          <w:szCs w:val="20"/>
          <w:color w:val="auto"/>
        </w:rPr>
      </w:pPr>
    </w:p>
    <w:p>
      <w:pPr>
        <w:ind w:left="500" w:right="20" w:hanging="492"/>
        <w:spacing w:after="0" w:line="254" w:lineRule="auto"/>
        <w:tabs>
          <w:tab w:leader="none" w:pos="50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Exhibits 32.1 and 32.2 are being furnished and shall not be deemed to be “filed” for purposes of Section 18 of the Securities Exchange Act of 1934, as amended (the “Exchange Act”), or otherwise subject to the liability of that section, nor shall such exhibits be deemed to be incorporated by reference in any registration statement or other document filed under the Securities Act of 1933, as amended, or the Exchange Act, except as otherwise specifically stated in such filing.</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80"/>
          </w:cols>
          <w:pgMar w:left="240" w:top="141" w:right="379" w:bottom="1440" w:gutter="0" w:footer="0" w:header="0"/>
          <w:type w:val="continuous"/>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Philippe F. Courtot, certify that:</w:t>
      </w:r>
    </w:p>
    <w:p>
      <w:pPr>
        <w:spacing w:after="0" w:line="225"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340" w:hanging="332"/>
        <w:spacing w:after="0" w:line="250"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9" w:lineRule="exact"/>
        <w:rPr>
          <w:rFonts w:ascii="Arial" w:cs="Arial" w:eastAsia="Arial" w:hAnsi="Arial"/>
          <w:sz w:val="18"/>
          <w:szCs w:val="18"/>
          <w:color w:val="auto"/>
        </w:rPr>
      </w:pPr>
    </w:p>
    <w:p>
      <w:pPr>
        <w:jc w:val="both"/>
        <w:ind w:left="980" w:hanging="324"/>
        <w:spacing w:after="0" w:line="250" w:lineRule="auto"/>
        <w:tabs>
          <w:tab w:leader="none" w:pos="939"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2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44"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980" w:right="20" w:hanging="324"/>
        <w:spacing w:after="0" w:line="250" w:lineRule="auto"/>
        <w:tabs>
          <w:tab w:leader="none" w:pos="94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80" w:hanging="324"/>
        <w:spacing w:after="0" w:line="250" w:lineRule="auto"/>
        <w:tabs>
          <w:tab w:leader="none" w:pos="93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20" w:hanging="324"/>
        <w:spacing w:after="0" w:line="262" w:lineRule="auto"/>
        <w:tabs>
          <w:tab w:leader="none" w:pos="94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November 4, 2016</w:t>
      </w:r>
    </w:p>
    <w:p>
      <w:pPr>
        <w:spacing w:after="0" w:line="2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28555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Melissa B. Fisher, certify that:</w:t>
      </w:r>
    </w:p>
    <w:p>
      <w:pPr>
        <w:spacing w:after="0" w:line="225"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340" w:hanging="332"/>
        <w:spacing w:after="0" w:line="250"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9" w:lineRule="exact"/>
        <w:rPr>
          <w:rFonts w:ascii="Arial" w:cs="Arial" w:eastAsia="Arial" w:hAnsi="Arial"/>
          <w:sz w:val="18"/>
          <w:szCs w:val="18"/>
          <w:color w:val="auto"/>
        </w:rPr>
      </w:pPr>
    </w:p>
    <w:p>
      <w:pPr>
        <w:jc w:val="both"/>
        <w:ind w:left="980" w:hanging="324"/>
        <w:spacing w:after="0" w:line="250" w:lineRule="auto"/>
        <w:tabs>
          <w:tab w:leader="none" w:pos="939"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2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44"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980" w:right="20" w:hanging="324"/>
        <w:spacing w:after="0" w:line="250" w:lineRule="auto"/>
        <w:tabs>
          <w:tab w:leader="none" w:pos="941"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80" w:hanging="324"/>
        <w:spacing w:after="0" w:line="250" w:lineRule="auto"/>
        <w:tabs>
          <w:tab w:leader="none" w:pos="93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20" w:hanging="324"/>
        <w:spacing w:after="0" w:line="262" w:lineRule="auto"/>
        <w:tabs>
          <w:tab w:leader="none" w:pos="94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9"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November 4, 2016</w:t>
      </w:r>
    </w:p>
    <w:p>
      <w:pPr>
        <w:spacing w:after="0" w:line="28"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36830</wp:posOffset>
            </wp:positionV>
            <wp:extent cx="23323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Melissa B. Fisher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32" w:lineRule="exact"/>
        <w:rPr>
          <w:sz w:val="20"/>
          <w:szCs w:val="20"/>
          <w:color w:val="auto"/>
        </w:rPr>
      </w:pPr>
    </w:p>
    <w:p>
      <w:pPr>
        <w:jc w:val="center"/>
        <w:ind w:left="260" w:right="2400"/>
        <w:spacing w:after="0" w:line="263" w:lineRule="auto"/>
        <w:rPr>
          <w:sz w:val="20"/>
          <w:szCs w:val="20"/>
          <w:color w:val="auto"/>
        </w:rPr>
      </w:pPr>
      <w:r>
        <w:rPr>
          <w:rFonts w:ascii="Arial" w:cs="Arial" w:eastAsia="Arial" w:hAnsi="Arial"/>
          <w:sz w:val="18"/>
          <w:szCs w:val="18"/>
          <w:b w:val="1"/>
          <w:bCs w:val="1"/>
          <w:color w:val="auto"/>
        </w:rPr>
        <w:t>CERTIFICATION OF CHIEF EXECUTIVE OFFICER PURSUANT TO RULE 13a-14(b) OR RULE 15d-14(b) OF THE SECURITIES EXCHANGE ACT OF 1934 AND 18 U.S.C. SECTION 1350</w:t>
      </w:r>
    </w:p>
    <w:p>
      <w:pPr>
        <w:spacing w:after="0" w:line="200" w:lineRule="exact"/>
        <w:rPr>
          <w:sz w:val="20"/>
          <w:szCs w:val="20"/>
          <w:color w:val="auto"/>
        </w:rPr>
      </w:pPr>
    </w:p>
    <w:p>
      <w:pPr>
        <w:spacing w:after="0" w:line="24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September 30, 2016, as filed with the Securities and Exchange Commission on the date hereof (the “Report”), I, Philippe F. Courtot, Chairman, President and Chief Executive Officer of the Company, certify, pursuant to 18 U.S.C. § 1350, as adopted pursuant to § 906 of the Sarbanes-Oxley Act of 2002, that, to the best of my knowledge:</w:t>
      </w:r>
    </w:p>
    <w:p>
      <w:pPr>
        <w:spacing w:after="0" w:line="150" w:lineRule="exact"/>
        <w:rPr>
          <w:sz w:val="20"/>
          <w:szCs w:val="20"/>
          <w:color w:val="auto"/>
        </w:rPr>
      </w:pPr>
    </w:p>
    <w:p>
      <w:pPr>
        <w:ind w:left="780" w:hanging="272"/>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November 4, 2016</w:t>
      </w:r>
    </w:p>
    <w:p>
      <w:pPr>
        <w:spacing w:after="0" w:line="2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28555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63" w:name="page64"/>
    <w:bookmarkEnd w:id="63"/>
    <w:p>
      <w:pPr>
        <w:ind w:left="10420"/>
        <w:spacing w:after="0"/>
        <w:rPr>
          <w:sz w:val="20"/>
          <w:szCs w:val="20"/>
          <w:color w:val="auto"/>
        </w:rPr>
      </w:pPr>
      <w:r>
        <w:rPr>
          <w:rFonts w:ascii="Arial" w:cs="Arial" w:eastAsia="Arial" w:hAnsi="Arial"/>
          <w:sz w:val="17"/>
          <w:szCs w:val="17"/>
          <w:b w:val="1"/>
          <w:bCs w:val="1"/>
          <w:color w:val="auto"/>
        </w:rPr>
        <w:t>Exhibit 32.2</w:t>
      </w:r>
    </w:p>
    <w:p>
      <w:pPr>
        <w:spacing w:after="0" w:line="250" w:lineRule="exact"/>
        <w:rPr>
          <w:sz w:val="20"/>
          <w:szCs w:val="20"/>
          <w:color w:val="auto"/>
        </w:rPr>
      </w:pPr>
    </w:p>
    <w:p>
      <w:pPr>
        <w:jc w:val="center"/>
        <w:ind w:left="260" w:right="2400"/>
        <w:spacing w:after="0" w:line="269" w:lineRule="auto"/>
        <w:rPr>
          <w:sz w:val="20"/>
          <w:szCs w:val="20"/>
          <w:color w:val="auto"/>
        </w:rPr>
      </w:pPr>
      <w:r>
        <w:rPr>
          <w:rFonts w:ascii="Arial" w:cs="Arial" w:eastAsia="Arial" w:hAnsi="Arial"/>
          <w:sz w:val="18"/>
          <w:szCs w:val="18"/>
          <w:b w:val="1"/>
          <w:bCs w:val="1"/>
          <w:color w:val="auto"/>
        </w:rPr>
        <w:t>CERTIFICATION OF CHIEF FINANCIAL OFFICER PURSUANT TO RULE 13a-14(b) OR RULE 15d-14(b) OF THE SECURITIES EXCHANGE ACT OF 1934 AND 18 U.S.C. SECTION 1350</w:t>
      </w:r>
    </w:p>
    <w:p>
      <w:pPr>
        <w:spacing w:after="0" w:line="200" w:lineRule="exact"/>
        <w:rPr>
          <w:sz w:val="20"/>
          <w:szCs w:val="20"/>
          <w:color w:val="auto"/>
        </w:rPr>
      </w:pP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September 30, 2016, as filed with the Securities and Exchange Commission on the date hereof (the “Report”), I, Melissa B. Fisher, Chief Financial Officer of the Company, certify, pursuant to 18 U.S.C. § 1350, as adopted pursuant to § 906 of the Sarbanes-Oxley Act of 2002, that, to the best of my knowledge:</w:t>
      </w:r>
    </w:p>
    <w:p>
      <w:pPr>
        <w:spacing w:after="0" w:line="148" w:lineRule="exact"/>
        <w:rPr>
          <w:sz w:val="20"/>
          <w:szCs w:val="20"/>
          <w:color w:val="auto"/>
        </w:rPr>
      </w:pPr>
    </w:p>
    <w:p>
      <w:pPr>
        <w:ind w:left="780" w:hanging="272"/>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4, 2016</w:t>
      </w:r>
    </w:p>
    <w:p>
      <w:pPr>
        <w:spacing w:after="0" w:line="28"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36830</wp:posOffset>
            </wp:positionV>
            <wp:extent cx="26498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Melissa B. Fisher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sectPr>
      <w:pgSz w:w="11900" w:h="16838" w:orient="portrait"/>
      <w:cols w:equalWidth="0" w:num="1">
        <w:col w:w="11420"/>
      </w:cols>
      <w:pgMar w:left="240" w:top="58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o"/>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decimal"/>
      <w:start w:val="101"/>
    </w:lvl>
  </w:abstractNum>
  <w:abstractNum w:abstractNumId="16">
    <w:nsid w:val="333AB105"/>
    <w:multiLevelType w:val="hybridMultilevel"/>
    <w:lvl w:ilvl="0">
      <w:lvlJc w:val="left"/>
      <w:lvlText w:val="%1"/>
      <w:numFmt w:val="decimal"/>
      <w:start w:val="101"/>
    </w:lvl>
  </w:abstractNum>
  <w:abstractNum w:abstractNumId="17">
    <w:nsid w:val="721DA317"/>
    <w:multiLevelType w:val="hybridMultilevel"/>
    <w:lvl w:ilvl="0">
      <w:lvlJc w:val="left"/>
      <w:lvlText w:val="%1"/>
      <w:numFmt w:val="decimal"/>
      <w:start w:val="101"/>
    </w:lvl>
  </w:abstractNum>
  <w:abstractNum w:abstractNumId="18">
    <w:nsid w:val="2443A858"/>
    <w:multiLevelType w:val="hybridMultilevel"/>
    <w:lvl w:ilvl="0">
      <w:lvlJc w:val="left"/>
      <w:lvlText w:val="%1"/>
      <w:numFmt w:val="decimal"/>
      <w:start w:val="101"/>
    </w:lvl>
  </w:abstractNum>
  <w:abstractNum w:abstractNumId="19">
    <w:nsid w:val="2D1D5AE9"/>
    <w:multiLevelType w:val="hybridMultilevel"/>
    <w:lvl w:ilvl="0">
      <w:lvlJc w:val="left"/>
      <w:lvlText w:val="%1"/>
      <w:numFmt w:val="decimal"/>
      <w:start w:val="10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decimal"/>
      <w:start w:val="2"/>
    </w:lvl>
  </w:abstractNum>
  <w:abstractNum w:abstractNumId="25">
    <w:nsid w:val="B03E0C6"/>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2019-12-29T10:21:20Z</dcterms:created>
  <dcterms:modified xsi:type="dcterms:W3CDTF">2019-12-29T10:21:20Z</dcterms:modified>
</cp:coreProperties>
</file>