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5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4" w:lineRule="exact"/>
        <w:rPr>
          <w:sz w:val="24"/>
          <w:szCs w:val="24"/>
          <w:color w:val="auto"/>
        </w:rPr>
      </w:pPr>
    </w:p>
    <w:p>
      <w:pPr>
        <w:ind w:left="380" w:hanging="345"/>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2"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For the Quarterly Period Ended June 30, 2013</w:t>
      </w:r>
    </w:p>
    <w:p>
      <w:pPr>
        <w:spacing w:after="0" w:line="365" w:lineRule="exact"/>
        <w:rPr>
          <w:sz w:val="24"/>
          <w:szCs w:val="24"/>
          <w:color w:val="auto"/>
        </w:rPr>
      </w:pPr>
    </w:p>
    <w:p>
      <w:pPr>
        <w:ind w:left="540" w:hanging="505"/>
        <w:spacing w:after="0"/>
        <w:tabs>
          <w:tab w:leader="none" w:pos="5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2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2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0"/>
        </w:trPr>
        <w:tc>
          <w:tcPr>
            <w:tcW w:w="2160" w:type="dxa"/>
            <w:vAlign w:val="bottom"/>
          </w:tcPr>
          <w:p>
            <w:pPr>
              <w:spacing w:after="0"/>
              <w:rPr>
                <w:sz w:val="24"/>
                <w:szCs w:val="24"/>
                <w:color w:val="auto"/>
              </w:rPr>
            </w:pPr>
          </w:p>
        </w:tc>
        <w:tc>
          <w:tcPr>
            <w:tcW w:w="6140" w:type="dxa"/>
            <w:vAlign w:val="bottom"/>
          </w:tcPr>
          <w:p>
            <w:pPr>
              <w:jc w:val="center"/>
              <w:ind w:right="1833"/>
              <w:spacing w:after="0" w:line="439" w:lineRule="exact"/>
              <w:rPr>
                <w:sz w:val="20"/>
                <w:szCs w:val="20"/>
                <w:color w:val="auto"/>
              </w:rPr>
            </w:pPr>
            <w:r>
              <w:rPr>
                <w:rFonts w:ascii="Arial" w:cs="Arial" w:eastAsia="Arial" w:hAnsi="Arial"/>
                <w:sz w:val="40"/>
                <w:szCs w:val="40"/>
                <w:b w:val="1"/>
                <w:bCs w:val="1"/>
                <w:color w:val="231F20"/>
                <w:w w:val="97"/>
              </w:rPr>
              <w:t>QUALYS, INC.</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33"/>
              <w:spacing w:after="0" w:line="151"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3"/>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11"/>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202"/>
        </w:trPr>
        <w:tc>
          <w:tcPr>
            <w:tcW w:w="2160" w:type="dxa"/>
            <w:vAlign w:val="bottom"/>
          </w:tcPr>
          <w:p>
            <w:pPr>
              <w:spacing w:after="0"/>
              <w:rPr>
                <w:sz w:val="17"/>
                <w:szCs w:val="17"/>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73"/>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13"/>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94"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1440" w:gutter="0" w:footer="0" w:header="0"/>
          <w:type w:val="continuous"/>
        </w:sectPr>
      </w:pPr>
    </w:p>
    <w:p>
      <w:pPr>
        <w:spacing w:after="0" w:line="189"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68"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2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2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2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No </w:t>
      </w:r>
      <w:r>
        <w:rPr>
          <w:rFonts w:ascii="Times New Roman" w:cs="Times New Roman" w:eastAsia="Times New Roman" w:hAnsi="Times New Roman"/>
          <w:sz w:val="16"/>
          <w:szCs w:val="16"/>
          <w:color w:val="auto"/>
        </w:rPr>
        <w:t>x</w:t>
      </w:r>
    </w:p>
    <w:p>
      <w:pPr>
        <w:spacing w:after="0" w:line="166" w:lineRule="exact"/>
        <w:rPr>
          <w:sz w:val="24"/>
          <w:szCs w:val="24"/>
          <w:color w:val="auto"/>
        </w:rPr>
      </w:pPr>
    </w:p>
    <w:p>
      <w:pPr>
        <w:sectPr>
          <w:pgSz w:w="11900" w:h="16838" w:orient="portrait"/>
          <w:cols w:equalWidth="0" w:num="2">
            <w:col w:w="8780" w:space="160"/>
            <w:col w:w="2400"/>
          </w:cols>
          <w:pgMar w:left="240" w:top="22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July 31, 2013 was 31,999,805.</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51"/>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6260" w:type="dxa"/>
            <w:vAlign w:val="bottom"/>
            <w:tcBorders>
              <w:bottom w:val="single" w:sz="8" w:color="0000FF"/>
            </w:tcBorders>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June 30, 2013 and December 31, 2012</w:t>
              </w:r>
            </w:hyperlink>
          </w:p>
        </w:tc>
        <w:tc>
          <w:tcPr>
            <w:tcW w:w="3440" w:type="dxa"/>
            <w:vAlign w:val="bottom"/>
            <w:gridSpan w:val="5"/>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and six months ended June 30, 2013 and 2012</w:t>
              </w:r>
            </w:hyperlink>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Comprehensive Income (Loss) for the three and six months ended June 30, 2013 and 2012</w:t>
              </w:r>
            </w:hyperlink>
          </w:p>
        </w:tc>
        <w:tc>
          <w:tcPr>
            <w:tcW w:w="80" w:type="dxa"/>
            <w:vAlign w:val="bottom"/>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38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six months ended June 30, 2013 and 2012</w:t>
              </w:r>
            </w:hyperlink>
          </w:p>
        </w:tc>
        <w:tc>
          <w:tcPr>
            <w:tcW w:w="2080" w:type="dxa"/>
            <w:vAlign w:val="bottom"/>
            <w:tcBorders>
              <w:top w:val="single" w:sz="8" w:color="0000FF"/>
            </w:tcBorders>
            <w:gridSpan w:val="2"/>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top w:val="single" w:sz="8" w:color="0000FF"/>
              <w:bottom w:val="single" w:sz="8" w:color="0000FF"/>
            </w:tcBorders>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24</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41</w:t>
              </w:r>
            </w:hyperlink>
          </w:p>
        </w:tc>
        <w:tc>
          <w:tcPr>
            <w:tcW w:w="200" w:type="dxa"/>
            <w:vAlign w:val="bottom"/>
          </w:tcPr>
          <w:p>
            <w:pPr>
              <w:spacing w:after="0"/>
              <w:rPr>
                <w:sz w:val="19"/>
                <w:szCs w:val="19"/>
                <w:color w:val="auto"/>
              </w:rPr>
            </w:pPr>
          </w:p>
        </w:tc>
      </w:tr>
      <w:tr>
        <w:trPr>
          <w:trHeight w:val="270"/>
        </w:trPr>
        <w:tc>
          <w:tcPr>
            <w:tcW w:w="1140" w:type="dxa"/>
            <w:vAlign w:val="bottom"/>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Pr>
          <w:p>
            <w:pPr>
              <w:spacing w:after="0"/>
              <w:rPr>
                <w:sz w:val="23"/>
                <w:szCs w:val="23"/>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Pr>
          <w:p>
            <w:pPr>
              <w:spacing w:after="0"/>
              <w:rPr>
                <w:sz w:val="23"/>
                <w:szCs w:val="23"/>
                <w:color w:val="auto"/>
              </w:rPr>
            </w:pPr>
          </w:p>
        </w:tc>
      </w:tr>
      <w:tr>
        <w:trPr>
          <w:trHeight w:val="197"/>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65">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65">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66</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21" w:right="3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2012</w:t>
            </w:r>
          </w:p>
        </w:tc>
      </w:tr>
      <w:tr>
        <w:trPr>
          <w:trHeight w:val="278"/>
        </w:trPr>
        <w:tc>
          <w:tcPr>
            <w:tcW w:w="7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34,885</w:t>
            </w:r>
          </w:p>
        </w:tc>
      </w:tr>
      <w:tr>
        <w:trPr>
          <w:trHeight w:val="266"/>
        </w:trPr>
        <w:tc>
          <w:tcPr>
            <w:tcW w:w="76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37,758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83,547</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$348 and $331 at June 30, 2013 and December 31, 2012, respectively</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24,545</w:t>
            </w:r>
          </w:p>
        </w:tc>
      </w:tr>
      <w:tr>
        <w:trPr>
          <w:trHeight w:val="266"/>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4,883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4,377</w:t>
            </w:r>
          </w:p>
        </w:tc>
      </w:tr>
      <w:tr>
        <w:trPr>
          <w:trHeight w:val="254"/>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147,354</w:t>
            </w: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22,526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18,148</w:t>
            </w: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2,811</w:t>
            </w: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r>
      <w:tr>
        <w:trPr>
          <w:trHeight w:val="281"/>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180,299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170,318</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w:t>
            </w:r>
          </w:p>
        </w:tc>
      </w:tr>
      <w:tr>
        <w:trPr>
          <w:trHeight w:val="266"/>
        </w:trPr>
        <w:tc>
          <w:tcPr>
            <w:tcW w:w="76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7,803</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56,497</w:t>
            </w:r>
          </w:p>
        </w:tc>
      </w:tr>
      <w:tr>
        <w:trPr>
          <w:trHeight w:val="266"/>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r>
      <w:tr>
        <w:trPr>
          <w:trHeight w:val="254"/>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67,514</w:t>
            </w: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8,823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8,616</w:t>
            </w: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1,231</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250"/>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84,064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78,763</w:t>
            </w: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6"/>
        </w:trPr>
        <w:tc>
          <w:tcPr>
            <w:tcW w:w="76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8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w:t>
            </w: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2"/>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2013 and December 31, 2012</w:t>
            </w:r>
          </w:p>
        </w:tc>
        <w:tc>
          <w:tcPr>
            <w:tcW w:w="3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31,988,384 and 31,420,028 shares issued and</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8"/>
        </w:trPr>
        <w:tc>
          <w:tcPr>
            <w:tcW w:w="7660" w:type="dxa"/>
            <w:vAlign w:val="bottom"/>
          </w:tcPr>
          <w:p>
            <w:pPr>
              <w:ind w:left="280"/>
              <w:spacing w:after="0"/>
              <w:rPr>
                <w:sz w:val="20"/>
                <w:szCs w:val="20"/>
                <w:color w:val="auto"/>
              </w:rPr>
            </w:pPr>
            <w:r>
              <w:rPr>
                <w:rFonts w:ascii="Arial" w:cs="Arial" w:eastAsia="Arial" w:hAnsi="Arial"/>
                <w:sz w:val="14"/>
                <w:szCs w:val="14"/>
                <w:color w:val="auto"/>
              </w:rPr>
              <w:t>outstanding at June 30, 2013 and December 31, 2012, respectively</w:t>
            </w:r>
          </w:p>
        </w:tc>
        <w:tc>
          <w:tcPr>
            <w:tcW w:w="300" w:type="dxa"/>
            <w:vAlign w:val="bottom"/>
          </w:tcPr>
          <w:p>
            <w:pPr>
              <w:spacing w:after="0"/>
              <w:rPr>
                <w:sz w:val="17"/>
                <w:szCs w:val="17"/>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171,144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166,651</w:t>
            </w:r>
          </w:p>
        </w:tc>
      </w:tr>
      <w:tr>
        <w:trPr>
          <w:trHeight w:val="266"/>
        </w:trPr>
        <w:tc>
          <w:tcPr>
            <w:tcW w:w="766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(74,092)</w:t>
            </w:r>
          </w:p>
        </w:tc>
      </w:tr>
      <w:tr>
        <w:trPr>
          <w:trHeight w:val="250"/>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91,555</w:t>
            </w:r>
          </w:p>
        </w:tc>
      </w:tr>
      <w:tr>
        <w:trPr>
          <w:trHeight w:val="24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180,299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170,318</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43,381</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5,924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4,629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11,719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8,789</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20,367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39,455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34,592</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10,249</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20,328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19,030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4,053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5,657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19,504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17,775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38,865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provision for (benefit from)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Weighted average shares used in computing net income (loss) per share attributable to</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40"/>
              <w:spacing w:after="0"/>
              <w:rPr>
                <w:sz w:val="20"/>
                <w:szCs w:val="20"/>
                <w:color w:val="auto"/>
              </w:rPr>
            </w:pPr>
            <w:r>
              <w:rPr>
                <w:rFonts w:ascii="Arial" w:cs="Arial" w:eastAsia="Arial" w:hAnsi="Arial"/>
                <w:sz w:val="14"/>
                <w:szCs w:val="14"/>
                <w:color w:val="auto"/>
              </w:rPr>
              <w:t>common stockholders: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1"/>
        </w:trPr>
        <w:tc>
          <w:tcPr>
            <w:tcW w:w="56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266"/>
        </w:trPr>
        <w:tc>
          <w:tcPr>
            <w:tcW w:w="5620" w:type="dxa"/>
            <w:vAlign w:val="bottom"/>
          </w:tcPr>
          <w:p>
            <w:pPr>
              <w:ind w:left="180"/>
              <w:spacing w:after="0"/>
              <w:rPr>
                <w:sz w:val="20"/>
                <w:szCs w:val="20"/>
                <w:color w:val="auto"/>
              </w:rPr>
            </w:pPr>
            <w:r>
              <w:rPr>
                <w:rFonts w:ascii="Arial" w:cs="Arial" w:eastAsia="Arial" w:hAnsi="Arial"/>
                <w:sz w:val="14"/>
                <w:szCs w:val="14"/>
                <w:color w:val="auto"/>
              </w:rPr>
              <w:t>Change in foreign currency translation gain (loss), net of zero tax</w:t>
            </w: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zero tax</w:t>
            </w: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gain (loss) included in net income (loss)</w:t>
            </w:r>
          </w:p>
        </w:tc>
        <w:tc>
          <w:tcPr>
            <w:tcW w:w="9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20" w:type="dxa"/>
            <w:vAlign w:val="bottom"/>
          </w:tcPr>
          <w:p>
            <w:pPr>
              <w:ind w:left="280"/>
              <w:spacing w:after="0"/>
              <w:rPr>
                <w:sz w:val="20"/>
                <w:szCs w:val="20"/>
                <w:color w:val="auto"/>
              </w:rPr>
            </w:pPr>
            <w:r>
              <w:rPr>
                <w:rFonts w:ascii="Arial" w:cs="Arial" w:eastAsia="Arial" w:hAnsi="Arial"/>
                <w:sz w:val="14"/>
                <w:szCs w:val="14"/>
                <w:color w:val="auto"/>
              </w:rPr>
              <w:t>Net change, net of zero tax</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comprehensive loss, net</w:t>
            </w:r>
          </w:p>
        </w:tc>
        <w:tc>
          <w:tcPr>
            <w:tcW w:w="940" w:type="dxa"/>
            <w:vAlign w:val="bottom"/>
            <w:tcBorders>
              <w:top w:val="single" w:sz="8" w:color="auto"/>
              <w:bottom w:val="single" w:sz="8" w:color="231F20"/>
            </w:tcBorders>
            <w:shd w:val="clear" w:color="auto" w:fill="CCEEFF"/>
          </w:tcPr>
          <w:p>
            <w:pPr>
              <w:spacing w:after="0"/>
              <w:rPr>
                <w:sz w:val="21"/>
                <w:szCs w:val="21"/>
                <w:color w:val="auto"/>
              </w:rPr>
            </w:pPr>
          </w:p>
        </w:tc>
        <w:tc>
          <w:tcPr>
            <w:tcW w:w="44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231F20"/>
            </w:tcBorders>
            <w:shd w:val="clear" w:color="auto" w:fill="CCEEFF"/>
          </w:tcPr>
          <w:p>
            <w:pPr>
              <w:spacing w:after="0"/>
              <w:rPr>
                <w:sz w:val="21"/>
                <w:szCs w:val="21"/>
                <w:color w:val="auto"/>
              </w:rPr>
            </w:pPr>
          </w:p>
        </w:tc>
        <w:tc>
          <w:tcPr>
            <w:tcW w:w="46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231F20"/>
            </w:tcBorders>
            <w:shd w:val="clear" w:color="auto" w:fill="CCEEFF"/>
          </w:tcPr>
          <w:p>
            <w:pPr>
              <w:spacing w:after="0"/>
              <w:rPr>
                <w:sz w:val="21"/>
                <w:szCs w:val="21"/>
                <w:color w:val="auto"/>
              </w:rPr>
            </w:pPr>
          </w:p>
        </w:tc>
        <w:tc>
          <w:tcPr>
            <w:tcW w:w="104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231F20"/>
            </w:tcBorders>
            <w:shd w:val="clear" w:color="auto" w:fill="CCEEFF"/>
          </w:tcPr>
          <w:p>
            <w:pPr>
              <w:spacing w:after="0"/>
              <w:rPr>
                <w:sz w:val="21"/>
                <w:szCs w:val="21"/>
                <w:color w:val="auto"/>
              </w:rPr>
            </w:pPr>
          </w:p>
        </w:tc>
        <w:tc>
          <w:tcPr>
            <w:tcW w:w="96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41"/>
        </w:trPr>
        <w:tc>
          <w:tcPr>
            <w:tcW w:w="562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2012</w:t>
            </w:r>
          </w:p>
        </w:tc>
      </w:tr>
      <w:tr>
        <w:trPr>
          <w:trHeight w:val="265"/>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812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812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9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3,546</w:t>
            </w:r>
          </w:p>
        </w:tc>
      </w:tr>
      <w:tr>
        <w:trPr>
          <w:trHeight w:val="274"/>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6"/>
        </w:trPr>
        <w:tc>
          <w:tcPr>
            <w:tcW w:w="812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9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4"/>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r>
      <w:tr>
        <w:trPr>
          <w:trHeight w:val="266"/>
        </w:trPr>
        <w:tc>
          <w:tcPr>
            <w:tcW w:w="8120" w:type="dxa"/>
            <w:vAlign w:val="bottom"/>
          </w:tcPr>
          <w:p>
            <w:pPr>
              <w:ind w:left="50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4"/>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on investments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12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w:t>
            </w:r>
          </w:p>
        </w:tc>
      </w:tr>
      <w:tr>
        <w:trPr>
          <w:trHeight w:val="266"/>
        </w:trPr>
        <w:tc>
          <w:tcPr>
            <w:tcW w:w="812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9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(1,273)</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1,063</w:t>
            </w:r>
          </w:p>
        </w:tc>
      </w:tr>
      <w:tr>
        <w:trPr>
          <w:trHeight w:val="266"/>
        </w:trPr>
        <w:tc>
          <w:tcPr>
            <w:tcW w:w="812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9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485</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3,078</w:t>
            </w:r>
          </w:p>
        </w:tc>
      </w:tr>
      <w:tr>
        <w:trPr>
          <w:trHeight w:val="266"/>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9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12,870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10,023</w:t>
            </w:r>
          </w:p>
        </w:tc>
      </w:tr>
      <w:tr>
        <w:trPr>
          <w:trHeight w:val="260"/>
        </w:trPr>
        <w:tc>
          <w:tcPr>
            <w:tcW w:w="81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12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9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100,624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w:t>
            </w:r>
          </w:p>
        </w:tc>
      </w:tr>
      <w:tr>
        <w:trPr>
          <w:trHeight w:val="266"/>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Release of restricted cash</w:t>
            </w:r>
          </w:p>
        </w:tc>
        <w:tc>
          <w:tcPr>
            <w:tcW w:w="9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9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19,452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(5,989)</w:t>
            </w:r>
          </w:p>
        </w:tc>
      </w:tr>
      <w:tr>
        <w:trPr>
          <w:trHeight w:val="260"/>
        </w:trPr>
        <w:tc>
          <w:tcPr>
            <w:tcW w:w="81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r>
      <w:tr>
        <w:trPr>
          <w:trHeight w:val="266"/>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9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r>
      <w:tr>
        <w:trPr>
          <w:trHeight w:val="250"/>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9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3,911</w:t>
            </w:r>
          </w:p>
        </w:tc>
      </w:tr>
      <w:tr>
        <w:trPr>
          <w:trHeight w:val="26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9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34,885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24,548</w:t>
            </w:r>
          </w:p>
        </w:tc>
      </w:tr>
      <w:tr>
        <w:trPr>
          <w:trHeight w:val="24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68,619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28,459</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812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included in accrued liabilities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2012</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2013 is not necessarily indicative of the results of operations expected for the entire year ending December 31, 2013 or for any other future annual or interim period. These condensed consolidated financial statements should be read in conjunction with the consolidated financial statements and related notes included in the Company’s Annual Report on Form 10-K for the year ended December 31, 2012 filed with the SEC on March 5, 2013.</w:t>
      </w:r>
    </w:p>
    <w:p>
      <w:pPr>
        <w:spacing w:after="0" w:line="180" w:lineRule="exact"/>
        <w:rPr>
          <w:sz w:val="20"/>
          <w:szCs w:val="20"/>
          <w:color w:val="auto"/>
        </w:rPr>
      </w:pPr>
    </w:p>
    <w:p>
      <w:pPr>
        <w:ind w:right="400" w:firstLine="405"/>
        <w:spacing w:after="0" w:line="29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(loss) from operations or net income (loss).</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71" w:lineRule="exact"/>
        <w:rPr>
          <w:sz w:val="20"/>
          <w:szCs w:val="20"/>
          <w:color w:val="auto"/>
        </w:rPr>
      </w:pPr>
    </w:p>
    <w:p>
      <w:pPr>
        <w:ind w:right="880" w:firstLine="486"/>
        <w:spacing w:after="0" w:line="29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7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condensed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231F20"/>
        </w:rPr>
        <w:t>The Company invests its cash, cash equivalents and investments with major financial institutions. Cash balances with any one institution at times may be in excess of federally insured limits. Cash equivalents and investments are invested in high-quality investment grade financial instruments and are diversified. The Company has not experienced any other-than-temporary losses in such accounts and believes it is not exposed to any significant credit risk.</w:t>
      </w:r>
    </w:p>
    <w:p>
      <w:pPr>
        <w:spacing w:after="0" w:line="386" w:lineRule="exact"/>
        <w:rPr>
          <w:sz w:val="20"/>
          <w:szCs w:val="20"/>
          <w:color w:val="auto"/>
        </w:rPr>
      </w:pPr>
    </w:p>
    <w:p>
      <w:pPr>
        <w:ind w:right="60" w:firstLine="405"/>
        <w:spacing w:after="0" w:line="260"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231F20"/>
        </w:rPr>
        <w:t xml:space="preserve">Cash and cash equivalents include cash held in banks and highly liquid money market funds, commercial paper and corporate bonds, all with original maturities of three months or less when acquired. </w:t>
      </w:r>
      <w:r>
        <w:rPr>
          <w:rFonts w:ascii="Arial" w:cs="Arial" w:eastAsia="Arial" w:hAnsi="Arial"/>
          <w:sz w:val="17"/>
          <w:szCs w:val="17"/>
          <w:color w:val="000000"/>
        </w:rPr>
        <w:t>The Company’s investments consist of</w:t>
      </w:r>
      <w:r>
        <w:rPr>
          <w:rFonts w:ascii="Arial" w:cs="Arial" w:eastAsia="Arial" w:hAnsi="Arial"/>
          <w:sz w:val="17"/>
          <w:szCs w:val="17"/>
          <w:color w:val="231F20"/>
        </w:rPr>
        <w:t xml:space="preserve"> fixed-income U.S. government agency securities, corporate bonds, municipal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 xml:space="preserve">Cash is stated at cost, which approximates fair market value. Cash equivalents and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7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17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 xml:space="preserve">In February 2013, the FASB issued an update to ASC 220: </w:t>
      </w:r>
      <w:r>
        <w:rPr>
          <w:rFonts w:ascii="Arial" w:cs="Arial" w:eastAsia="Arial" w:hAnsi="Arial"/>
          <w:sz w:val="18"/>
          <w:szCs w:val="18"/>
          <w:i w:val="1"/>
          <w:iCs w:val="1"/>
          <w:color w:val="231F20"/>
        </w:rPr>
        <w:t>Reporting of Amounts Reclassified Out of Accumulated Other Comprehensive</w:t>
      </w:r>
      <w:r>
        <w:rPr>
          <w:rFonts w:ascii="Arial" w:cs="Arial" w:eastAsia="Arial" w:hAnsi="Arial"/>
          <w:sz w:val="18"/>
          <w:szCs w:val="18"/>
          <w:color w:val="231F20"/>
        </w:rPr>
        <w:t xml:space="preserve"> </w:t>
      </w:r>
      <w:r>
        <w:rPr>
          <w:rFonts w:ascii="Arial" w:cs="Arial" w:eastAsia="Arial" w:hAnsi="Arial"/>
          <w:sz w:val="18"/>
          <w:szCs w:val="18"/>
          <w:i w:val="1"/>
          <w:iCs w:val="1"/>
          <w:color w:val="231F20"/>
        </w:rPr>
        <w:t>Income</w:t>
      </w:r>
      <w:r>
        <w:rPr>
          <w:rFonts w:ascii="Arial" w:cs="Arial" w:eastAsia="Arial" w:hAnsi="Arial"/>
          <w:sz w:val="18"/>
          <w:szCs w:val="18"/>
          <w:color w:val="231F20"/>
        </w:rPr>
        <w:t>. Under this update, an entity is required to provide information about the amounts reclassified out of accumulated other comprehensive</w:t>
      </w:r>
      <w:r>
        <w:rPr>
          <w:rFonts w:ascii="Arial" w:cs="Arial" w:eastAsia="Arial" w:hAnsi="Arial"/>
          <w:sz w:val="18"/>
          <w:szCs w:val="18"/>
          <w:i w:val="1"/>
          <w:iCs w:val="1"/>
          <w:color w:val="231F20"/>
        </w:rPr>
        <w:t xml:space="preserve"> </w:t>
      </w:r>
      <w:r>
        <w:rPr>
          <w:rFonts w:ascii="Arial" w:cs="Arial" w:eastAsia="Arial" w:hAnsi="Arial"/>
          <w:sz w:val="18"/>
          <w:szCs w:val="18"/>
          <w:color w:val="231F20"/>
        </w:rPr>
        <w:t>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Company adopted this standard in the first quarter of 2013, and the adoption of this standard did not have a material impact on the condensed consolidated financial statements. Amounts reclassified out of AOCI are recorded in interest income on the condensed consolidated statements of operations.</w:t>
      </w:r>
    </w:p>
    <w:p>
      <w:pPr>
        <w:spacing w:after="0" w:line="178"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231F20"/>
        </w:rPr>
        <w:t xml:space="preserve">In July 2013, the FASB issued ASU 2013-11: </w:t>
      </w:r>
      <w:r>
        <w:rPr>
          <w:rFonts w:ascii="Arial" w:cs="Arial" w:eastAsia="Arial" w:hAnsi="Arial"/>
          <w:sz w:val="18"/>
          <w:szCs w:val="18"/>
          <w:i w:val="1"/>
          <w:iCs w:val="1"/>
          <w:color w:val="231F20"/>
        </w:rPr>
        <w:t>Presentation of an Unrecognized Tax Benefit when a Net Operating Loss Carryforward, a</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Similar Tax Loss, or a Tax Credit Carryforward Exists. </w:t>
      </w:r>
      <w:r>
        <w:rPr>
          <w:rFonts w:ascii="Arial" w:cs="Arial" w:eastAsia="Arial" w:hAnsi="Arial"/>
          <w:sz w:val="18"/>
          <w:szCs w:val="18"/>
          <w:color w:val="231F20"/>
        </w:rPr>
        <w:t>This update provides guidance on the financial statement presentation of unrecognized</w:t>
      </w:r>
      <w:r>
        <w:rPr>
          <w:rFonts w:ascii="Arial" w:cs="Arial" w:eastAsia="Arial" w:hAnsi="Arial"/>
          <w:sz w:val="18"/>
          <w:szCs w:val="18"/>
          <w:i w:val="1"/>
          <w:iCs w:val="1"/>
          <w:color w:val="231F20"/>
        </w:rPr>
        <w:t xml:space="preserve"> </w:t>
      </w:r>
      <w:r>
        <w:rPr>
          <w:rFonts w:ascii="Arial" w:cs="Arial" w:eastAsia="Arial" w:hAnsi="Arial"/>
          <w:sz w:val="18"/>
          <w:szCs w:val="18"/>
          <w:color w:val="231F20"/>
        </w:rPr>
        <w:t>tax benefits when a net operating loss carryforward, a similar tax loss, or a tax credit carryforward exists. An unrecognized tax benefit should be presented as a reduction to a deferred tax asset for a net operating loss carryforward, a similar tax loss, or a tax credit carryforward when settlement in this manner is available under the tax law. The Company will adopt this amendment as of January 2014. The result of adoption may be to offset certain long-term liabilities to long -term deferred tax assets and the adoption will not result in a change to the tax provision. The Company does not believe that the impact on the balance sheet will be significant.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3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and certain cash equivalents, accounts receivable, restricted cash, accounts payable, and other current liabilities, the carrying amounts approximate their fair value due to the relatively short maturity of these balances.</w:t>
      </w:r>
    </w:p>
    <w:p>
      <w:pPr>
        <w:spacing w:after="0" w:line="170"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municipal bonds and asset 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using observable inputs.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and restricted cash consist of the following: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30, 2013</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26,338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26,338</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22,972</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17,597</w:t>
            </w:r>
          </w:p>
        </w:tc>
      </w:tr>
      <w:tr>
        <w:trPr>
          <w:trHeight w:val="271"/>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1,712</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68,620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68,619</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28,268</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8,336</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1,154</w:t>
            </w:r>
          </w:p>
        </w:tc>
      </w:tr>
      <w:tr>
        <w:trPr>
          <w:trHeight w:val="257"/>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37,750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37,758</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4,725</w:t>
            </w:r>
          </w:p>
        </w:tc>
      </w:tr>
      <w:tr>
        <w:trPr>
          <w:trHeight w:val="271"/>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14,354</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20,097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20,075</w:t>
            </w: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126,452</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23,419</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11,296</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34,885</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83,541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83,547</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r>
      <w:tr>
        <w:trPr>
          <w:trHeight w:val="242"/>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w w:val="99"/>
              </w:rPr>
              <w:t>June 30, 2013</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45,865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45,865</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4,725</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4,725</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24,402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24,402</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242"/>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77,142</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77,142</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9"/>
        </w:trPr>
        <w:tc>
          <w:tcPr>
            <w:tcW w:w="47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2"/>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94,843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rPr>
              <w:t>June 30, 2013</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4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After One Year through</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4020" w:type="dxa"/>
            <w:vAlign w:val="bottom"/>
          </w:tcPr>
          <w:p>
            <w:pPr>
              <w:spacing w:after="0"/>
              <w:rPr>
                <w:sz w:val="20"/>
                <w:szCs w:val="20"/>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9"/>
              </w:rPr>
              <w:t>Two Years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45,865</w:t>
            </w:r>
          </w:p>
        </w:tc>
      </w:tr>
      <w:tr>
        <w:trPr>
          <w:trHeight w:val="262"/>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4,725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4,725</w:t>
            </w:r>
          </w:p>
        </w:tc>
      </w:tr>
      <w:tr>
        <w:trPr>
          <w:trHeight w:val="278"/>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r>
      <w:tr>
        <w:trPr>
          <w:trHeight w:val="262"/>
        </w:trPr>
        <w:tc>
          <w:tcPr>
            <w:tcW w:w="402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14,354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24,402</w:t>
            </w:r>
          </w:p>
        </w:tc>
      </w:tr>
      <w:tr>
        <w:trPr>
          <w:trHeight w:val="271"/>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6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242"/>
        </w:trPr>
        <w:tc>
          <w:tcPr>
            <w:tcW w:w="4020" w:type="dxa"/>
            <w:vAlign w:val="bottom"/>
          </w:tcPr>
          <w:p>
            <w:pPr>
              <w:ind w:left="40"/>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57,067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19,079</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77,142</w:t>
            </w:r>
          </w:p>
        </w:tc>
      </w:tr>
      <w:tr>
        <w:trPr>
          <w:trHeight w:val="20"/>
        </w:trPr>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61"/>
        </w:trPr>
        <w:tc>
          <w:tcPr>
            <w:tcW w:w="40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6"/>
                <w:szCs w:val="16"/>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3"/>
        </w:trPr>
        <w:tc>
          <w:tcPr>
            <w:tcW w:w="4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After One Year through</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4020" w:type="dxa"/>
            <w:vAlign w:val="bottom"/>
          </w:tcPr>
          <w:p>
            <w:pPr>
              <w:spacing w:after="0"/>
              <w:rPr>
                <w:sz w:val="20"/>
                <w:szCs w:val="20"/>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9"/>
              </w:rPr>
              <w:t>Two Years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2"/>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17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22222"/>
        </w:rPr>
        <w:t xml:space="preserve">At June 30, 2013, the Company had </w:t>
      </w:r>
      <w:r>
        <w:rPr>
          <w:rFonts w:ascii="Arial" w:cs="Arial" w:eastAsia="Arial" w:hAnsi="Arial"/>
          <w:sz w:val="18"/>
          <w:szCs w:val="18"/>
          <w:color w:val="000000"/>
        </w:rPr>
        <w:t>two</w:t>
      </w:r>
      <w:r>
        <w:rPr>
          <w:rFonts w:ascii="Arial" w:cs="Arial" w:eastAsia="Arial" w:hAnsi="Arial"/>
          <w:sz w:val="18"/>
          <w:szCs w:val="18"/>
          <w:color w:val="222222"/>
        </w:rPr>
        <w:t xml:space="preserve"> outstanding forward contracts with notional amounts of </w:t>
      </w:r>
      <w:r>
        <w:rPr>
          <w:rFonts w:ascii="Arial" w:cs="Arial" w:eastAsia="Arial" w:hAnsi="Arial"/>
          <w:sz w:val="18"/>
          <w:szCs w:val="18"/>
          <w:color w:val="000000"/>
        </w:rPr>
        <w:t>5.9 million</w:t>
      </w:r>
      <w:r>
        <w:rPr>
          <w:rFonts w:ascii="Arial" w:cs="Arial" w:eastAsia="Arial" w:hAnsi="Arial"/>
          <w:sz w:val="18"/>
          <w:szCs w:val="18"/>
          <w:color w:val="222222"/>
        </w:rPr>
        <w:t xml:space="preserve"> Euros and </w:t>
      </w:r>
      <w:r>
        <w:rPr>
          <w:rFonts w:ascii="Arial" w:cs="Arial" w:eastAsia="Arial" w:hAnsi="Arial"/>
          <w:sz w:val="18"/>
          <w:szCs w:val="18"/>
          <w:color w:val="000000"/>
        </w:rPr>
        <w:t>2.5 million</w:t>
      </w:r>
      <w:r>
        <w:rPr>
          <w:rFonts w:ascii="Arial" w:cs="Arial" w:eastAsia="Arial" w:hAnsi="Arial"/>
          <w:sz w:val="18"/>
          <w:szCs w:val="18"/>
          <w:color w:val="222222"/>
        </w:rPr>
        <w:t xml:space="preserve"> British pounds, both of which expired on July 31, 2013. At December 31, 2012, the Company had </w:t>
      </w:r>
      <w:r>
        <w:rPr>
          <w:rFonts w:ascii="Arial" w:cs="Arial" w:eastAsia="Arial" w:hAnsi="Arial"/>
          <w:sz w:val="18"/>
          <w:szCs w:val="18"/>
          <w:color w:val="000000"/>
        </w:rPr>
        <w:t>one</w:t>
      </w:r>
      <w:r>
        <w:rPr>
          <w:rFonts w:ascii="Arial" w:cs="Arial" w:eastAsia="Arial" w:hAnsi="Arial"/>
          <w:sz w:val="18"/>
          <w:szCs w:val="18"/>
          <w:color w:val="222222"/>
        </w:rPr>
        <w:t xml:space="preserve"> outstanding forward contract with a notional amount of </w:t>
      </w:r>
      <w:r>
        <w:rPr>
          <w:rFonts w:ascii="Arial" w:cs="Arial" w:eastAsia="Arial" w:hAnsi="Arial"/>
          <w:sz w:val="18"/>
          <w:szCs w:val="18"/>
          <w:color w:val="000000"/>
        </w:rPr>
        <w:t>10.7 million</w:t>
      </w:r>
      <w:r>
        <w:rPr>
          <w:rFonts w:ascii="Arial" w:cs="Arial" w:eastAsia="Arial" w:hAnsi="Arial"/>
          <w:sz w:val="18"/>
          <w:szCs w:val="18"/>
          <w:color w:val="222222"/>
        </w:rPr>
        <w:t xml:space="preserve"> Euros, which expired on January 31, 2013. These </w:t>
      </w:r>
      <w:r>
        <w:rPr>
          <w:rFonts w:ascii="Arial" w:cs="Arial" w:eastAsia="Arial" w:hAnsi="Arial"/>
          <w:sz w:val="18"/>
          <w:szCs w:val="18"/>
          <w:color w:val="231F20"/>
        </w:rPr>
        <w:t>forward contracts were entered into at the end of each month, and</w:t>
      </w:r>
      <w:r>
        <w:rPr>
          <w:rFonts w:ascii="Arial" w:cs="Arial" w:eastAsia="Arial" w:hAnsi="Arial"/>
          <w:sz w:val="18"/>
          <w:szCs w:val="18"/>
          <w:color w:val="222222"/>
        </w:rPr>
        <w:t xml:space="preserve"> </w:t>
      </w:r>
      <w:r>
        <w:rPr>
          <w:rFonts w:ascii="Arial" w:cs="Arial" w:eastAsia="Arial" w:hAnsi="Arial"/>
          <w:sz w:val="18"/>
          <w:szCs w:val="18"/>
          <w:color w:val="231F20"/>
        </w:rPr>
        <w:t xml:space="preserve">thus the fair value of these contracts were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2013</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2012</w:t>
      </w:r>
      <w:r>
        <w:rPr>
          <w:rFonts w:ascii="Arial" w:cs="Arial" w:eastAsia="Arial" w:hAnsi="Arial"/>
          <w:sz w:val="18"/>
          <w:szCs w:val="18"/>
          <w:color w:val="222222"/>
        </w:rPr>
        <w:t>.</w:t>
      </w:r>
      <w:r>
        <w:rPr>
          <w:rFonts w:ascii="Arial" w:cs="Arial" w:eastAsia="Arial" w:hAnsi="Arial"/>
          <w:sz w:val="18"/>
          <w:szCs w:val="18"/>
          <w:color w:val="231F20"/>
        </w:rPr>
        <w:t xml:space="preserve"> The Company recorded losses of </w:t>
      </w:r>
      <w:r>
        <w:rPr>
          <w:rFonts w:ascii="Arial" w:cs="Arial" w:eastAsia="Arial" w:hAnsi="Arial"/>
          <w:sz w:val="18"/>
          <w:szCs w:val="18"/>
          <w:color w:val="000000"/>
        </w:rPr>
        <w:t>$ 0.1 million</w:t>
      </w:r>
      <w:r>
        <w:rPr>
          <w:rFonts w:ascii="Arial" w:cs="Arial" w:eastAsia="Arial" w:hAnsi="Arial"/>
          <w:sz w:val="18"/>
          <w:szCs w:val="18"/>
          <w:color w:val="231F20"/>
        </w:rPr>
        <w:t xml:space="preserve"> and </w:t>
      </w:r>
      <w:r>
        <w:rPr>
          <w:rFonts w:ascii="Arial" w:cs="Arial" w:eastAsia="Arial" w:hAnsi="Arial"/>
          <w:sz w:val="18"/>
          <w:szCs w:val="18"/>
          <w:color w:val="000000"/>
        </w:rPr>
        <w:t xml:space="preserve">$0.2 million </w:t>
      </w:r>
      <w:r>
        <w:rPr>
          <w:rFonts w:ascii="Arial" w:cs="Arial" w:eastAsia="Arial" w:hAnsi="Arial"/>
          <w:sz w:val="18"/>
          <w:szCs w:val="18"/>
          <w:color w:val="231F20"/>
        </w:rPr>
        <w:t>from these contracts for the three and</w:t>
      </w:r>
      <w:r>
        <w:rPr>
          <w:rFonts w:ascii="Arial" w:cs="Arial" w:eastAsia="Arial" w:hAnsi="Arial"/>
          <w:sz w:val="18"/>
          <w:szCs w:val="18"/>
          <w:color w:val="000000"/>
        </w:rPr>
        <w:t xml:space="preserve"> six months ended June 30, 2013</w:t>
      </w:r>
      <w:r>
        <w:rPr>
          <w:rFonts w:ascii="Arial" w:cs="Arial" w:eastAsia="Arial" w:hAnsi="Arial"/>
          <w:sz w:val="18"/>
          <w:szCs w:val="18"/>
          <w:color w:val="231F20"/>
        </w:rPr>
        <w:t>, respectively. These were partially offset by foreign</w:t>
      </w:r>
      <w:r>
        <w:rPr>
          <w:rFonts w:ascii="Arial" w:cs="Arial" w:eastAsia="Arial" w:hAnsi="Arial"/>
          <w:sz w:val="18"/>
          <w:szCs w:val="18"/>
          <w:color w:val="000000"/>
        </w:rPr>
        <w:t xml:space="preserve"> </w:t>
      </w:r>
      <w:r>
        <w:rPr>
          <w:rFonts w:ascii="Arial" w:cs="Arial" w:eastAsia="Arial" w:hAnsi="Arial"/>
          <w:sz w:val="18"/>
          <w:szCs w:val="18"/>
          <w:color w:val="231F20"/>
        </w:rPr>
        <w:t xml:space="preserve">currency transaction gains of </w:t>
      </w:r>
      <w:r>
        <w:rPr>
          <w:rFonts w:ascii="Arial" w:cs="Arial" w:eastAsia="Arial" w:hAnsi="Arial"/>
          <w:sz w:val="18"/>
          <w:szCs w:val="18"/>
          <w:color w:val="000000"/>
        </w:rPr>
        <w:t>$31,000</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and in addition to other foreign currency transaction losses of </w:t>
      </w:r>
      <w:r>
        <w:rPr>
          <w:rFonts w:ascii="Arial" w:cs="Arial" w:eastAsia="Arial" w:hAnsi="Arial"/>
          <w:sz w:val="18"/>
          <w:szCs w:val="18"/>
          <w:color w:val="000000"/>
        </w:rPr>
        <w:t xml:space="preserve">$0.2 million </w:t>
      </w:r>
      <w:r>
        <w:rPr>
          <w:rFonts w:ascii="Arial" w:cs="Arial" w:eastAsia="Arial" w:hAnsi="Arial"/>
          <w:sz w:val="18"/>
          <w:szCs w:val="18"/>
          <w:color w:val="231F20"/>
        </w:rPr>
        <w:t>for the</w:t>
      </w:r>
      <w:r>
        <w:rPr>
          <w:rFonts w:ascii="Arial" w:cs="Arial" w:eastAsia="Arial" w:hAnsi="Arial"/>
          <w:sz w:val="18"/>
          <w:szCs w:val="18"/>
          <w:color w:val="000000"/>
        </w:rPr>
        <w:t xml:space="preserve"> six months ended June 30, 2013</w:t>
      </w:r>
      <w:r>
        <w:rPr>
          <w:rFonts w:ascii="Arial" w:cs="Arial" w:eastAsia="Arial" w:hAnsi="Arial"/>
          <w:sz w:val="18"/>
          <w:szCs w:val="18"/>
          <w:color w:val="231F20"/>
        </w:rPr>
        <w:t>. The company recorded gains of $0.5 million and</w:t>
      </w:r>
      <w:r>
        <w:rPr>
          <w:rFonts w:ascii="Arial" w:cs="Arial" w:eastAsia="Arial" w:hAnsi="Arial"/>
          <w:sz w:val="18"/>
          <w:szCs w:val="18"/>
          <w:color w:val="000000"/>
        </w:rPr>
        <w:t xml:space="preserve"> $0.3 million </w:t>
      </w:r>
      <w:r>
        <w:rPr>
          <w:rFonts w:ascii="Arial" w:cs="Arial" w:eastAsia="Arial" w:hAnsi="Arial"/>
          <w:sz w:val="18"/>
          <w:szCs w:val="18"/>
          <w:color w:val="231F20"/>
        </w:rPr>
        <w:t>from these contracts for the</w:t>
      </w:r>
      <w:r>
        <w:rPr>
          <w:rFonts w:ascii="Arial" w:cs="Arial" w:eastAsia="Arial" w:hAnsi="Arial"/>
          <w:sz w:val="18"/>
          <w:szCs w:val="18"/>
          <w:color w:val="000000"/>
        </w:rPr>
        <w:t xml:space="preserve"> </w:t>
      </w:r>
      <w:r>
        <w:rPr>
          <w:rFonts w:ascii="Arial" w:cs="Arial" w:eastAsia="Arial" w:hAnsi="Arial"/>
          <w:sz w:val="18"/>
          <w:szCs w:val="18"/>
          <w:color w:val="231F20"/>
        </w:rPr>
        <w:t xml:space="preserve">three and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respectively. These were offset by foreign currency transaction losses of </w:t>
      </w:r>
      <w:r>
        <w:rPr>
          <w:rFonts w:ascii="Arial" w:cs="Arial" w:eastAsia="Arial" w:hAnsi="Arial"/>
          <w:sz w:val="18"/>
          <w:szCs w:val="18"/>
          <w:color w:val="000000"/>
        </w:rPr>
        <w:t>$0.6 million</w:t>
      </w:r>
      <w:r>
        <w:rPr>
          <w:rFonts w:ascii="Arial" w:cs="Arial" w:eastAsia="Arial" w:hAnsi="Arial"/>
          <w:sz w:val="18"/>
          <w:szCs w:val="18"/>
          <w:color w:val="231F20"/>
        </w:rPr>
        <w:t xml:space="preserve"> and </w:t>
      </w:r>
      <w:r>
        <w:rPr>
          <w:rFonts w:ascii="Arial" w:cs="Arial" w:eastAsia="Arial" w:hAnsi="Arial"/>
          <w:sz w:val="18"/>
          <w:szCs w:val="18"/>
          <w:color w:val="000000"/>
        </w:rPr>
        <w:t>$0.4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for the three and</w:t>
      </w:r>
      <w:r>
        <w:rPr>
          <w:rFonts w:ascii="Arial" w:cs="Arial" w:eastAsia="Arial" w:hAnsi="Arial"/>
          <w:sz w:val="18"/>
          <w:szCs w:val="18"/>
          <w:color w:val="000000"/>
        </w:rPr>
        <w:t xml:space="preserve"> six months ended June 30, 2012</w:t>
      </w:r>
      <w:r>
        <w:rPr>
          <w:rFonts w:ascii="Arial" w:cs="Arial" w:eastAsia="Arial" w:hAnsi="Arial"/>
          <w:sz w:val="18"/>
          <w:szCs w:val="18"/>
          <w:color w:val="231F20"/>
        </w:rPr>
        <w:t>, respectively. These derivatives did not meet the criteria to be designated as hedges.</w:t>
      </w:r>
      <w:r>
        <w:rPr>
          <w:rFonts w:ascii="Arial" w:cs="Arial" w:eastAsia="Arial" w:hAnsi="Arial"/>
          <w:sz w:val="18"/>
          <w:szCs w:val="18"/>
          <w:color w:val="000000"/>
        </w:rPr>
        <w:t xml:space="preserve"> </w:t>
      </w:r>
      <w:r>
        <w:rPr>
          <w:rFonts w:ascii="Arial" w:cs="Arial" w:eastAsia="Arial" w:hAnsi="Arial"/>
          <w:sz w:val="18"/>
          <w:szCs w:val="18"/>
          <w:color w:val="231F20"/>
        </w:rPr>
        <w:t>These instruments were valued using Level 2 inputs.</w:t>
      </w:r>
    </w:p>
    <w:p>
      <w:pPr>
        <w:spacing w:after="0" w:line="178" w:lineRule="exact"/>
        <w:rPr>
          <w:sz w:val="20"/>
          <w:szCs w:val="20"/>
          <w:color w:val="auto"/>
        </w:rPr>
      </w:pPr>
    </w:p>
    <w:p>
      <w:pPr>
        <w:ind w:right="580" w:firstLine="405"/>
        <w:spacing w:after="0" w:line="292" w:lineRule="auto"/>
        <w:rPr>
          <w:sz w:val="20"/>
          <w:szCs w:val="20"/>
          <w:color w:val="auto"/>
        </w:rPr>
      </w:pPr>
      <w:r>
        <w:rPr>
          <w:rFonts w:ascii="Arial" w:cs="Arial" w:eastAsia="Arial" w:hAnsi="Arial"/>
          <w:sz w:val="18"/>
          <w:szCs w:val="18"/>
          <w:color w:val="auto"/>
        </w:rPr>
        <w:t>There were no significant transfers between Level 1, Level 2 or Level 3 of the fair value hierarchy, as determined at the end of each reporting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9"/>
                <w:szCs w:val="19"/>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7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18,798</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9,129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6,327</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16,878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16,470</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r>
      <w:tr>
        <w:trPr>
          <w:trHeight w:val="249"/>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52,866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44,812</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(26,664)</w:t>
            </w:r>
          </w:p>
        </w:tc>
      </w:tr>
      <w:tr>
        <w:trPr>
          <w:trHeight w:val="242"/>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22,526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18,148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June 30, 2013</w:t>
      </w:r>
      <w:r>
        <w:rPr>
          <w:rFonts w:ascii="Arial" w:cs="Arial" w:eastAsia="Arial" w:hAnsi="Arial"/>
          <w:sz w:val="18"/>
          <w:szCs w:val="18"/>
          <w:color w:val="231F20"/>
        </w:rPr>
        <w:t xml:space="preserve"> and December 31, 2012 totaled approximately </w:t>
      </w:r>
      <w:r>
        <w:rPr>
          <w:rFonts w:ascii="Arial" w:cs="Arial" w:eastAsia="Arial" w:hAnsi="Arial"/>
          <w:sz w:val="18"/>
          <w:szCs w:val="18"/>
          <w:color w:val="000000"/>
        </w:rPr>
        <w:t>$3.8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June 30, 2013 </w:t>
      </w:r>
      <w:r>
        <w:rPr>
          <w:rFonts w:ascii="Arial" w:cs="Arial" w:eastAsia="Arial" w:hAnsi="Arial"/>
          <w:sz w:val="18"/>
          <w:szCs w:val="18"/>
          <w:color w:val="231F20"/>
        </w:rPr>
        <w:t>and December 31, 2012 totaled</w:t>
      </w:r>
      <w:r>
        <w:rPr>
          <w:rFonts w:ascii="Arial" w:cs="Arial" w:eastAsia="Arial" w:hAnsi="Arial"/>
          <w:sz w:val="18"/>
          <w:szCs w:val="18"/>
          <w:color w:val="000000"/>
        </w:rPr>
        <w:t xml:space="preserve"> $1.6 million </w:t>
      </w:r>
      <w:r>
        <w:rPr>
          <w:rFonts w:ascii="Arial" w:cs="Arial" w:eastAsia="Arial" w:hAnsi="Arial"/>
          <w:sz w:val="18"/>
          <w:szCs w:val="18"/>
          <w:color w:val="231F20"/>
        </w:rPr>
        <w:t>and</w:t>
      </w:r>
      <w:r>
        <w:rPr>
          <w:rFonts w:ascii="Arial" w:cs="Arial" w:eastAsia="Arial" w:hAnsi="Arial"/>
          <w:sz w:val="18"/>
          <w:szCs w:val="18"/>
          <w:color w:val="000000"/>
        </w:rPr>
        <w:t xml:space="preserve"> $1.2 million</w:t>
      </w:r>
      <w:r>
        <w:rPr>
          <w:rFonts w:ascii="Arial" w:cs="Arial" w:eastAsia="Arial" w:hAnsi="Arial"/>
          <w:sz w:val="18"/>
          <w:szCs w:val="18"/>
          <w:color w:val="231F20"/>
        </w:rPr>
        <w:t>, respectively. The</w:t>
      </w:r>
      <w:r>
        <w:rPr>
          <w:rFonts w:ascii="Arial" w:cs="Arial" w:eastAsia="Arial" w:hAnsi="Arial"/>
          <w:sz w:val="18"/>
          <w:szCs w:val="18"/>
          <w:color w:val="000000"/>
        </w:rPr>
        <w:t xml:space="preserve"> </w:t>
      </w:r>
      <w:r>
        <w:rPr>
          <w:rFonts w:ascii="Arial" w:cs="Arial" w:eastAsia="Arial" w:hAnsi="Arial"/>
          <w:sz w:val="18"/>
          <w:szCs w:val="18"/>
          <w:color w:val="231F20"/>
        </w:rPr>
        <w:t>capital lease obligations are secured by the related software.</w:t>
      </w:r>
    </w:p>
    <w:p>
      <w:pPr>
        <w:spacing w:after="0" w:line="2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$ 5.2</w:t>
      </w:r>
      <w:r>
        <w:rPr>
          <w:rFonts w:ascii="Arial" w:cs="Arial" w:eastAsia="Arial" w:hAnsi="Arial"/>
          <w:sz w:val="18"/>
          <w:szCs w:val="18"/>
          <w:color w:val="231F20"/>
        </w:rPr>
        <w:t xml:space="preserve"> million and </w:t>
      </w:r>
      <w:r>
        <w:rPr>
          <w:rFonts w:ascii="Arial" w:cs="Arial" w:eastAsia="Arial" w:hAnsi="Arial"/>
          <w:sz w:val="18"/>
          <w:szCs w:val="18"/>
          <w:color w:val="000000"/>
        </w:rPr>
        <w:t>$ 5.5</w:t>
      </w:r>
      <w:r>
        <w:rPr>
          <w:rFonts w:ascii="Arial" w:cs="Arial" w:eastAsia="Arial" w:hAnsi="Arial"/>
          <w:sz w:val="18"/>
          <w:szCs w:val="18"/>
          <w:color w:val="231F20"/>
        </w:rPr>
        <w:t xml:space="preserve"> million at </w:t>
      </w:r>
      <w:r>
        <w:rPr>
          <w:rFonts w:ascii="Arial" w:cs="Arial" w:eastAsia="Arial" w:hAnsi="Arial"/>
          <w:sz w:val="18"/>
          <w:szCs w:val="18"/>
          <w:color w:val="000000"/>
        </w:rPr>
        <w:t>June 30, 2013</w:t>
      </w:r>
      <w:r>
        <w:rPr>
          <w:rFonts w:ascii="Arial" w:cs="Arial" w:eastAsia="Arial" w:hAnsi="Arial"/>
          <w:sz w:val="18"/>
          <w:szCs w:val="18"/>
          <w:color w:val="231F20"/>
        </w:rPr>
        <w:t xml:space="preserve"> and December 31, 2012, respectively, including assets that have not been placed in service of </w:t>
      </w:r>
      <w:r>
        <w:rPr>
          <w:rFonts w:ascii="Arial" w:cs="Arial" w:eastAsia="Arial" w:hAnsi="Arial"/>
          <w:sz w:val="18"/>
          <w:szCs w:val="18"/>
          <w:color w:val="000000"/>
        </w:rPr>
        <w:t>$1.4</w:t>
      </w:r>
      <w:r>
        <w:rPr>
          <w:rFonts w:ascii="Arial" w:cs="Arial" w:eastAsia="Arial" w:hAnsi="Arial"/>
          <w:sz w:val="18"/>
          <w:szCs w:val="18"/>
          <w:color w:val="231F20"/>
        </w:rPr>
        <w:t xml:space="preserve"> million and </w:t>
      </w:r>
      <w:r>
        <w:rPr>
          <w:rFonts w:ascii="Arial" w:cs="Arial" w:eastAsia="Arial" w:hAnsi="Arial"/>
          <w:sz w:val="18"/>
          <w:szCs w:val="18"/>
          <w:color w:val="000000"/>
        </w:rPr>
        <w:t>$1.5</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June 30, 2013</w:t>
      </w:r>
      <w:r>
        <w:rPr>
          <w:rFonts w:ascii="Arial" w:cs="Arial" w:eastAsia="Arial" w:hAnsi="Arial"/>
          <w:sz w:val="18"/>
          <w:szCs w:val="18"/>
          <w:color w:val="231F20"/>
        </w:rPr>
        <w:t xml:space="preserve"> and December 31, 2012, included in computer equipment and leasehold improvements, relate to new information technology systems and tenant improvements of approximately </w:t>
      </w:r>
      <w:r>
        <w:rPr>
          <w:rFonts w:ascii="Arial" w:cs="Arial" w:eastAsia="Arial" w:hAnsi="Arial"/>
          <w:sz w:val="18"/>
          <w:szCs w:val="18"/>
          <w:color w:val="000000"/>
        </w:rPr>
        <w:t>$0.9</w:t>
      </w:r>
      <w:r>
        <w:rPr>
          <w:rFonts w:ascii="Arial" w:cs="Arial" w:eastAsia="Arial" w:hAnsi="Arial"/>
          <w:sz w:val="18"/>
          <w:szCs w:val="18"/>
          <w:color w:val="231F20"/>
        </w:rPr>
        <w:t xml:space="preserve"> million and </w:t>
      </w:r>
      <w:r>
        <w:rPr>
          <w:rFonts w:ascii="Arial" w:cs="Arial" w:eastAsia="Arial" w:hAnsi="Arial"/>
          <w:sz w:val="18"/>
          <w:szCs w:val="18"/>
          <w:color w:val="000000"/>
        </w:rPr>
        <w:t>$1.7</w:t>
      </w:r>
      <w:r>
        <w:rPr>
          <w:rFonts w:ascii="Arial" w:cs="Arial" w:eastAsia="Arial" w:hAnsi="Arial"/>
          <w:sz w:val="18"/>
          <w:szCs w:val="18"/>
          <w:color w:val="231F20"/>
        </w:rPr>
        <w:t xml:space="preserve"> million, respectively. Depreciation and amortization expense relating to property and equipment, including capitalized leases, was </w:t>
      </w:r>
      <w:r>
        <w:rPr>
          <w:rFonts w:ascii="Arial" w:cs="Arial" w:eastAsia="Arial" w:hAnsi="Arial"/>
          <w:sz w:val="18"/>
          <w:szCs w:val="18"/>
          <w:color w:val="000000"/>
        </w:rPr>
        <w:t>$ 2.3 million</w:t>
      </w:r>
      <w:r>
        <w:rPr>
          <w:rFonts w:ascii="Arial" w:cs="Arial" w:eastAsia="Arial" w:hAnsi="Arial"/>
          <w:sz w:val="18"/>
          <w:szCs w:val="18"/>
          <w:color w:val="231F20"/>
        </w:rPr>
        <w:t xml:space="preserve"> and </w:t>
      </w:r>
      <w:r>
        <w:rPr>
          <w:rFonts w:ascii="Arial" w:cs="Arial" w:eastAsia="Arial" w:hAnsi="Arial"/>
          <w:sz w:val="18"/>
          <w:szCs w:val="18"/>
          <w:color w:val="000000"/>
        </w:rPr>
        <w:t>$ 1.7 million</w:t>
      </w:r>
      <w:r>
        <w:rPr>
          <w:rFonts w:ascii="Arial" w:cs="Arial" w:eastAsia="Arial" w:hAnsi="Arial"/>
          <w:sz w:val="18"/>
          <w:szCs w:val="18"/>
          <w:color w:val="231F20"/>
        </w:rPr>
        <w:t xml:space="preserve"> for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and 2012, respectively and </w:t>
      </w:r>
      <w:r>
        <w:rPr>
          <w:rFonts w:ascii="Arial" w:cs="Arial" w:eastAsia="Arial" w:hAnsi="Arial"/>
          <w:sz w:val="18"/>
          <w:szCs w:val="18"/>
          <w:color w:val="000000"/>
        </w:rPr>
        <w:t>$4.3 million</w:t>
      </w:r>
      <w:r>
        <w:rPr>
          <w:rFonts w:ascii="Arial" w:cs="Arial" w:eastAsia="Arial" w:hAnsi="Arial"/>
          <w:sz w:val="18"/>
          <w:szCs w:val="18"/>
          <w:color w:val="231F20"/>
        </w:rPr>
        <w:t xml:space="preserve"> and </w:t>
      </w:r>
      <w:r>
        <w:rPr>
          <w:rFonts w:ascii="Arial" w:cs="Arial" w:eastAsia="Arial" w:hAnsi="Arial"/>
          <w:sz w:val="18"/>
          <w:szCs w:val="18"/>
          <w:color w:val="000000"/>
        </w:rPr>
        <w:t>$3.3</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for the</w:t>
      </w:r>
      <w:r>
        <w:rPr>
          <w:rFonts w:ascii="Arial" w:cs="Arial" w:eastAsia="Arial" w:hAnsi="Arial"/>
          <w:sz w:val="18"/>
          <w:szCs w:val="18"/>
          <w:color w:val="000000"/>
        </w:rPr>
        <w:t xml:space="preserve"> six months ended June 30,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133" w:lineRule="exact"/>
        <w:rPr>
          <w:sz w:val="20"/>
          <w:szCs w:val="20"/>
          <w:color w:val="auto"/>
        </w:rPr>
      </w:pPr>
    </w:p>
    <w:p>
      <w:pPr>
        <w:ind w:right="880" w:firstLine="486"/>
        <w:spacing w:after="0" w:line="323"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2012</w:t>
            </w:r>
          </w:p>
        </w:tc>
      </w:tr>
      <w:tr>
        <w:trPr>
          <w:trHeight w:val="168"/>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520" w:type="dxa"/>
            <w:vAlign w:val="bottom"/>
          </w:tcPr>
          <w:p>
            <w:pPr>
              <w:jc w:val="center"/>
              <w:ind w:right="8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203"/>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1,273</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81"/>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2,302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2,516</w:t>
            </w:r>
          </w:p>
        </w:tc>
      </w:tr>
      <w:tr>
        <w:trPr>
          <w:trHeight w:val="24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52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1"/>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 xml:space="preserve">Intangibles amortization expense was </w:t>
      </w:r>
      <w:r>
        <w:rPr>
          <w:rFonts w:ascii="Arial" w:cs="Arial" w:eastAsia="Arial" w:hAnsi="Arial"/>
          <w:sz w:val="18"/>
          <w:szCs w:val="18"/>
          <w:color w:val="000000"/>
        </w:rPr>
        <w:t>$0.1</w:t>
      </w:r>
      <w:r>
        <w:rPr>
          <w:rFonts w:ascii="Arial" w:cs="Arial" w:eastAsia="Arial" w:hAnsi="Arial"/>
          <w:sz w:val="18"/>
          <w:szCs w:val="18"/>
          <w:color w:val="231F20"/>
        </w:rPr>
        <w:t xml:space="preserve"> million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$0.2 million</w:t>
      </w:r>
      <w:r>
        <w:rPr>
          <w:rFonts w:ascii="Arial" w:cs="Arial" w:eastAsia="Arial" w:hAnsi="Arial"/>
          <w:sz w:val="18"/>
          <w:szCs w:val="18"/>
          <w:color w:val="231F20"/>
        </w:rPr>
        <w:t xml:space="preserve"> for the </w:t>
      </w:r>
      <w:r>
        <w:rPr>
          <w:rFonts w:ascii="Arial" w:cs="Arial" w:eastAsia="Arial" w:hAnsi="Arial"/>
          <w:sz w:val="18"/>
          <w:szCs w:val="18"/>
          <w:color w:val="000000"/>
        </w:rPr>
        <w:t>six</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June 30,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2013</w:t>
      </w:r>
      <w:r>
        <w:rPr>
          <w:rFonts w:ascii="Arial" w:cs="Arial" w:eastAsia="Arial" w:hAnsi="Arial"/>
          <w:sz w:val="18"/>
          <w:szCs w:val="18"/>
          <w:color w:val="231F20"/>
        </w:rPr>
        <w:t>, the Company expects amortization expense in future periods to be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w:t>
            </w:r>
          </w:p>
        </w:tc>
      </w:tr>
      <w:tr>
        <w:trPr>
          <w:trHeight w:val="242"/>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June 30, 2013</w:t>
      </w:r>
      <w:r>
        <w:rPr>
          <w:rFonts w:ascii="Arial" w:cs="Arial" w:eastAsia="Arial" w:hAnsi="Arial"/>
          <w:sz w:val="18"/>
          <w:szCs w:val="18"/>
          <w:color w:val="231F20"/>
        </w:rPr>
        <w:t xml:space="preserve"> and December 31,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71"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231F20"/>
        </w:rPr>
        <w:t xml:space="preserve">The Company leases certain computer equipment and its corporate office and data center facilities under noncancelable operating leases for varying periods through 2022. The Company has also entered into capital lease obligations, with varying interest rates from </w:t>
      </w:r>
      <w:r>
        <w:rPr>
          <w:rFonts w:ascii="Arial" w:cs="Arial" w:eastAsia="Arial" w:hAnsi="Arial"/>
          <w:sz w:val="18"/>
          <w:szCs w:val="18"/>
          <w:color w:val="000000"/>
        </w:rPr>
        <w:t>1.8%</w:t>
      </w:r>
      <w:r>
        <w:rPr>
          <w:rFonts w:ascii="Arial" w:cs="Arial" w:eastAsia="Arial" w:hAnsi="Arial"/>
          <w:sz w:val="18"/>
          <w:szCs w:val="18"/>
          <w:color w:val="231F20"/>
        </w:rPr>
        <w:t xml:space="preserve"> to </w:t>
      </w:r>
      <w:r>
        <w:rPr>
          <w:rFonts w:ascii="Arial" w:cs="Arial" w:eastAsia="Arial" w:hAnsi="Arial"/>
          <w:sz w:val="18"/>
          <w:szCs w:val="18"/>
          <w:color w:val="000000"/>
        </w:rPr>
        <w:t>4.0%</w:t>
      </w:r>
      <w:r>
        <w:rPr>
          <w:rFonts w:ascii="Arial" w:cs="Arial" w:eastAsia="Arial" w:hAnsi="Arial"/>
          <w:sz w:val="18"/>
          <w:szCs w:val="18"/>
          <w:color w:val="231F20"/>
        </w:rPr>
        <w:t>, a portion of which are secured by the related computer equipment and software as of</w:t>
      </w:r>
      <w:r>
        <w:rPr>
          <w:rFonts w:ascii="Arial" w:cs="Arial" w:eastAsia="Arial" w:hAnsi="Arial"/>
          <w:sz w:val="18"/>
          <w:szCs w:val="18"/>
          <w:color w:val="000000"/>
        </w:rPr>
        <w:t xml:space="preserve"> June 30, 2013 </w:t>
      </w:r>
      <w:r>
        <w:rPr>
          <w:rFonts w:ascii="Arial" w:cs="Arial" w:eastAsia="Arial" w:hAnsi="Arial"/>
          <w:sz w:val="18"/>
          <w:szCs w:val="18"/>
          <w:color w:val="231F20"/>
        </w:rPr>
        <w:t>and December 31, 2012.</w:t>
      </w:r>
    </w:p>
    <w:p>
      <w:pPr>
        <w:spacing w:after="0" w:line="123" w:lineRule="exact"/>
        <w:rPr>
          <w:sz w:val="20"/>
          <w:szCs w:val="20"/>
          <w:color w:val="auto"/>
        </w:rPr>
      </w:pPr>
    </w:p>
    <w:p>
      <w:pPr>
        <w:ind w:right="200" w:firstLine="486"/>
        <w:spacing w:after="0" w:line="260"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which was amended in June 2013. The minimum obligations were </w:t>
      </w:r>
      <w:r>
        <w:rPr>
          <w:rFonts w:ascii="Arial" w:cs="Arial" w:eastAsia="Arial" w:hAnsi="Arial"/>
          <w:sz w:val="18"/>
          <w:szCs w:val="18"/>
          <w:color w:val="000000"/>
        </w:rPr>
        <w:t>$1.5 million</w:t>
      </w:r>
      <w:r>
        <w:rPr>
          <w:rFonts w:ascii="Arial" w:cs="Arial" w:eastAsia="Arial" w:hAnsi="Arial"/>
          <w:sz w:val="18"/>
          <w:szCs w:val="18"/>
          <w:color w:val="231F20"/>
        </w:rPr>
        <w:t xml:space="preserve"> and </w:t>
      </w:r>
      <w:r>
        <w:rPr>
          <w:rFonts w:ascii="Arial" w:cs="Arial" w:eastAsia="Arial" w:hAnsi="Arial"/>
          <w:sz w:val="18"/>
          <w:szCs w:val="18"/>
          <w:color w:val="000000"/>
        </w:rPr>
        <w:t>$1.6 million</w:t>
      </w:r>
      <w:r>
        <w:rPr>
          <w:rFonts w:ascii="Arial" w:cs="Arial" w:eastAsia="Arial" w:hAnsi="Arial"/>
          <w:sz w:val="18"/>
          <w:szCs w:val="18"/>
          <w:color w:val="231F20"/>
        </w:rPr>
        <w:t xml:space="preserve"> at </w:t>
      </w:r>
      <w:r>
        <w:rPr>
          <w:rFonts w:ascii="Arial" w:cs="Arial" w:eastAsia="Arial" w:hAnsi="Arial"/>
          <w:sz w:val="18"/>
          <w:szCs w:val="18"/>
          <w:color w:val="000000"/>
        </w:rPr>
        <w:t>June 30,</w:t>
      </w:r>
      <w:r>
        <w:rPr>
          <w:rFonts w:ascii="Arial" w:cs="Arial" w:eastAsia="Arial" w:hAnsi="Arial"/>
          <w:sz w:val="18"/>
          <w:szCs w:val="18"/>
          <w:color w:val="231F20"/>
        </w:rPr>
        <w:t xml:space="preserve"> </w:t>
      </w:r>
      <w:r>
        <w:rPr>
          <w:rFonts w:ascii="Arial" w:cs="Arial" w:eastAsia="Arial" w:hAnsi="Arial"/>
          <w:sz w:val="18"/>
          <w:szCs w:val="18"/>
          <w:color w:val="000000"/>
        </w:rPr>
        <w:t xml:space="preserve">2013 </w:t>
      </w:r>
      <w:r>
        <w:rPr>
          <w:rFonts w:ascii="Arial" w:cs="Arial" w:eastAsia="Arial" w:hAnsi="Arial"/>
          <w:sz w:val="18"/>
          <w:szCs w:val="18"/>
          <w:color w:val="231F20"/>
        </w:rPr>
        <w:t>and</w:t>
      </w:r>
      <w:r>
        <w:rPr>
          <w:rFonts w:ascii="Arial" w:cs="Arial" w:eastAsia="Arial" w:hAnsi="Arial"/>
          <w:sz w:val="18"/>
          <w:szCs w:val="18"/>
          <w:color w:val="000000"/>
        </w:rPr>
        <w:t xml:space="preserve"> December 31, 2012</w:t>
      </w:r>
      <w:r>
        <w:rPr>
          <w:rFonts w:ascii="Arial" w:cs="Arial" w:eastAsia="Arial" w:hAnsi="Arial"/>
          <w:sz w:val="18"/>
          <w:szCs w:val="18"/>
          <w:color w:val="231F20"/>
        </w:rPr>
        <w:t>, respectively. Such obligations for maintenance and support are recorded in current liabilities in the condensed</w:t>
      </w:r>
      <w:r>
        <w:rPr>
          <w:rFonts w:ascii="Arial" w:cs="Arial" w:eastAsia="Arial" w:hAnsi="Arial"/>
          <w:sz w:val="18"/>
          <w:szCs w:val="18"/>
          <w:color w:val="000000"/>
        </w:rPr>
        <w:t xml:space="preserve"> </w:t>
      </w:r>
      <w:r>
        <w:rPr>
          <w:rFonts w:ascii="Arial" w:cs="Arial" w:eastAsia="Arial" w:hAnsi="Arial"/>
          <w:sz w:val="18"/>
          <w:szCs w:val="18"/>
          <w:color w:val="231F20"/>
        </w:rPr>
        <w:t xml:space="preserve">consolidated balance sheets at </w:t>
      </w:r>
      <w:r>
        <w:rPr>
          <w:rFonts w:ascii="Arial" w:cs="Arial" w:eastAsia="Arial" w:hAnsi="Arial"/>
          <w:sz w:val="18"/>
          <w:szCs w:val="18"/>
          <w:color w:val="000000"/>
        </w:rPr>
        <w:t>June 30, 2013</w:t>
      </w:r>
      <w:r>
        <w:rPr>
          <w:rFonts w:ascii="Arial" w:cs="Arial" w:eastAsia="Arial" w:hAnsi="Arial"/>
          <w:sz w:val="18"/>
          <w:szCs w:val="18"/>
          <w:color w:val="231F20"/>
        </w:rPr>
        <w:t xml:space="preserve"> and current and noncurrent liabilities at </w:t>
      </w:r>
      <w:r>
        <w:rPr>
          <w:rFonts w:ascii="Arial" w:cs="Arial" w:eastAsia="Arial" w:hAnsi="Arial"/>
          <w:sz w:val="18"/>
          <w:szCs w:val="18"/>
          <w:color w:val="000000"/>
        </w:rPr>
        <w:t>December 31, 2012</w:t>
      </w:r>
      <w:r>
        <w:rPr>
          <w:rFonts w:ascii="Arial" w:cs="Arial" w:eastAsia="Arial" w:hAnsi="Arial"/>
          <w:sz w:val="18"/>
          <w:szCs w:val="18"/>
          <w:color w:val="231F20"/>
        </w:rPr>
        <w: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June 30, 2013</w:t>
      </w:r>
      <w:r>
        <w:rPr>
          <w:rFonts w:ascii="Arial" w:cs="Arial" w:eastAsia="Arial" w:hAnsi="Arial"/>
          <w:sz w:val="18"/>
          <w:szCs w:val="18"/>
          <w:color w:val="231F20"/>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7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line="20" w:lineRule="exact"/>
              <w:rPr>
                <w:sz w:val="1"/>
                <w:szCs w:val="1"/>
                <w:color w:val="auto"/>
              </w:rPr>
            </w:pPr>
          </w:p>
        </w:tc>
      </w:tr>
      <w:tr>
        <w:trPr>
          <w:trHeight w:val="245"/>
        </w:trPr>
        <w:tc>
          <w:tcPr>
            <w:tcW w:w="79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$1.4 million</w:t>
      </w:r>
      <w:r>
        <w:rPr>
          <w:rFonts w:ascii="Arial" w:cs="Arial" w:eastAsia="Arial" w:hAnsi="Arial"/>
          <w:sz w:val="18"/>
          <w:szCs w:val="18"/>
          <w:color w:val="231F20"/>
        </w:rPr>
        <w:t xml:space="preserve"> and </w:t>
      </w:r>
      <w:r>
        <w:rPr>
          <w:rFonts w:ascii="Arial" w:cs="Arial" w:eastAsia="Arial" w:hAnsi="Arial"/>
          <w:sz w:val="18"/>
          <w:szCs w:val="18"/>
          <w:color w:val="000000"/>
        </w:rPr>
        <w:t>$1.0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and </w:t>
      </w:r>
      <w:r>
        <w:rPr>
          <w:rFonts w:ascii="Arial" w:cs="Arial" w:eastAsia="Arial" w:hAnsi="Arial"/>
          <w:sz w:val="18"/>
          <w:szCs w:val="18"/>
          <w:color w:val="000000"/>
        </w:rPr>
        <w:t>$2.7 million and</w:t>
      </w:r>
      <w:r>
        <w:rPr>
          <w:rFonts w:ascii="Arial" w:cs="Arial" w:eastAsia="Arial" w:hAnsi="Arial"/>
          <w:sz w:val="18"/>
          <w:szCs w:val="18"/>
          <w:color w:val="231F20"/>
        </w:rPr>
        <w:t xml:space="preserve"> </w:t>
      </w:r>
      <w:r>
        <w:rPr>
          <w:rFonts w:ascii="Arial" w:cs="Arial" w:eastAsia="Arial" w:hAnsi="Arial"/>
          <w:sz w:val="18"/>
          <w:szCs w:val="18"/>
          <w:color w:val="000000"/>
        </w:rPr>
        <w:t xml:space="preserve">$2.1 million for the six months ended June 30, 2013 and 2012, </w:t>
      </w:r>
      <w:r>
        <w:rPr>
          <w:rFonts w:ascii="Arial" w:cs="Arial" w:eastAsia="Arial" w:hAnsi="Arial"/>
          <w:sz w:val="18"/>
          <w:szCs w:val="18"/>
          <w:color w:val="231F20"/>
        </w:rPr>
        <w:t>respectively. Although certain of the operating lease agreements provide for</w:t>
      </w:r>
      <w:r>
        <w:rPr>
          <w:rFonts w:ascii="Arial" w:cs="Arial" w:eastAsia="Arial" w:hAnsi="Arial"/>
          <w:sz w:val="18"/>
          <w:szCs w:val="18"/>
          <w:color w:val="000000"/>
        </w:rPr>
        <w:t xml:space="preserve"> </w:t>
      </w:r>
      <w:r>
        <w:rPr>
          <w:rFonts w:ascii="Arial" w:cs="Arial" w:eastAsia="Arial" w:hAnsi="Arial"/>
          <w:sz w:val="18"/>
          <w:szCs w:val="18"/>
          <w:color w:val="231F20"/>
        </w:rPr>
        <w:t xml:space="preserve">escalating rent payments over the terms of the leases, rent expense under these agreements is recognized on a straight-line basis. As of </w:t>
      </w:r>
      <w:r>
        <w:rPr>
          <w:rFonts w:ascii="Arial" w:cs="Arial" w:eastAsia="Arial" w:hAnsi="Arial"/>
          <w:sz w:val="18"/>
          <w:szCs w:val="18"/>
          <w:color w:val="000000"/>
        </w:rPr>
        <w:t xml:space="preserve">June 30, 2013 </w:t>
      </w:r>
      <w:r>
        <w:rPr>
          <w:rFonts w:ascii="Arial" w:cs="Arial" w:eastAsia="Arial" w:hAnsi="Arial"/>
          <w:sz w:val="18"/>
          <w:szCs w:val="18"/>
          <w:color w:val="231F20"/>
        </w:rPr>
        <w:t>and</w:t>
      </w:r>
      <w:r>
        <w:rPr>
          <w:rFonts w:ascii="Arial" w:cs="Arial" w:eastAsia="Arial" w:hAnsi="Arial"/>
          <w:sz w:val="18"/>
          <w:szCs w:val="18"/>
          <w:color w:val="000000"/>
        </w:rPr>
        <w:t xml:space="preserve"> December 31, 2012</w:t>
      </w:r>
      <w:r>
        <w:rPr>
          <w:rFonts w:ascii="Arial" w:cs="Arial" w:eastAsia="Arial" w:hAnsi="Arial"/>
          <w:sz w:val="18"/>
          <w:szCs w:val="18"/>
          <w:color w:val="231F20"/>
        </w:rPr>
        <w:t>, the Company has accrued</w:t>
      </w:r>
      <w:r>
        <w:rPr>
          <w:rFonts w:ascii="Arial" w:cs="Arial" w:eastAsia="Arial" w:hAnsi="Arial"/>
          <w:sz w:val="18"/>
          <w:szCs w:val="18"/>
          <w:color w:val="000000"/>
        </w:rPr>
        <w:t xml:space="preserve"> $0.5 million </w:t>
      </w:r>
      <w:r>
        <w:rPr>
          <w:rFonts w:ascii="Arial" w:cs="Arial" w:eastAsia="Arial" w:hAnsi="Arial"/>
          <w:sz w:val="18"/>
          <w:szCs w:val="18"/>
          <w:color w:val="231F20"/>
        </w:rPr>
        <w:t>of deferred rent related to these agreements, which is reflected</w:t>
      </w:r>
      <w:r>
        <w:rPr>
          <w:rFonts w:ascii="Arial" w:cs="Arial" w:eastAsia="Arial" w:hAnsi="Arial"/>
          <w:sz w:val="18"/>
          <w:szCs w:val="18"/>
          <w:color w:val="000000"/>
        </w:rPr>
        <w:t xml:space="preserve"> </w:t>
      </w:r>
      <w:r>
        <w:rPr>
          <w:rFonts w:ascii="Arial" w:cs="Arial" w:eastAsia="Arial" w:hAnsi="Arial"/>
          <w:sz w:val="18"/>
          <w:szCs w:val="18"/>
          <w:color w:val="231F20"/>
        </w:rPr>
        <w:t>in other noncurrent liabilities in the accompanying condensed consolidated balance sheets.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$ 0.4 million</w:t>
      </w:r>
      <w:r>
        <w:rPr>
          <w:rFonts w:ascii="Arial" w:cs="Arial" w:eastAsia="Arial" w:hAnsi="Arial"/>
          <w:sz w:val="18"/>
          <w:szCs w:val="18"/>
          <w:color w:val="231F20"/>
        </w:rPr>
        <w:t xml:space="preserve"> at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June 30, 2013</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7"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7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June 30, 2013</w:t>
      </w:r>
      <w:r>
        <w:rPr>
          <w:rFonts w:ascii="Arial" w:cs="Arial" w:eastAsia="Arial" w:hAnsi="Arial"/>
          <w:sz w:val="18"/>
          <w:szCs w:val="18"/>
          <w:color w:val="231F20"/>
        </w:rPr>
        <w:t>, other than an accrual for sales and other taxes, the Company has not recorded any material liabilities in accordance with</w:t>
      </w:r>
      <w:r>
        <w:rPr>
          <w:rFonts w:ascii="Arial" w:cs="Arial" w:eastAsia="Arial" w:hAnsi="Arial"/>
          <w:sz w:val="18"/>
          <w:szCs w:val="18"/>
          <w:color w:val="000000"/>
        </w:rPr>
        <w:t xml:space="preserve"> </w:t>
      </w:r>
      <w:r>
        <w:rPr>
          <w:rFonts w:ascii="Arial" w:cs="Arial" w:eastAsia="Arial" w:hAnsi="Arial"/>
          <w:sz w:val="18"/>
          <w:szCs w:val="18"/>
          <w:color w:val="231F20"/>
        </w:rPr>
        <w:t>accounting for contingencies.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2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Options, SARs, RSAs, RSUs, performance units and performance awards may be granted with vesting terms as determined by the board of directors and expire no more than </w:t>
      </w:r>
      <w:r>
        <w:rPr>
          <w:rFonts w:ascii="Arial" w:cs="Arial" w:eastAsia="Arial" w:hAnsi="Arial"/>
          <w:sz w:val="18"/>
          <w:szCs w:val="18"/>
          <w:color w:val="000000"/>
        </w:rPr>
        <w:t>ten</w:t>
      </w:r>
      <w:r>
        <w:rPr>
          <w:rFonts w:ascii="Arial" w:cs="Arial" w:eastAsia="Arial" w:hAnsi="Arial"/>
          <w:sz w:val="18"/>
          <w:szCs w:val="18"/>
          <w:color w:val="231F20"/>
        </w:rPr>
        <w:t xml:space="preserve"> years after the date of grant or earlier if employment or service is terminated. As of June 30, 2013, </w:t>
      </w:r>
      <w:r>
        <w:rPr>
          <w:rFonts w:ascii="Arial" w:cs="Arial" w:eastAsia="Arial" w:hAnsi="Arial"/>
          <w:sz w:val="18"/>
          <w:szCs w:val="18"/>
          <w:color w:val="000000"/>
        </w:rPr>
        <w:t>1,948,350</w:t>
      </w:r>
      <w:r>
        <w:rPr>
          <w:rFonts w:ascii="Arial" w:cs="Arial" w:eastAsia="Arial" w:hAnsi="Arial"/>
          <w:sz w:val="18"/>
          <w:szCs w:val="18"/>
          <w:color w:val="231F20"/>
        </w:rPr>
        <w:t xml:space="preserve"> shares were available for grant under the 2012 Plan.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23"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As of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there were </w:t>
      </w:r>
      <w:r>
        <w:rPr>
          <w:rFonts w:ascii="Arial" w:cs="Arial" w:eastAsia="Arial" w:hAnsi="Arial"/>
          <w:sz w:val="18"/>
          <w:szCs w:val="18"/>
          <w:color w:val="000000"/>
        </w:rPr>
        <w:t>29,838</w:t>
      </w:r>
      <w:r>
        <w:rPr>
          <w:rFonts w:ascii="Arial" w:cs="Arial" w:eastAsia="Arial" w:hAnsi="Arial"/>
          <w:sz w:val="18"/>
          <w:szCs w:val="18"/>
          <w:color w:val="231F20"/>
        </w:rPr>
        <w:t xml:space="preserve"> and </w:t>
      </w:r>
      <w:r>
        <w:rPr>
          <w:rFonts w:ascii="Arial" w:cs="Arial" w:eastAsia="Arial" w:hAnsi="Arial"/>
          <w:sz w:val="18"/>
          <w:szCs w:val="18"/>
          <w:color w:val="000000"/>
        </w:rPr>
        <w:t>47,220</w:t>
      </w:r>
      <w:r>
        <w:rPr>
          <w:rFonts w:ascii="Arial" w:cs="Arial" w:eastAsia="Arial" w:hAnsi="Arial"/>
          <w:sz w:val="18"/>
          <w:szCs w:val="18"/>
          <w:color w:val="231F20"/>
        </w:rPr>
        <w:t xml:space="preserve"> shares, respectively, that were subject to the Company’s right to repurchase. There were no shares repurchased during the three and six months ended </w:t>
      </w:r>
      <w:r>
        <w:rPr>
          <w:rFonts w:ascii="Arial" w:cs="Arial" w:eastAsia="Arial" w:hAnsi="Arial"/>
          <w:sz w:val="18"/>
          <w:szCs w:val="18"/>
          <w:color w:val="000000"/>
        </w:rPr>
        <w:t>June 30, 2013</w:t>
      </w:r>
      <w:r>
        <w:rPr>
          <w:rFonts w:ascii="Arial" w:cs="Arial" w:eastAsia="Arial" w:hAnsi="Arial"/>
          <w:sz w:val="18"/>
          <w:szCs w:val="18"/>
          <w:color w:val="231F20"/>
        </w:rPr>
        <w:t xml:space="preserve">. The Company repurchased 126 and </w:t>
      </w:r>
      <w:r>
        <w:rPr>
          <w:rFonts w:ascii="Arial" w:cs="Arial" w:eastAsia="Arial" w:hAnsi="Arial"/>
          <w:sz w:val="18"/>
          <w:szCs w:val="18"/>
          <w:color w:val="000000"/>
        </w:rPr>
        <w:t>60,126</w:t>
      </w:r>
      <w:r>
        <w:rPr>
          <w:rFonts w:ascii="Arial" w:cs="Arial" w:eastAsia="Arial" w:hAnsi="Arial"/>
          <w:sz w:val="18"/>
          <w:szCs w:val="18"/>
          <w:color w:val="231F20"/>
        </w:rPr>
        <w:t xml:space="preserve"> unvested common shares in the three and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respectively. The amounts paid for these shares purchased under an early exercise of stock options are not reported as a component of stockholders’ equity until those shares vest. The amounts received in exchange for these shares totaled $0.2 million and </w:t>
      </w:r>
      <w:r>
        <w:rPr>
          <w:rFonts w:ascii="Arial" w:cs="Arial" w:eastAsia="Arial" w:hAnsi="Arial"/>
          <w:sz w:val="18"/>
          <w:szCs w:val="18"/>
          <w:color w:val="000000"/>
        </w:rPr>
        <w:t>$0.3 million</w:t>
      </w:r>
      <w:r>
        <w:rPr>
          <w:rFonts w:ascii="Arial" w:cs="Arial" w:eastAsia="Arial" w:hAnsi="Arial"/>
          <w:sz w:val="18"/>
          <w:szCs w:val="18"/>
          <w:color w:val="231F20"/>
        </w:rPr>
        <w:t xml:space="preserve"> as of June 30, 2013 and </w:t>
      </w:r>
      <w:r>
        <w:rPr>
          <w:rFonts w:ascii="Arial" w:cs="Arial" w:eastAsia="Arial" w:hAnsi="Arial"/>
          <w:sz w:val="18"/>
          <w:szCs w:val="18"/>
          <w:color w:val="000000"/>
        </w:rPr>
        <w:t>December 31, 2012</w:t>
      </w:r>
      <w:r>
        <w:rPr>
          <w:rFonts w:ascii="Arial" w:cs="Arial" w:eastAsia="Arial" w:hAnsi="Arial"/>
          <w:sz w:val="18"/>
          <w:szCs w:val="18"/>
          <w:color w:val="231F20"/>
        </w:rPr>
        <w:t>, respectively, have been recorded as an accrued liability in the accompanying condensed consolidated balance sheets and will be reclassified to common stock and additional paid-in capital as the shares vest.</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Stock-based employee compensation is included in the condensed consolidated statements of operations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6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3"/>
                <w:szCs w:val="23"/>
                <w:color w:val="auto"/>
              </w:rPr>
            </w:pPr>
          </w:p>
        </w:tc>
      </w:tr>
      <w:tr>
        <w:trPr>
          <w:trHeight w:val="264"/>
        </w:trPr>
        <w:tc>
          <w:tcPr>
            <w:tcW w:w="56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ind w:left="86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294</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w:t>
            </w:r>
          </w:p>
        </w:tc>
      </w:tr>
      <w:tr>
        <w:trPr>
          <w:trHeight w:val="242"/>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1,336</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45" w:lineRule="exact"/>
        <w:rPr>
          <w:sz w:val="20"/>
          <w:szCs w:val="20"/>
          <w:color w:val="auto"/>
        </w:rPr>
      </w:pPr>
    </w:p>
    <w:p>
      <w:pPr>
        <w:ind w:right="740" w:firstLine="486"/>
        <w:spacing w:after="0" w:line="323"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June 30, 2013</w:t>
      </w:r>
      <w:r>
        <w:rPr>
          <w:rFonts w:ascii="Arial" w:cs="Arial" w:eastAsia="Arial" w:hAnsi="Arial"/>
          <w:sz w:val="17"/>
          <w:szCs w:val="17"/>
          <w:color w:val="231F20"/>
        </w:rPr>
        <w:t xml:space="preserve"> and </w:t>
      </w:r>
      <w:r>
        <w:rPr>
          <w:rFonts w:ascii="Arial" w:cs="Arial" w:eastAsia="Arial" w:hAnsi="Arial"/>
          <w:sz w:val="17"/>
          <w:szCs w:val="17"/>
          <w:color w:val="000000"/>
        </w:rPr>
        <w:t>December 31, 2012</w:t>
      </w:r>
      <w:r>
        <w:rPr>
          <w:rFonts w:ascii="Arial" w:cs="Arial" w:eastAsia="Arial" w:hAnsi="Arial"/>
          <w:sz w:val="17"/>
          <w:szCs w:val="17"/>
          <w:color w:val="231F20"/>
        </w:rPr>
        <w:t xml:space="preserve">, the Company had </w:t>
      </w:r>
      <w:r>
        <w:rPr>
          <w:rFonts w:ascii="Arial" w:cs="Arial" w:eastAsia="Arial" w:hAnsi="Arial"/>
          <w:sz w:val="17"/>
          <w:szCs w:val="17"/>
          <w:color w:val="000000"/>
        </w:rPr>
        <w:t>$8.0 million</w:t>
      </w:r>
      <w:r>
        <w:rPr>
          <w:rFonts w:ascii="Arial" w:cs="Arial" w:eastAsia="Arial" w:hAnsi="Arial"/>
          <w:sz w:val="17"/>
          <w:szCs w:val="17"/>
          <w:color w:val="231F20"/>
        </w:rPr>
        <w:t xml:space="preserve"> and $5.8 million, respectively, of total unrecognized employee compensation cost related to nonvested awards that it expects to recognize over a weighted-average period of </w:t>
      </w:r>
      <w:r>
        <w:rPr>
          <w:rFonts w:ascii="Arial" w:cs="Arial" w:eastAsia="Arial" w:hAnsi="Arial"/>
          <w:sz w:val="17"/>
          <w:szCs w:val="17"/>
          <w:color w:val="000000"/>
        </w:rPr>
        <w:t>2</w:t>
      </w:r>
      <w:r>
        <w:rPr>
          <w:rFonts w:ascii="Arial" w:cs="Arial" w:eastAsia="Arial" w:hAnsi="Arial"/>
          <w:sz w:val="17"/>
          <w:szCs w:val="17"/>
          <w:color w:val="231F20"/>
        </w:rPr>
        <w:t xml:space="preserve"> years.</w:t>
      </w:r>
    </w:p>
    <w:p>
      <w:pPr>
        <w:spacing w:after="0" w:line="163"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Pr>
          <w:p>
            <w:pPr>
              <w:spacing w:after="0"/>
              <w:rPr>
                <w:sz w:val="19"/>
                <w:szCs w:val="19"/>
                <w:color w:val="auto"/>
              </w:rPr>
            </w:pPr>
          </w:p>
        </w:tc>
      </w:tr>
      <w:tr>
        <w:trPr>
          <w:trHeight w:val="274"/>
        </w:trPr>
        <w:tc>
          <w:tcPr>
            <w:tcW w:w="42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3"/>
                <w:szCs w:val="23"/>
                <w:color w:val="auto"/>
              </w:rPr>
            </w:pPr>
          </w:p>
        </w:tc>
      </w:tr>
      <w:tr>
        <w:trPr>
          <w:trHeight w:val="264"/>
        </w:trPr>
        <w:tc>
          <w:tcPr>
            <w:tcW w:w="4240" w:type="dxa"/>
            <w:vAlign w:val="bottom"/>
          </w:tcPr>
          <w:p>
            <w:pPr>
              <w:spacing w:after="0"/>
              <w:rPr>
                <w:sz w:val="22"/>
                <w:szCs w:val="22"/>
                <w:color w:val="auto"/>
              </w:rPr>
            </w:pPr>
          </w:p>
        </w:tc>
        <w:tc>
          <w:tcPr>
            <w:tcW w:w="140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2013</w:t>
            </w:r>
          </w:p>
        </w:tc>
        <w:tc>
          <w:tcPr>
            <w:tcW w:w="214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14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212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rPr>
              <w:t>2012</w:t>
            </w:r>
          </w:p>
        </w:tc>
      </w:tr>
      <w:tr>
        <w:trPr>
          <w:trHeight w:val="254"/>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6.0</w:t>
            </w:r>
          </w:p>
        </w:tc>
      </w:tr>
      <w:tr>
        <w:trPr>
          <w:trHeight w:val="262"/>
        </w:trPr>
        <w:tc>
          <w:tcPr>
            <w:tcW w:w="42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99"/>
              </w:rPr>
              <w:t>52%</w:t>
            </w:r>
          </w:p>
        </w:tc>
        <w:tc>
          <w:tcPr>
            <w:tcW w:w="2140" w:type="dxa"/>
            <w:vAlign w:val="bottom"/>
            <w:gridSpan w:val="4"/>
          </w:tcPr>
          <w:p>
            <w:pPr>
              <w:jc w:val="center"/>
              <w:ind w:left="3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 to</w:t>
            </w:r>
          </w:p>
        </w:tc>
        <w:tc>
          <w:tcPr>
            <w:tcW w:w="440" w:type="dxa"/>
            <w:vAlign w:val="bottom"/>
          </w:tcPr>
          <w:p>
            <w:pPr>
              <w:ind w:left="20"/>
              <w:spacing w:after="0"/>
              <w:rPr>
                <w:sz w:val="20"/>
                <w:szCs w:val="20"/>
                <w:color w:val="auto"/>
              </w:rPr>
            </w:pPr>
            <w:r>
              <w:rPr>
                <w:rFonts w:ascii="Arial" w:cs="Arial" w:eastAsia="Arial" w:hAnsi="Arial"/>
                <w:sz w:val="16"/>
                <w:szCs w:val="16"/>
                <w:color w:val="auto"/>
              </w:rPr>
              <w:t>53%</w:t>
            </w:r>
          </w:p>
        </w:tc>
        <w:tc>
          <w:tcPr>
            <w:tcW w:w="2120" w:type="dxa"/>
            <w:vAlign w:val="bottom"/>
            <w:gridSpan w:val="4"/>
          </w:tcPr>
          <w:p>
            <w:pPr>
              <w:jc w:val="center"/>
              <w:ind w:left="339"/>
              <w:spacing w:after="0"/>
              <w:rPr>
                <w:sz w:val="20"/>
                <w:szCs w:val="20"/>
                <w:color w:val="auto"/>
              </w:rPr>
            </w:pPr>
            <w:r>
              <w:rPr>
                <w:rFonts w:ascii="Arial" w:cs="Arial" w:eastAsia="Arial" w:hAnsi="Arial"/>
                <w:sz w:val="16"/>
                <w:szCs w:val="16"/>
                <w:color w:val="auto"/>
              </w:rPr>
              <w:t>53%</w:t>
            </w: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0.9%</w:t>
            </w:r>
          </w:p>
        </w:tc>
      </w:tr>
      <w:tr>
        <w:trPr>
          <w:trHeight w:val="255"/>
        </w:trPr>
        <w:tc>
          <w:tcPr>
            <w:tcW w:w="42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r>
    </w:tbl>
    <w:p>
      <w:pPr>
        <w:spacing w:after="0" w:line="209"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7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$0.3 million</w:t>
      </w:r>
      <w:r>
        <w:rPr>
          <w:rFonts w:ascii="Arial" w:cs="Arial" w:eastAsia="Arial" w:hAnsi="Arial"/>
          <w:sz w:val="18"/>
          <w:szCs w:val="18"/>
          <w:color w:val="231F20"/>
        </w:rPr>
        <w:t xml:space="preserve"> and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and </w:t>
      </w:r>
      <w:r>
        <w:rPr>
          <w:rFonts w:ascii="Arial" w:cs="Arial" w:eastAsia="Arial" w:hAnsi="Arial"/>
          <w:sz w:val="18"/>
          <w:szCs w:val="18"/>
          <w:color w:val="000000"/>
        </w:rPr>
        <w:t>$0.3 million</w:t>
      </w:r>
      <w:r>
        <w:rPr>
          <w:rFonts w:ascii="Arial" w:cs="Arial" w:eastAsia="Arial" w:hAnsi="Arial"/>
          <w:sz w:val="18"/>
          <w:szCs w:val="18"/>
          <w:color w:val="231F20"/>
        </w:rPr>
        <w:t xml:space="preserve"> and </w:t>
      </w:r>
      <w:r>
        <w:rPr>
          <w:rFonts w:ascii="Arial" w:cs="Arial" w:eastAsia="Arial" w:hAnsi="Arial"/>
          <w:sz w:val="18"/>
          <w:szCs w:val="18"/>
          <w:color w:val="000000"/>
        </w:rPr>
        <w:t>$0.2</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for the</w:t>
      </w:r>
      <w:r>
        <w:rPr>
          <w:rFonts w:ascii="Arial" w:cs="Arial" w:eastAsia="Arial" w:hAnsi="Arial"/>
          <w:sz w:val="18"/>
          <w:szCs w:val="18"/>
          <w:color w:val="000000"/>
        </w:rPr>
        <w:t xml:space="preserve"> six months ended June 30,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 Non-employee stock-based compensation is recognized over the</w:t>
      </w:r>
      <w:r>
        <w:rPr>
          <w:rFonts w:ascii="Arial" w:cs="Arial" w:eastAsia="Arial" w:hAnsi="Arial"/>
          <w:sz w:val="18"/>
          <w:szCs w:val="18"/>
          <w:color w:val="000000"/>
        </w:rPr>
        <w:t xml:space="preserve"> </w:t>
      </w:r>
      <w:r>
        <w:rPr>
          <w:rFonts w:ascii="Arial" w:cs="Arial" w:eastAsia="Arial" w:hAnsi="Arial"/>
          <w:sz w:val="18"/>
          <w:szCs w:val="18"/>
          <w:color w:val="231F20"/>
        </w:rPr>
        <w:t>vesting periods of the options. The value of options granted to non-employees is remeasured as they vest over a performance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32"/>
        </w:trPr>
        <w:tc>
          <w:tcPr>
            <w:tcW w:w="5040" w:type="dxa"/>
            <w:vAlign w:val="bottom"/>
          </w:tcPr>
          <w:p>
            <w:pPr>
              <w:spacing w:after="0"/>
              <w:rPr>
                <w:sz w:val="20"/>
                <w:szCs w:val="20"/>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20"/>
                <w:szCs w:val="20"/>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4"/>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6,513,508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2"/>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1,024,250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2013</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6,741,683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71,877</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2013</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6,068,632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67,298</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2013</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5,667,591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60,426</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170"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 xml:space="preserve">During the three months ended June 30, 2013 and 2012, the Company granted 1,900 and 2,750 shares of restricted stock, respectively, which vested immediately and had no further restrictions or service period, and resulted in compensation expense of $20,000 and $32,000 for the three months ended June 30, 2013 and 2012, respectively. The Company did not issue restricted stock </w:t>
      </w:r>
      <w:r>
        <w:rPr>
          <w:rFonts w:ascii="Arial" w:cs="Arial" w:eastAsia="Arial" w:hAnsi="Arial"/>
          <w:sz w:val="18"/>
          <w:szCs w:val="18"/>
          <w:color w:val="231F20"/>
        </w:rPr>
        <w:t>during the firs</w:t>
      </w:r>
      <w:r>
        <w:rPr>
          <w:rFonts w:ascii="Arial" w:cs="Arial" w:eastAsia="Arial" w:hAnsi="Arial"/>
          <w:sz w:val="18"/>
          <w:szCs w:val="18"/>
          <w:color w:val="auto"/>
        </w:rPr>
        <w:t>t quarters of 2013 or 2012.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4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6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3"/>
                <w:szCs w:val="23"/>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0"/>
        </w:trPr>
        <w:tc>
          <w:tcPr>
            <w:tcW w:w="5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ind w:left="86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 net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42"/>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33" w:lineRule="exact"/>
        <w:rPr>
          <w:sz w:val="20"/>
          <w:szCs w:val="20"/>
          <w:color w:val="auto"/>
        </w:rPr>
      </w:pPr>
    </w:p>
    <w:p>
      <w:pPr>
        <w:ind w:right="320" w:firstLine="486"/>
        <w:spacing w:after="0" w:line="292" w:lineRule="auto"/>
        <w:rPr>
          <w:sz w:val="20"/>
          <w:szCs w:val="20"/>
          <w:color w:val="auto"/>
        </w:rPr>
      </w:pPr>
      <w:r>
        <w:rPr>
          <w:rFonts w:ascii="Arial" w:cs="Arial" w:eastAsia="Arial" w:hAnsi="Arial"/>
          <w:sz w:val="18"/>
          <w:szCs w:val="18"/>
          <w:color w:val="231F20"/>
        </w:rPr>
        <w:t xml:space="preserve">The provision for income taxes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and 2012 primarily reflects the provision for income taxes for foreign taxes and certain discrete items.</w:t>
      </w:r>
    </w:p>
    <w:p>
      <w:pPr>
        <w:spacing w:after="0" w:line="14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2013</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$3.1 million</w:t>
      </w:r>
      <w:r>
        <w:rPr>
          <w:rFonts w:ascii="Arial" w:cs="Arial" w:eastAsia="Arial" w:hAnsi="Arial"/>
          <w:sz w:val="18"/>
          <w:szCs w:val="18"/>
          <w:color w:val="231F20"/>
        </w:rPr>
        <w:t xml:space="preserve">, of which </w:t>
      </w:r>
      <w:r>
        <w:rPr>
          <w:rFonts w:ascii="Arial" w:cs="Arial" w:eastAsia="Arial" w:hAnsi="Arial"/>
          <w:sz w:val="18"/>
          <w:szCs w:val="18"/>
          <w:color w:val="000000"/>
        </w:rPr>
        <w:t>$1.0 million</w:t>
      </w:r>
      <w:r>
        <w:rPr>
          <w:rFonts w:ascii="Arial" w:cs="Arial" w:eastAsia="Arial" w:hAnsi="Arial"/>
          <w:sz w:val="18"/>
          <w:szCs w:val="18"/>
          <w:color w:val="231F20"/>
        </w:rPr>
        <w:t xml:space="preserve">, if recognized and in absence of a valuation allowance, would favorably impact the Company's effective tax rate.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$ 2.6 million</w:t>
      </w:r>
      <w:r>
        <w:rPr>
          <w:rFonts w:ascii="Arial" w:cs="Arial" w:eastAsia="Arial" w:hAnsi="Arial"/>
          <w:sz w:val="18"/>
          <w:szCs w:val="18"/>
          <w:color w:val="231F20"/>
        </w:rPr>
        <w:t xml:space="preserve">, of which </w:t>
      </w:r>
      <w:r>
        <w:rPr>
          <w:rFonts w:ascii="Arial" w:cs="Arial" w:eastAsia="Arial" w:hAnsi="Arial"/>
          <w:sz w:val="18"/>
          <w:szCs w:val="18"/>
          <w:color w:val="000000"/>
        </w:rPr>
        <w:t>$1.0 million</w:t>
      </w:r>
      <w:r>
        <w:rPr>
          <w:rFonts w:ascii="Arial" w:cs="Arial" w:eastAsia="Arial" w:hAnsi="Arial"/>
          <w:sz w:val="18"/>
          <w:szCs w:val="18"/>
          <w:color w:val="231F20"/>
        </w:rPr>
        <w:t>, if recognized and in absence of valuation allowance, would favorably impact the Company's effective tax rate.</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Segment Information and Information about Geographic Area</w:t>
      </w:r>
    </w:p>
    <w:p>
      <w:pPr>
        <w:spacing w:after="0" w:line="13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(“CODM”)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18,434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35,807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29,021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7,857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15,367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14,360</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43,381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property and equipment located outside the United States were not material.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(Loss) Per Share Attributable to Common Stockholders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(loss) per share attributable to common stockholders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620" w:type="dxa"/>
            <w:vAlign w:val="bottom"/>
          </w:tcPr>
          <w:p>
            <w:pPr>
              <w:ind w:left="40"/>
              <w:spacing w:after="0"/>
              <w:rPr>
                <w:sz w:val="20"/>
                <w:szCs w:val="20"/>
                <w:color w:val="auto"/>
              </w:rPr>
            </w:pPr>
            <w:r>
              <w:rPr>
                <w:rFonts w:ascii="Arial" w:cs="Arial" w:eastAsia="Arial" w:hAnsi="Arial"/>
                <w:sz w:val="14"/>
                <w:szCs w:val="14"/>
                <w:color w:val="auto"/>
              </w:rPr>
              <w:t>Numerator:</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Net income attributable to participating securities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common stockholders - basic</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Undistributed earnings reallocated to participating securities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common stockholders - diluted</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shares used in computing net income (loss) per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attributable to common stockholders - basic</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31,777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Effect of potentially dilutive securities: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stock options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3,616</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20" w:type="dxa"/>
            <w:vAlign w:val="bottom"/>
          </w:tcPr>
          <w:p>
            <w:pPr>
              <w:ind w:left="280"/>
              <w:spacing w:after="0" w:line="156" w:lineRule="exact"/>
              <w:rPr>
                <w:sz w:val="20"/>
                <w:szCs w:val="20"/>
                <w:color w:val="auto"/>
              </w:rPr>
            </w:pPr>
            <w:r>
              <w:rPr>
                <w:rFonts w:ascii="Arial" w:cs="Arial" w:eastAsia="Arial" w:hAnsi="Arial"/>
                <w:sz w:val="14"/>
                <w:szCs w:val="14"/>
                <w:color w:val="auto"/>
              </w:rPr>
              <w:t>Weighted-average shares used in computing net income (loss) per share</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attributable to common stockholders - diluted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35,393</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268"/>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per share attributable to common stockholders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360" w:firstLine="486"/>
        <w:spacing w:after="0" w:line="292" w:lineRule="auto"/>
        <w:rPr>
          <w:sz w:val="20"/>
          <w:szCs w:val="20"/>
          <w:color w:val="auto"/>
        </w:rPr>
      </w:pPr>
      <w:r>
        <w:rPr>
          <w:rFonts w:ascii="Arial" w:cs="Arial" w:eastAsia="Arial" w:hAnsi="Arial"/>
          <w:sz w:val="18"/>
          <w:szCs w:val="18"/>
          <w:color w:val="231F20"/>
        </w:rPr>
        <w:t>The following shares were excluded in the calculation of diluted net income (loss) per share because their inclusion would have been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4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center"/>
              <w:ind w:right="368"/>
              <w:spacing w:after="0"/>
              <w:rPr>
                <w:sz w:val="20"/>
                <w:szCs w:val="20"/>
                <w:color w:val="auto"/>
              </w:rPr>
            </w:pPr>
            <w:r>
              <w:rPr>
                <w:rFonts w:ascii="Arial" w:cs="Arial" w:eastAsia="Arial" w:hAnsi="Arial"/>
                <w:sz w:val="14"/>
                <w:szCs w:val="14"/>
                <w:b w:val="1"/>
                <w:bCs w:val="1"/>
                <w:color w:val="auto"/>
              </w:rPr>
              <w:t>Six Months Ended</w:t>
            </w:r>
          </w:p>
        </w:tc>
      </w:tr>
      <w:tr>
        <w:trPr>
          <w:trHeight w:val="271"/>
        </w:trPr>
        <w:tc>
          <w:tcPr>
            <w:tcW w:w="5620" w:type="dxa"/>
            <w:vAlign w:val="bottom"/>
          </w:tcPr>
          <w:p>
            <w:pPr>
              <w:spacing w:after="0"/>
              <w:rPr>
                <w:sz w:val="23"/>
                <w:szCs w:val="23"/>
                <w:color w:val="auto"/>
              </w:rPr>
            </w:pPr>
          </w:p>
        </w:tc>
        <w:tc>
          <w:tcPr>
            <w:tcW w:w="1880" w:type="dxa"/>
            <w:vAlign w:val="bottom"/>
            <w:tcBorders>
              <w:bottom w:val="single" w:sz="8" w:color="auto"/>
            </w:tcBorders>
            <w:gridSpan w:val="3"/>
          </w:tcPr>
          <w:p>
            <w:pPr>
              <w:jc w:val="center"/>
              <w:ind w:left="94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r>
      <w:tr>
        <w:trPr>
          <w:trHeight w:val="264"/>
        </w:trPr>
        <w:tc>
          <w:tcPr>
            <w:tcW w:w="56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gridSpan w:val="3"/>
          </w:tcPr>
          <w:p>
            <w:pPr>
              <w:ind w:left="5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17,597</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Common stock options</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6,539</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6,466</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Contingently issuable shares related to an acquisition</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37"/>
        </w:trPr>
        <w:tc>
          <w:tcPr>
            <w:tcW w:w="562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24,140</w:t>
            </w: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24,071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231F20"/>
        </w:rPr>
        <w:t>All of the convertible preferred stock automatically converted to common stock on a 1-for-1 basis in connection with the consummation of the Company's initial public offering. For the three and six months ended June 30, 2012, the amounts presented in the table above were the weighted average shares of common stock underlying outstanding shares of convertible preferred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340"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2012, filed with the Securities and Exchange Commission, or SEC, on March 5, 2013.</w:t>
      </w:r>
    </w:p>
    <w:p>
      <w:pPr>
        <w:spacing w:after="0" w:line="2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We disclaim any obligation to update any forward-looking statements to reflect events or circumstances after the date of such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9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4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were founded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85% and 88% for the six months months ended June 30, 2013 and 2012,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w:t>
      </w:r>
    </w:p>
    <w:p>
      <w:pPr>
        <w:spacing w:after="0" w:line="178" w:lineRule="exact"/>
        <w:rPr>
          <w:sz w:val="20"/>
          <w:szCs w:val="20"/>
          <w:color w:val="auto"/>
        </w:rPr>
      </w:pPr>
    </w:p>
    <w:p>
      <w:pPr>
        <w:ind w:right="160" w:firstLine="405"/>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w:t>
      </w:r>
    </w:p>
    <w:p>
      <w:pPr>
        <w:spacing w:after="0" w:line="135"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89"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 xml:space="preserve">We have had continued revenue growth in the three and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same periods in 2012. Our revenues increased to </w:t>
      </w:r>
      <w:r>
        <w:rPr>
          <w:rFonts w:ascii="Arial" w:cs="Arial" w:eastAsia="Arial" w:hAnsi="Arial"/>
          <w:sz w:val="18"/>
          <w:szCs w:val="18"/>
          <w:color w:val="000000"/>
        </w:rPr>
        <w:t>$26.3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from </w:t>
      </w:r>
      <w:r>
        <w:rPr>
          <w:rFonts w:ascii="Arial" w:cs="Arial" w:eastAsia="Arial" w:hAnsi="Arial"/>
          <w:sz w:val="18"/>
          <w:szCs w:val="18"/>
          <w:color w:val="000000"/>
        </w:rPr>
        <w:t>$ 22.2 million</w:t>
      </w:r>
      <w:r>
        <w:rPr>
          <w:rFonts w:ascii="Arial" w:cs="Arial" w:eastAsia="Arial" w:hAnsi="Arial"/>
          <w:sz w:val="18"/>
          <w:szCs w:val="18"/>
          <w:color w:val="231F20"/>
        </w:rPr>
        <w:t xml:space="preserve"> for the comparable period in 2012, representing an increase of </w:t>
      </w:r>
      <w:r>
        <w:rPr>
          <w:rFonts w:ascii="Arial" w:cs="Arial" w:eastAsia="Arial" w:hAnsi="Arial"/>
          <w:sz w:val="18"/>
          <w:szCs w:val="18"/>
          <w:color w:val="000000"/>
        </w:rPr>
        <w:t>$4.1 million</w:t>
      </w:r>
      <w:r>
        <w:rPr>
          <w:rFonts w:ascii="Arial" w:cs="Arial" w:eastAsia="Arial" w:hAnsi="Arial"/>
          <w:sz w:val="18"/>
          <w:szCs w:val="18"/>
          <w:color w:val="231F20"/>
        </w:rPr>
        <w:t xml:space="preserve"> or </w:t>
      </w:r>
      <w:r>
        <w:rPr>
          <w:rFonts w:ascii="Arial" w:cs="Arial" w:eastAsia="Arial" w:hAnsi="Arial"/>
          <w:sz w:val="18"/>
          <w:szCs w:val="18"/>
          <w:color w:val="000000"/>
        </w:rPr>
        <w:t>18%</w:t>
      </w:r>
      <w:r>
        <w:rPr>
          <w:rFonts w:ascii="Arial" w:cs="Arial" w:eastAsia="Arial" w:hAnsi="Arial"/>
          <w:sz w:val="18"/>
          <w:szCs w:val="18"/>
          <w:color w:val="231F20"/>
        </w:rPr>
        <w:t xml:space="preserve">. Revenues reached </w:t>
      </w:r>
      <w:r>
        <w:rPr>
          <w:rFonts w:ascii="Arial" w:cs="Arial" w:eastAsia="Arial" w:hAnsi="Arial"/>
          <w:sz w:val="18"/>
          <w:szCs w:val="18"/>
          <w:color w:val="000000"/>
        </w:rPr>
        <w:t>$51.2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w:t>
      </w:r>
      <w:r>
        <w:rPr>
          <w:rFonts w:ascii="Arial" w:cs="Arial" w:eastAsia="Arial" w:hAnsi="Arial"/>
          <w:sz w:val="18"/>
          <w:szCs w:val="18"/>
          <w:color w:val="000000"/>
        </w:rPr>
        <w:t>$43.4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in the</w:t>
      </w:r>
      <w:r>
        <w:rPr>
          <w:rFonts w:ascii="Arial" w:cs="Arial" w:eastAsia="Arial" w:hAnsi="Arial"/>
          <w:sz w:val="18"/>
          <w:szCs w:val="18"/>
          <w:color w:val="000000"/>
        </w:rPr>
        <w:t xml:space="preserve"> six months ended June 30, 2012</w:t>
      </w:r>
      <w:r>
        <w:rPr>
          <w:rFonts w:ascii="Arial" w:cs="Arial" w:eastAsia="Arial" w:hAnsi="Arial"/>
          <w:sz w:val="18"/>
          <w:szCs w:val="18"/>
          <w:color w:val="231F20"/>
        </w:rPr>
        <w:t>, representing an increase of</w:t>
      </w:r>
      <w:r>
        <w:rPr>
          <w:rFonts w:ascii="Arial" w:cs="Arial" w:eastAsia="Arial" w:hAnsi="Arial"/>
          <w:sz w:val="18"/>
          <w:szCs w:val="18"/>
          <w:color w:val="000000"/>
        </w:rPr>
        <w:t xml:space="preserve"> $7.8 million</w:t>
      </w:r>
      <w:r>
        <w:rPr>
          <w:rFonts w:ascii="Arial" w:cs="Arial" w:eastAsia="Arial" w:hAnsi="Arial"/>
          <w:sz w:val="18"/>
          <w:szCs w:val="18"/>
          <w:color w:val="231F20"/>
        </w:rPr>
        <w:t>, or</w:t>
      </w:r>
      <w:r>
        <w:rPr>
          <w:rFonts w:ascii="Arial" w:cs="Arial" w:eastAsia="Arial" w:hAnsi="Arial"/>
          <w:sz w:val="18"/>
          <w:szCs w:val="18"/>
          <w:color w:val="000000"/>
        </w:rPr>
        <w:t xml:space="preserve"> 18%</w:t>
      </w:r>
      <w:r>
        <w:rPr>
          <w:rFonts w:ascii="Arial" w:cs="Arial" w:eastAsia="Arial" w:hAnsi="Arial"/>
          <w:sz w:val="18"/>
          <w:szCs w:val="18"/>
          <w:color w:val="231F20"/>
        </w:rPr>
        <w:t>. For the</w:t>
      </w:r>
      <w:r>
        <w:rPr>
          <w:rFonts w:ascii="Arial" w:cs="Arial" w:eastAsia="Arial" w:hAnsi="Arial"/>
          <w:sz w:val="18"/>
          <w:szCs w:val="18"/>
          <w:color w:val="000000"/>
        </w:rPr>
        <w:t xml:space="preserve"> three months ended June 30, 2013, we had net income of $0.9 million compared to net loss of $0.3 million for the three months ended June 30, 2012. For the six months ended June 30, 2013, we had net income of $0.3 million compared to net loss of $0.6 million for the six months ended June 30, 2012.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5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unaudited table presents the reconciliation of revenues to Four-Quarter Bookings for the four quarters ended </w:t>
      </w:r>
      <w:r>
        <w:rPr>
          <w:rFonts w:ascii="Arial" w:cs="Arial" w:eastAsia="Arial" w:hAnsi="Arial"/>
          <w:sz w:val="18"/>
          <w:szCs w:val="18"/>
          <w:color w:val="000000"/>
        </w:rPr>
        <w:t>June 30,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2013 </w:t>
      </w:r>
      <w:r>
        <w:rPr>
          <w:rFonts w:ascii="Arial" w:cs="Arial" w:eastAsia="Arial" w:hAnsi="Arial"/>
          <w:sz w:val="18"/>
          <w:szCs w:val="18"/>
          <w:color w:val="231F20"/>
        </w:rPr>
        <w:t>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Four Quarters Ended</w:t>
            </w:r>
          </w:p>
        </w:tc>
      </w:tr>
      <w:tr>
        <w:trPr>
          <w:trHeight w:val="274"/>
        </w:trPr>
        <w:tc>
          <w:tcPr>
            <w:tcW w:w="74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bottom w:val="single" w:sz="8" w:color="auto"/>
            </w:tcBorders>
          </w:tcPr>
          <w:p>
            <w:pPr>
              <w:spacing w:after="0"/>
              <w:rPr>
                <w:sz w:val="23"/>
                <w:szCs w:val="23"/>
                <w:color w:val="auto"/>
              </w:rPr>
            </w:pPr>
          </w:p>
        </w:tc>
      </w:tr>
      <w:tr>
        <w:trPr>
          <w:trHeight w:val="264"/>
        </w:trPr>
        <w:tc>
          <w:tcPr>
            <w:tcW w:w="7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250"/>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(in thousands, except percentages)</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99,213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83,408</w:t>
            </w:r>
          </w:p>
        </w:tc>
      </w:tr>
      <w:tr>
        <w:trPr>
          <w:trHeight w:val="262"/>
        </w:trPr>
        <w:tc>
          <w:tcPr>
            <w:tcW w:w="74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8"/>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Beginning of the Four-Quarter Period</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48,999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38,361</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Ending</w:t>
            </w: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58,835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48,999</w:t>
            </w:r>
          </w:p>
        </w:tc>
      </w:tr>
      <w:tr>
        <w:trPr>
          <w:trHeight w:val="250"/>
        </w:trPr>
        <w:tc>
          <w:tcPr>
            <w:tcW w:w="7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change</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9,836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10,638</w:t>
            </w:r>
          </w:p>
        </w:tc>
      </w:tr>
      <w:tr>
        <w:trPr>
          <w:trHeight w:val="28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Four-Quarter Bookings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109,049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94,046</w:t>
            </w:r>
          </w:p>
        </w:tc>
      </w:tr>
      <w:tr>
        <w:trPr>
          <w:trHeight w:val="218"/>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71"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5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unaudited table presents the reconciliation of net income to Adjusted EBITDA for the three and </w:t>
      </w:r>
      <w:r>
        <w:rPr>
          <w:rFonts w:ascii="Arial" w:cs="Arial" w:eastAsia="Arial" w:hAnsi="Arial"/>
          <w:sz w:val="18"/>
          <w:szCs w:val="18"/>
          <w:color w:val="000000"/>
        </w:rPr>
        <w:t>six months ended June 30,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2013 </w:t>
      </w:r>
      <w:r>
        <w:rPr>
          <w:rFonts w:ascii="Arial" w:cs="Arial" w:eastAsia="Arial" w:hAnsi="Arial"/>
          <w:sz w:val="18"/>
          <w:szCs w:val="18"/>
          <w:color w:val="231F20"/>
        </w:rPr>
        <w:t>and</w:t>
      </w:r>
      <w:r>
        <w:rPr>
          <w:rFonts w:ascii="Arial" w:cs="Arial" w:eastAsia="Arial" w:hAnsi="Arial"/>
          <w:sz w:val="18"/>
          <w:szCs w:val="18"/>
          <w:color w:val="auto"/>
        </w:rPr>
        <w:t xml:space="preserve"> 2012</w:t>
      </w:r>
      <w:r>
        <w:rPr>
          <w:rFonts w:ascii="Arial" w:cs="Arial" w:eastAsia="Arial" w:hAnsi="Arial"/>
          <w:sz w:val="18"/>
          <w:szCs w:val="18"/>
          <w:color w:val="231F20"/>
        </w:rPr>
        <w: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6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23"/>
                <w:szCs w:val="23"/>
                <w:color w:val="auto"/>
              </w:rPr>
            </w:pPr>
          </w:p>
        </w:tc>
        <w:tc>
          <w:tcPr>
            <w:tcW w:w="16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23"/>
                <w:szCs w:val="23"/>
                <w:color w:val="auto"/>
              </w:rPr>
            </w:pPr>
          </w:p>
        </w:tc>
      </w:tr>
      <w:tr>
        <w:trPr>
          <w:trHeight w:val="264"/>
        </w:trPr>
        <w:tc>
          <w:tcPr>
            <w:tcW w:w="54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250"/>
        </w:trPr>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4"/>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r>
      <w:tr>
        <w:trPr>
          <w:trHeight w:val="262"/>
        </w:trPr>
        <w:tc>
          <w:tcPr>
            <w:tcW w:w="54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218</w:t>
            </w:r>
          </w:p>
        </w:tc>
      </w:tr>
      <w:tr>
        <w:trPr>
          <w:trHeight w:val="278"/>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r>
      <w:tr>
        <w:trPr>
          <w:trHeight w:val="262"/>
        </w:trPr>
        <w:tc>
          <w:tcPr>
            <w:tcW w:w="542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3,327</w:t>
            </w:r>
          </w:p>
        </w:tc>
      </w:tr>
      <w:tr>
        <w:trPr>
          <w:trHeight w:val="278"/>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219</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2,187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1,556</w:t>
            </w:r>
          </w:p>
        </w:tc>
      </w:tr>
      <w:tr>
        <w:trPr>
          <w:trHeight w:val="24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4,758</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Four-Quarter Bookings and Adjusted EBITDA</w:t>
      </w:r>
    </w:p>
    <w:p>
      <w:pPr>
        <w:spacing w:after="0" w:line="171"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231F20"/>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37" w:lineRule="exact"/>
        <w:rPr>
          <w:sz w:val="20"/>
          <w:szCs w:val="20"/>
          <w:color w:val="auto"/>
        </w:rPr>
      </w:pPr>
    </w:p>
    <w:p>
      <w:pPr>
        <w:ind w:left="1060" w:hanging="404"/>
        <w:spacing w:after="0" w:line="289"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Four-Quarter Bookings reflects the amount of revenues over a four-quarter period, plus the net change in the current portion of deferred revenues, while revenues are recognized ratably over the subscription periods;</w:t>
      </w:r>
    </w:p>
    <w:p>
      <w:pPr>
        <w:spacing w:after="0" w:line="1"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9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36" w:lineRule="exact"/>
        <w:rPr>
          <w:rFonts w:ascii="Arial" w:cs="Arial" w:eastAsia="Arial" w:hAnsi="Arial"/>
          <w:sz w:val="18"/>
          <w:szCs w:val="18"/>
          <w:color w:val="231F20"/>
        </w:rPr>
      </w:pPr>
    </w:p>
    <w:p>
      <w:pPr>
        <w:ind w:left="1060" w:right="20" w:hanging="404"/>
        <w:spacing w:after="0" w:line="29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Four-Quarter Bookings or Adjusted EBITDA differently or not at all, which reduces their usefulness as a comparative measure.</w:t>
      </w:r>
    </w:p>
    <w:p>
      <w:pPr>
        <w:spacing w:after="0" w:line="185"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231F20"/>
        </w:rPr>
        <w:t>Because of these limitations, Four-Quarter Bookings and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5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71"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provided to certain customers as part of their subscriptions, expenses related to the use of third-party data centers, amortization of third-party technology licensing fees, shipping costs, fees paid to contractors who supplement or support our operations center personnel and overhead allocations. We expect to continue to make significant capital investments to expand our data center operations, which will increase the cost of revenues in absolute dollars.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15"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1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that sales and marketing expenses will increase in absolute dollars.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23"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professional services fees, insurance, certain other corporate governance-related expenses, and overhead allocations. We expect that general and administrative expenses will increase in absolute dollars, as we continue to add personnel to support our growth and operate as a public company.</w:t>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71" w:lineRule="exact"/>
        <w:rPr>
          <w:sz w:val="20"/>
          <w:szCs w:val="20"/>
          <w:color w:val="auto"/>
        </w:rPr>
      </w:pPr>
    </w:p>
    <w:p>
      <w:pPr>
        <w:jc w:val="both"/>
        <w:ind w:right="180" w:firstLine="486"/>
        <w:spacing w:after="0" w:line="271" w:lineRule="auto"/>
        <w:rPr>
          <w:sz w:val="20"/>
          <w:szCs w:val="20"/>
          <w:color w:val="auto"/>
        </w:rPr>
      </w:pPr>
      <w:r>
        <w:rPr>
          <w:rFonts w:ascii="Arial" w:cs="Arial" w:eastAsia="Arial" w:hAnsi="Arial"/>
          <w:sz w:val="18"/>
          <w:szCs w:val="18"/>
          <w:color w:val="231F20"/>
        </w:rPr>
        <w:t>Our other income (expense), net consists primarily of foreign exchange gains and losses, the majority of which result from fluctuations between the U.S. dollar and the Euro, British pound and Japanese yen, interest expense associated with our capital leases, and interest and investment income.</w:t>
      </w: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71"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163"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 xml:space="preserve">We maintain a valuation allowance on our U.S. federal and state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Our effective tax rate could also change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6"/>
          </w:tcPr>
          <w:p>
            <w:pPr>
              <w:jc w:val="center"/>
              <w:ind w:right="462"/>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62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3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8"/>
          </w:tcPr>
          <w:p>
            <w:pPr>
              <w:jc w:val="right"/>
              <w:ind w:right="98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460" w:type="dxa"/>
            <w:vAlign w:val="bottom"/>
          </w:tcPr>
          <w:p>
            <w:pPr>
              <w:jc w:val="right"/>
              <w:ind w:right="283"/>
              <w:spacing w:after="0"/>
              <w:rPr>
                <w:sz w:val="20"/>
                <w:szCs w:val="20"/>
                <w:color w:val="auto"/>
              </w:rPr>
            </w:pPr>
            <w:r>
              <w:rPr>
                <w:rFonts w:ascii="Arial" w:cs="Arial" w:eastAsia="Arial" w:hAnsi="Arial"/>
                <w:sz w:val="16"/>
                <w:szCs w:val="16"/>
                <w:color w:val="231F20"/>
                <w:w w:val="89"/>
              </w:rPr>
              <w:t>$</w:t>
            </w:r>
          </w:p>
        </w:tc>
        <w:tc>
          <w:tcPr>
            <w:tcW w:w="1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231F20"/>
              </w:rPr>
              <w:t>26,291</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231F20"/>
              </w:rPr>
              <w:t>22,190</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51,174</w:t>
            </w:r>
          </w:p>
        </w:tc>
        <w:tc>
          <w:tcPr>
            <w:tcW w:w="120" w:type="dxa"/>
            <w:vAlign w:val="bottom"/>
          </w:tcPr>
          <w:p>
            <w:pPr>
              <w:spacing w:after="0"/>
              <w:rPr>
                <w:sz w:val="22"/>
                <w:szCs w:val="22"/>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231F20"/>
              </w:rPr>
              <w:t>$</w:t>
            </w:r>
          </w:p>
        </w:tc>
        <w:tc>
          <w:tcPr>
            <w:tcW w:w="32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43,381</w:t>
            </w:r>
          </w:p>
        </w:tc>
        <w:tc>
          <w:tcPr>
            <w:tcW w:w="0" w:type="dxa"/>
            <w:vAlign w:val="bottom"/>
          </w:tcPr>
          <w:p>
            <w:pPr>
              <w:spacing w:after="0"/>
              <w:rPr>
                <w:sz w:val="1"/>
                <w:szCs w:val="1"/>
                <w:color w:val="auto"/>
              </w:rPr>
            </w:pPr>
          </w:p>
        </w:tc>
      </w:tr>
      <w:tr>
        <w:trPr>
          <w:trHeight w:val="278"/>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46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780" w:type="dxa"/>
            <w:vAlign w:val="bottom"/>
            <w:tcBorders>
              <w:bottom w:val="single" w:sz="8" w:color="231F20"/>
            </w:tcBorders>
            <w:shd w:val="clear" w:color="auto" w:fill="CCEEFF"/>
          </w:tcPr>
          <w:p>
            <w:pPr>
              <w:jc w:val="right"/>
              <w:ind w:right="21"/>
              <w:spacing w:after="0"/>
              <w:rPr>
                <w:sz w:val="20"/>
                <w:szCs w:val="20"/>
                <w:color w:val="auto"/>
              </w:rPr>
            </w:pPr>
            <w:r>
              <w:rPr>
                <w:rFonts w:ascii="Arial" w:cs="Arial" w:eastAsia="Arial" w:hAnsi="Arial"/>
                <w:sz w:val="16"/>
                <w:szCs w:val="16"/>
                <w:color w:val="231F20"/>
              </w:rPr>
              <w:t>5,924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840" w:type="dxa"/>
            <w:vAlign w:val="bottom"/>
            <w:tcBorders>
              <w:bottom w:val="single" w:sz="8" w:color="231F20"/>
            </w:tcBorders>
            <w:shd w:val="clear" w:color="auto" w:fill="CCEEFF"/>
          </w:tcPr>
          <w:p>
            <w:pPr>
              <w:jc w:val="right"/>
              <w:ind w:right="2"/>
              <w:spacing w:after="0"/>
              <w:rPr>
                <w:sz w:val="20"/>
                <w:szCs w:val="20"/>
                <w:color w:val="auto"/>
              </w:rPr>
            </w:pPr>
            <w:r>
              <w:rPr>
                <w:rFonts w:ascii="Arial" w:cs="Arial" w:eastAsia="Arial" w:hAnsi="Arial"/>
                <w:sz w:val="16"/>
                <w:szCs w:val="16"/>
                <w:color w:val="231F20"/>
              </w:rPr>
              <w:t>4,629</w:t>
            </w:r>
          </w:p>
        </w:tc>
        <w:tc>
          <w:tcPr>
            <w:tcW w:w="40" w:type="dxa"/>
            <w:vAlign w:val="bottom"/>
            <w:tcBorders>
              <w:bottom w:val="single" w:sz="8" w:color="231F20"/>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8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11,719</w:t>
            </w:r>
          </w:p>
        </w:tc>
        <w:tc>
          <w:tcPr>
            <w:tcW w:w="12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2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8,789</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20,367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17,561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39,455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34,592</w:t>
            </w:r>
          </w:p>
        </w:tc>
        <w:tc>
          <w:tcPr>
            <w:tcW w:w="0" w:type="dxa"/>
            <w:vAlign w:val="bottom"/>
          </w:tcPr>
          <w:p>
            <w:pPr>
              <w:spacing w:after="0"/>
              <w:rPr>
                <w:sz w:val="1"/>
                <w:szCs w:val="1"/>
                <w:color w:val="auto"/>
              </w:rPr>
            </w:pPr>
          </w:p>
        </w:tc>
      </w:tr>
      <w:tr>
        <w:trPr>
          <w:trHeight w:val="278"/>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231F20"/>
              </w:rPr>
              <w:t>5,291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231F20"/>
              </w:rPr>
              <w:t>5,148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10,588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10,249</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231F20"/>
              </w:rPr>
              <w:t>10,160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9,784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20,328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19,030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46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ind w:right="21"/>
              <w:spacing w:after="0"/>
              <w:rPr>
                <w:sz w:val="20"/>
                <w:szCs w:val="20"/>
                <w:color w:val="auto"/>
              </w:rPr>
            </w:pPr>
            <w:r>
              <w:rPr>
                <w:rFonts w:ascii="Arial" w:cs="Arial" w:eastAsia="Arial" w:hAnsi="Arial"/>
                <w:sz w:val="16"/>
                <w:szCs w:val="16"/>
                <w:color w:val="231F20"/>
              </w:rPr>
              <w:t>4,053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2"/>
              <w:spacing w:after="0"/>
              <w:rPr>
                <w:sz w:val="20"/>
                <w:szCs w:val="20"/>
                <w:color w:val="auto"/>
              </w:rPr>
            </w:pPr>
            <w:r>
              <w:rPr>
                <w:rFonts w:ascii="Arial" w:cs="Arial" w:eastAsia="Arial" w:hAnsi="Arial"/>
                <w:sz w:val="16"/>
                <w:szCs w:val="16"/>
                <w:color w:val="231F20"/>
              </w:rPr>
              <w:t>2,843</w:t>
            </w:r>
          </w:p>
        </w:tc>
        <w:tc>
          <w:tcPr>
            <w:tcW w:w="40" w:type="dxa"/>
            <w:vAlign w:val="bottom"/>
            <w:tcBorders>
              <w:bottom w:val="single" w:sz="8" w:color="231F20"/>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7,949</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5,657</w:t>
            </w:r>
          </w:p>
        </w:tc>
        <w:tc>
          <w:tcPr>
            <w:tcW w:w="0" w:type="dxa"/>
            <w:vAlign w:val="bottom"/>
          </w:tcPr>
          <w:p>
            <w:pPr>
              <w:spacing w:after="0"/>
              <w:rPr>
                <w:sz w:val="1"/>
                <w:szCs w:val="1"/>
                <w:color w:val="auto"/>
              </w:rPr>
            </w:pPr>
          </w:p>
        </w:tc>
      </w:tr>
      <w:tr>
        <w:trPr>
          <w:trHeight w:val="244"/>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19,504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17,775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38,865</w:t>
            </w: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34,936</w:t>
            </w:r>
          </w:p>
        </w:tc>
        <w:tc>
          <w:tcPr>
            <w:tcW w:w="0" w:type="dxa"/>
            <w:vAlign w:val="bottom"/>
          </w:tcPr>
          <w:p>
            <w:pPr>
              <w:spacing w:after="0"/>
              <w:rPr>
                <w:sz w:val="1"/>
                <w:szCs w:val="1"/>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(loss) from operations</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1"/>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49"/>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(loss) before provision for (benefit from) income taxes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1"/>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46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ind w:right="21"/>
              <w:spacing w:after="0"/>
              <w:rPr>
                <w:sz w:val="20"/>
                <w:szCs w:val="20"/>
                <w:color w:val="auto"/>
              </w:rPr>
            </w:pPr>
            <w:r>
              <w:rPr>
                <w:rFonts w:ascii="Arial" w:cs="Arial" w:eastAsia="Arial" w:hAnsi="Arial"/>
                <w:sz w:val="16"/>
                <w:szCs w:val="16"/>
                <w:color w:val="231F20"/>
              </w:rPr>
              <w:t>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8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(78)</w:t>
            </w:r>
          </w:p>
        </w:tc>
        <w:tc>
          <w:tcPr>
            <w:tcW w:w="40" w:type="dxa"/>
            <w:vAlign w:val="bottom"/>
            <w:tcBorders>
              <w:bottom w:val="single" w:sz="8" w:color="231F20"/>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8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162</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0</w:t>
            </w:r>
          </w:p>
        </w:tc>
        <w:tc>
          <w:tcPr>
            <w:tcW w:w="0" w:type="dxa"/>
            <w:vAlign w:val="bottom"/>
          </w:tcPr>
          <w:p>
            <w:pPr>
              <w:spacing w:after="0"/>
              <w:rPr>
                <w:sz w:val="1"/>
                <w:szCs w:val="1"/>
                <w:color w:val="auto"/>
              </w:rPr>
            </w:pPr>
          </w:p>
        </w:tc>
      </w:tr>
      <w:tr>
        <w:trPr>
          <w:trHeight w:val="241"/>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460" w:type="dxa"/>
            <w:vAlign w:val="bottom"/>
          </w:tcPr>
          <w:p>
            <w:pPr>
              <w:jc w:val="right"/>
              <w:ind w:right="283"/>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873</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9"/>
                <w:szCs w:val="9"/>
                <w:color w:val="231F20"/>
              </w:rPr>
              <w:t>____________________</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6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right="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jc w:val="center"/>
              <w:ind w:left="68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4"/>
              </w:rPr>
              <w:t>111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w w:val="94"/>
              </w:rPr>
              <w:t>236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444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4"/>
              </w:rPr>
              <w:t>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4"/>
              </w:rPr>
              <w:t>733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1,098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2,187</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23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4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3"/>
                <w:szCs w:val="23"/>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54"/>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57"/>
        </w:trPr>
        <w:tc>
          <w:tcPr>
            <w:tcW w:w="6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w:t>
            </w:r>
          </w:p>
        </w:tc>
      </w:tr>
      <w:tr>
        <w:trPr>
          <w:trHeight w:val="262"/>
        </w:trPr>
        <w:tc>
          <w:tcPr>
            <w:tcW w:w="63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6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62"/>
        </w:trPr>
        <w:tc>
          <w:tcPr>
            <w:tcW w:w="63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44</w:t>
            </w:r>
          </w:p>
        </w:tc>
      </w:tr>
      <w:tr>
        <w:trPr>
          <w:trHeight w:val="271"/>
        </w:trPr>
        <w:tc>
          <w:tcPr>
            <w:tcW w:w="5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50"/>
        </w:trPr>
        <w:tc>
          <w:tcPr>
            <w:tcW w:w="5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w:t>
            </w: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(benefit from) income taxes</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42"/>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June 30, 2013</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2012</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26,291</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22,190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4,101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19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$4.1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2012</w:t>
      </w:r>
      <w:r>
        <w:rPr>
          <w:rFonts w:ascii="Arial" w:cs="Arial" w:eastAsia="Arial" w:hAnsi="Arial"/>
          <w:sz w:val="18"/>
          <w:szCs w:val="18"/>
          <w:color w:val="231F20"/>
        </w:rPr>
        <w:t xml:space="preserve">, primarily due to new customer subscriptions entered into after June 30, 2012 and from an increase in the purchase of subscriptions from existing customers. Of the total increase of </w:t>
      </w:r>
      <w:r>
        <w:rPr>
          <w:rFonts w:ascii="Arial" w:cs="Arial" w:eastAsia="Arial" w:hAnsi="Arial"/>
          <w:sz w:val="18"/>
          <w:szCs w:val="18"/>
          <w:color w:val="000000"/>
        </w:rPr>
        <w:t>$4.1 million</w:t>
      </w:r>
      <w:r>
        <w:rPr>
          <w:rFonts w:ascii="Arial" w:cs="Arial" w:eastAsia="Arial" w:hAnsi="Arial"/>
          <w:sz w:val="18"/>
          <w:szCs w:val="18"/>
          <w:color w:val="231F20"/>
        </w:rPr>
        <w:t xml:space="preserve">, </w:t>
      </w:r>
      <w:r>
        <w:rPr>
          <w:rFonts w:ascii="Arial" w:cs="Arial" w:eastAsia="Arial" w:hAnsi="Arial"/>
          <w:sz w:val="18"/>
          <w:szCs w:val="18"/>
          <w:color w:val="000000"/>
        </w:rPr>
        <w:t>$3.6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$0.5 million</w:t>
      </w:r>
      <w:r>
        <w:rPr>
          <w:rFonts w:ascii="Arial" w:cs="Arial" w:eastAsia="Arial" w:hAnsi="Arial"/>
          <w:sz w:val="18"/>
          <w:szCs w:val="18"/>
          <w:color w:val="231F20"/>
        </w:rPr>
        <w:t xml:space="preserve"> was from customers in foreign countries. The growth in revenues reflects increased demand for our solutions.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5,924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1,295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62"/>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bl>
    <w:p>
      <w:pPr>
        <w:spacing w:after="0" w:line="247"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$1.3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2012</w:t>
      </w:r>
      <w:r>
        <w:rPr>
          <w:rFonts w:ascii="Arial" w:cs="Arial" w:eastAsia="Arial" w:hAnsi="Arial"/>
          <w:sz w:val="18"/>
          <w:szCs w:val="18"/>
          <w:color w:val="231F20"/>
        </w:rPr>
        <w:t>, primarily due to a $0.6 million increase in depreciation expenses related to additional data center equipment and physical scanner appliances deployed to customers, increased personnel expenses of $0.4 million, principally driven by the addition of employees in our operations staff, increased data center cost of $0.2 million related to expanded storage and other data center-related costs, and increased third-party software maintenance expense of $0.1 million. The decrease in gross profit percentage reflects the impact of continued increased investments to expand our data center infrastructure and to add capacity to deploy new solutions on our cloud platform.</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5,291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143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5"/>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9"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$0.1 million</w:t>
      </w:r>
      <w:r>
        <w:rPr>
          <w:rFonts w:ascii="Arial" w:cs="Arial" w:eastAsia="Arial" w:hAnsi="Arial"/>
          <w:sz w:val="18"/>
          <w:szCs w:val="18"/>
          <w:color w:val="231F20"/>
        </w:rPr>
        <w:t xml:space="preserve"> for the three months ended June 30, 2013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2012</w:t>
      </w:r>
      <w:r>
        <w:rPr>
          <w:rFonts w:ascii="Arial" w:cs="Arial" w:eastAsia="Arial" w:hAnsi="Arial"/>
          <w:sz w:val="18"/>
          <w:szCs w:val="18"/>
          <w:color w:val="231F20"/>
        </w:rPr>
        <w:t>, primarily due to an increase in personnel expenses of $0.2 million, principally due to the addition of employees as we</w:t>
      </w:r>
      <w:r>
        <w:rPr>
          <w:rFonts w:ascii="Arial" w:cs="Arial" w:eastAsia="Arial" w:hAnsi="Arial"/>
          <w:sz w:val="18"/>
          <w:szCs w:val="18"/>
          <w:color w:val="000000"/>
        </w:rPr>
        <w:t xml:space="preserve"> </w:t>
      </w:r>
      <w:r>
        <w:rPr>
          <w:rFonts w:ascii="Arial" w:cs="Arial" w:eastAsia="Arial" w:hAnsi="Arial"/>
          <w:sz w:val="18"/>
          <w:szCs w:val="18"/>
          <w:color w:val="231F20"/>
        </w:rPr>
        <w:t>continue to invest in enhancing our platform and developing new solutions, partially offset by decreases in other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10,160</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376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5"/>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$0.4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2012</w:t>
      </w:r>
      <w:r>
        <w:rPr>
          <w:rFonts w:ascii="Arial" w:cs="Arial" w:eastAsia="Arial" w:hAnsi="Arial"/>
          <w:sz w:val="18"/>
          <w:szCs w:val="18"/>
          <w:color w:val="231F20"/>
        </w:rPr>
        <w:t>, primarily due to an increase in personnel expenses of $ 0.3 million, principally driven by the addition of employees as we</w:t>
      </w:r>
      <w:r>
        <w:rPr>
          <w:rFonts w:ascii="Arial" w:cs="Arial" w:eastAsia="Arial" w:hAnsi="Arial"/>
          <w:sz w:val="18"/>
          <w:szCs w:val="18"/>
          <w:color w:val="000000"/>
        </w:rPr>
        <w:t xml:space="preserve"> </w:t>
      </w:r>
      <w:r>
        <w:rPr>
          <w:rFonts w:ascii="Arial" w:cs="Arial" w:eastAsia="Arial" w:hAnsi="Arial"/>
          <w:sz w:val="18"/>
          <w:szCs w:val="18"/>
          <w:color w:val="231F20"/>
        </w:rPr>
        <w:t>continue to expand our domestic and international sales and marketing efforts. We also incurred increased travel related costs of $0.2 million, offset by lower marketing expenses of $0.2 million due to a lower level of marketing program activities.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4,053</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1,210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$1.2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2012</w:t>
      </w:r>
      <w:r>
        <w:rPr>
          <w:rFonts w:ascii="Arial" w:cs="Arial" w:eastAsia="Arial" w:hAnsi="Arial"/>
          <w:sz w:val="18"/>
          <w:szCs w:val="18"/>
          <w:color w:val="231F20"/>
        </w:rPr>
        <w:t>, primarily due to an increase in personnel expenses of $ 0.7 million principally due to the addition of employees to support</w:t>
      </w:r>
      <w:r>
        <w:rPr>
          <w:rFonts w:ascii="Arial" w:cs="Arial" w:eastAsia="Arial" w:hAnsi="Arial"/>
          <w:sz w:val="18"/>
          <w:szCs w:val="18"/>
          <w:color w:val="000000"/>
        </w:rPr>
        <w:t xml:space="preserve"> </w:t>
      </w:r>
      <w:r>
        <w:rPr>
          <w:rFonts w:ascii="Arial" w:cs="Arial" w:eastAsia="Arial" w:hAnsi="Arial"/>
          <w:sz w:val="18"/>
          <w:szCs w:val="18"/>
          <w:color w:val="231F20"/>
        </w:rPr>
        <w:t>the growth of our business and building out of our infrastructure to support the requirements of being a public company; an increase of $0.3 million related to insurance, director fees and other fees; and $0.1 million in professional services.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242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4"/>
        </w:trPr>
        <w:tc>
          <w:tcPr>
            <w:tcW w:w="54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w w:val="99"/>
              </w:rPr>
              <w:t>June 30,</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64"/>
        </w:trPr>
        <w:tc>
          <w:tcPr>
            <w:tcW w:w="54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50"/>
        </w:trPr>
        <w:tc>
          <w:tcPr>
            <w:tcW w:w="5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7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(141)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243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55"/>
        </w:trPr>
        <w:tc>
          <w:tcPr>
            <w:tcW w:w="542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9"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231F20"/>
        </w:rPr>
        <w:t xml:space="preserve">Other income (expense), net increased by </w:t>
      </w:r>
      <w:r>
        <w:rPr>
          <w:rFonts w:ascii="Arial" w:cs="Arial" w:eastAsia="Arial" w:hAnsi="Arial"/>
          <w:sz w:val="18"/>
          <w:szCs w:val="18"/>
          <w:color w:val="000000"/>
        </w:rPr>
        <w:t>$0.2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2012</w:t>
      </w:r>
      <w:r>
        <w:rPr>
          <w:rFonts w:ascii="Arial" w:cs="Arial" w:eastAsia="Arial" w:hAnsi="Arial"/>
          <w:sz w:val="18"/>
          <w:szCs w:val="18"/>
          <w:color w:val="231F20"/>
        </w:rPr>
        <w:t>, primarily due to proceeds of $0.2 million from a negotiated settlement.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(Benefit from ) Income Taxes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24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50"/>
        </w:trPr>
        <w:tc>
          <w:tcPr>
            <w:tcW w:w="5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6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92</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55"/>
        </w:trPr>
        <w:tc>
          <w:tcPr>
            <w:tcW w:w="54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60" w:type="dxa"/>
            <w:vAlign w:val="bottom"/>
          </w:tcPr>
          <w:p>
            <w:pPr>
              <w:spacing w:after="0"/>
              <w:rPr>
                <w:sz w:val="22"/>
                <w:szCs w:val="22"/>
                <w:color w:val="auto"/>
              </w:rPr>
            </w:pPr>
          </w:p>
        </w:tc>
        <w:tc>
          <w:tcPr>
            <w:tcW w:w="50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36"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231F20"/>
        </w:rPr>
        <w:t xml:space="preserve">Provision for (benefit from) income taxes increased </w:t>
      </w:r>
      <w:r>
        <w:rPr>
          <w:rFonts w:ascii="Arial" w:cs="Arial" w:eastAsia="Arial" w:hAnsi="Arial"/>
          <w:sz w:val="18"/>
          <w:szCs w:val="18"/>
          <w:color w:val="000000"/>
        </w:rPr>
        <w:t>$0.2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2012</w:t>
      </w:r>
      <w:r>
        <w:rPr>
          <w:rFonts w:ascii="Arial" w:cs="Arial" w:eastAsia="Arial" w:hAnsi="Arial"/>
          <w:sz w:val="18"/>
          <w:szCs w:val="18"/>
          <w:color w:val="231F20"/>
        </w:rPr>
        <w:t>. The provision for (benefit from) income taxes is primarily for taxes on income in foreign jurisdictions. The benefit from</w:t>
      </w:r>
      <w:r>
        <w:rPr>
          <w:rFonts w:ascii="Arial" w:cs="Arial" w:eastAsia="Arial" w:hAnsi="Arial"/>
          <w:sz w:val="18"/>
          <w:szCs w:val="18"/>
          <w:color w:val="000000"/>
        </w:rPr>
        <w:t xml:space="preserve"> </w:t>
      </w:r>
      <w:r>
        <w:rPr>
          <w:rFonts w:ascii="Arial" w:cs="Arial" w:eastAsia="Arial" w:hAnsi="Arial"/>
          <w:sz w:val="18"/>
          <w:szCs w:val="18"/>
          <w:color w:val="231F20"/>
        </w:rPr>
        <w:t>income taxes recorded in the three months ended June 30, 2012 includes a reduction of the liability for uncertain tax positions, resulting from closure of the 2008 to 2010 tax years upon completion of an income tax audit of our French subsidiary.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Six Months Ended June 30, 2013</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2012</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51,174</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7,793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4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$7.8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primarily due to new customer subscriptions entered into after June 30, 2012 and from an increase in the purchase of subscriptions from existing customers. Of the total increase of </w:t>
      </w:r>
      <w:r>
        <w:rPr>
          <w:rFonts w:ascii="Arial" w:cs="Arial" w:eastAsia="Arial" w:hAnsi="Arial"/>
          <w:sz w:val="18"/>
          <w:szCs w:val="18"/>
          <w:color w:val="000000"/>
        </w:rPr>
        <w:t>$7.8 million</w:t>
      </w:r>
      <w:r>
        <w:rPr>
          <w:rFonts w:ascii="Arial" w:cs="Arial" w:eastAsia="Arial" w:hAnsi="Arial"/>
          <w:sz w:val="18"/>
          <w:szCs w:val="18"/>
          <w:color w:val="231F20"/>
        </w:rPr>
        <w:t xml:space="preserve">, </w:t>
      </w:r>
      <w:r>
        <w:rPr>
          <w:rFonts w:ascii="Arial" w:cs="Arial" w:eastAsia="Arial" w:hAnsi="Arial"/>
          <w:sz w:val="18"/>
          <w:szCs w:val="18"/>
          <w:color w:val="000000"/>
        </w:rPr>
        <w:t>$6.8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$1.0 million</w:t>
      </w:r>
      <w:r>
        <w:rPr>
          <w:rFonts w:ascii="Arial" w:cs="Arial" w:eastAsia="Arial" w:hAnsi="Arial"/>
          <w:sz w:val="18"/>
          <w:szCs w:val="18"/>
          <w:color w:val="231F20"/>
        </w:rPr>
        <w:t xml:space="preserve"> was from customers in foreign countries. The growth in revenues reflects increased demand for our solutions.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11,719</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8,789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2,930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2"/>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8"/>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247"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$2.9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 ended June 30, 2012</w:t>
      </w:r>
      <w:r>
        <w:rPr>
          <w:rFonts w:ascii="Arial" w:cs="Arial" w:eastAsia="Arial" w:hAnsi="Arial"/>
          <w:sz w:val="18"/>
          <w:szCs w:val="18"/>
          <w:color w:val="231F20"/>
        </w:rPr>
        <w:t>, primarily due to a $1.0 million increase in depreciation expenses related to additional data center equipment and physical scanner appliances deployed to customers; increased personnel expenses of $1.0 million, principally driven by the addition of employees in our operations staff; $0.4 million related to increased data center costs, driven by expanded storage and other data center-related costs; and increased third-party software maintenance expense of $0.3 million. The decrease in gross profit percentage reflects the impact of continued increased investments to expand our data center infrastructure and to add capacity to deploy new solutions on our cloud platform.</w:t>
      </w: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10,588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339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jc w:val="both"/>
        <w:ind w:right="80" w:firstLine="486"/>
        <w:spacing w:after="0" w:line="271"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$ 0.3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2012</w:t>
      </w:r>
      <w:r>
        <w:rPr>
          <w:rFonts w:ascii="Arial" w:cs="Arial" w:eastAsia="Arial" w:hAnsi="Arial"/>
          <w:sz w:val="18"/>
          <w:szCs w:val="18"/>
          <w:color w:val="231F20"/>
        </w:rPr>
        <w:t>, primarily due to an increase in personnel expenses, principally driven by the addition of employees as we continue to invest in</w:t>
      </w:r>
      <w:r>
        <w:rPr>
          <w:rFonts w:ascii="Arial" w:cs="Arial" w:eastAsia="Arial" w:hAnsi="Arial"/>
          <w:sz w:val="18"/>
          <w:szCs w:val="18"/>
          <w:color w:val="000000"/>
        </w:rPr>
        <w:t xml:space="preserve"> </w:t>
      </w:r>
      <w:r>
        <w:rPr>
          <w:rFonts w:ascii="Arial" w:cs="Arial" w:eastAsia="Arial" w:hAnsi="Arial"/>
          <w:sz w:val="18"/>
          <w:szCs w:val="18"/>
          <w:color w:val="231F20"/>
        </w:rPr>
        <w:t>enhancing our platform and developing new solutions.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20,328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19,030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1,298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$1.3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 ended June</w:t>
      </w:r>
      <w:r>
        <w:rPr>
          <w:rFonts w:ascii="Arial" w:cs="Arial" w:eastAsia="Arial" w:hAnsi="Arial"/>
          <w:sz w:val="18"/>
          <w:szCs w:val="18"/>
          <w:color w:val="231F20"/>
        </w:rPr>
        <w:t xml:space="preserve"> </w:t>
      </w:r>
      <w:r>
        <w:rPr>
          <w:rFonts w:ascii="Arial" w:cs="Arial" w:eastAsia="Arial" w:hAnsi="Arial"/>
          <w:sz w:val="18"/>
          <w:szCs w:val="18"/>
          <w:color w:val="000000"/>
        </w:rPr>
        <w:t>30, 2012</w:t>
      </w:r>
      <w:r>
        <w:rPr>
          <w:rFonts w:ascii="Arial" w:cs="Arial" w:eastAsia="Arial" w:hAnsi="Arial"/>
          <w:sz w:val="18"/>
          <w:szCs w:val="18"/>
          <w:color w:val="231F20"/>
        </w:rPr>
        <w:t>, primarily due to an increase in personnel expenses of $1.2 million, principally driven by the addition of employees as we continue to</w:t>
      </w:r>
      <w:r>
        <w:rPr>
          <w:rFonts w:ascii="Arial" w:cs="Arial" w:eastAsia="Arial" w:hAnsi="Arial"/>
          <w:sz w:val="18"/>
          <w:szCs w:val="18"/>
          <w:color w:val="000000"/>
        </w:rPr>
        <w:t xml:space="preserve"> </w:t>
      </w:r>
      <w:r>
        <w:rPr>
          <w:rFonts w:ascii="Arial" w:cs="Arial" w:eastAsia="Arial" w:hAnsi="Arial"/>
          <w:sz w:val="18"/>
          <w:szCs w:val="18"/>
          <w:color w:val="231F20"/>
        </w:rPr>
        <w:t>expand our domestic and international sales and marketing efforts. We also incurred increased marketing expenses of $0.1 million, primarily related to increased trade show activities offsetting lower program activities.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7,949</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2,292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$2.3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2012</w:t>
      </w:r>
      <w:r>
        <w:rPr>
          <w:rFonts w:ascii="Arial" w:cs="Arial" w:eastAsia="Arial" w:hAnsi="Arial"/>
          <w:sz w:val="18"/>
          <w:szCs w:val="18"/>
          <w:color w:val="231F20"/>
        </w:rPr>
        <w:t>, primarily due to an increase in personnel expenses of $1.3 million principally due to the addition of employees to support the</w:t>
      </w:r>
      <w:r>
        <w:rPr>
          <w:rFonts w:ascii="Arial" w:cs="Arial" w:eastAsia="Arial" w:hAnsi="Arial"/>
          <w:sz w:val="18"/>
          <w:szCs w:val="18"/>
          <w:color w:val="000000"/>
        </w:rPr>
        <w:t xml:space="preserve"> </w:t>
      </w:r>
      <w:r>
        <w:rPr>
          <w:rFonts w:ascii="Arial" w:cs="Arial" w:eastAsia="Arial" w:hAnsi="Arial"/>
          <w:sz w:val="18"/>
          <w:szCs w:val="18"/>
          <w:color w:val="231F20"/>
        </w:rPr>
        <w:t>growth of our business and building out of our infrastructure to support the requirements of being a public company; an increase of $0.6 million related to insurance, director fees and other fees; and $0.2 million in professional services.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4"/>
        </w:trPr>
        <w:tc>
          <w:tcPr>
            <w:tcW w:w="53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50"/>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7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5"/>
        </w:trPr>
        <w:tc>
          <w:tcPr>
            <w:tcW w:w="53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9"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231F20"/>
        </w:rPr>
        <w:t xml:space="preserve">Other income (expense), net was relatively constant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same period in 2012. Other income (expense) 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included proceeds of $0.2 million from a negotiated settlement and increased investment income of $0.1 million, partially offset by an increase in foreign currency exchange losses of $0.3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Provision for (benefit from) Income Taxes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4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162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36"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231F20"/>
        </w:rPr>
        <w:t xml:space="preserve">Provision for (benefit from) income taxes increased </w:t>
      </w:r>
      <w:r>
        <w:rPr>
          <w:rFonts w:ascii="Arial" w:cs="Arial" w:eastAsia="Arial" w:hAnsi="Arial"/>
          <w:sz w:val="18"/>
          <w:szCs w:val="18"/>
          <w:color w:val="000000"/>
        </w:rPr>
        <w:t>$0.2 million</w:t>
      </w:r>
      <w:r>
        <w:rPr>
          <w:rFonts w:ascii="Arial" w:cs="Arial" w:eastAsia="Arial" w:hAnsi="Arial"/>
          <w:sz w:val="18"/>
          <w:szCs w:val="18"/>
          <w:color w:val="231F20"/>
        </w:rPr>
        <w:t xml:space="preserve"> 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six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2012</w:t>
      </w:r>
      <w:r>
        <w:rPr>
          <w:rFonts w:ascii="Arial" w:cs="Arial" w:eastAsia="Arial" w:hAnsi="Arial"/>
          <w:sz w:val="18"/>
          <w:szCs w:val="18"/>
          <w:color w:val="231F20"/>
        </w:rPr>
        <w:t>, primarily due to a reduction of the liability for uncertain tax positions of $0.1 million, resulting from closure of the 2008 to</w:t>
      </w:r>
      <w:r>
        <w:rPr>
          <w:rFonts w:ascii="Arial" w:cs="Arial" w:eastAsia="Arial" w:hAnsi="Arial"/>
          <w:sz w:val="18"/>
          <w:szCs w:val="18"/>
          <w:color w:val="000000"/>
        </w:rPr>
        <w:t xml:space="preserve"> </w:t>
      </w:r>
      <w:r>
        <w:rPr>
          <w:rFonts w:ascii="Arial" w:cs="Arial" w:eastAsia="Arial" w:hAnsi="Arial"/>
          <w:sz w:val="18"/>
          <w:szCs w:val="18"/>
          <w:color w:val="231F20"/>
        </w:rPr>
        <w:t xml:space="preserve">2010 tax years upon completion of an income tax audit of our French subsidiary in the </w:t>
      </w:r>
      <w:r>
        <w:rPr>
          <w:rFonts w:ascii="Arial" w:cs="Arial" w:eastAsia="Arial" w:hAnsi="Arial"/>
          <w:sz w:val="18"/>
          <w:szCs w:val="18"/>
          <w:color w:val="000000"/>
        </w:rPr>
        <w:t>six months ended June 30, 2012.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0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2013</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$126.5</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$1.8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applicable foreign tax credits.</w:t>
      </w:r>
    </w:p>
    <w:p>
      <w:pPr>
        <w:spacing w:after="0" w:line="170"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We have experienced positive cash flows from operations during the six months ended June 30, 2013 and 2012. We believe our existing cash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71"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8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3"/>
                <w:szCs w:val="23"/>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0"/>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10,023</w:t>
            </w:r>
          </w:p>
        </w:tc>
      </w:tr>
      <w:tr>
        <w:trPr>
          <w:trHeight w:val="262"/>
        </w:trPr>
        <w:tc>
          <w:tcPr>
            <w:tcW w:w="8580" w:type="dxa"/>
            <w:vAlign w:val="bottom"/>
          </w:tcPr>
          <w:p>
            <w:pPr>
              <w:ind w:left="40"/>
              <w:spacing w:after="0"/>
              <w:rPr>
                <w:sz w:val="20"/>
                <w:szCs w:val="20"/>
                <w:color w:val="auto"/>
              </w:rPr>
            </w:pPr>
            <w:r>
              <w:rPr>
                <w:rFonts w:ascii="Arial" w:cs="Arial" w:eastAsia="Arial" w:hAnsi="Arial"/>
                <w:sz w:val="16"/>
                <w:szCs w:val="16"/>
                <w:color w:val="auto"/>
              </w:rPr>
              <w:t>Cash provided by (used in) investing activities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(5,989)</w:t>
            </w:r>
          </w:p>
        </w:tc>
      </w:tr>
      <w:tr>
        <w:trPr>
          <w:trHeight w:val="278"/>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4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3,911</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71"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$12.9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$0.3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$2.5 million</w:t>
      </w:r>
      <w:r>
        <w:rPr>
          <w:rFonts w:ascii="Arial" w:cs="Arial" w:eastAsia="Arial" w:hAnsi="Arial"/>
          <w:sz w:val="18"/>
          <w:szCs w:val="18"/>
          <w:color w:val="231F20"/>
        </w:rPr>
        <w:t xml:space="preserve">, attributable to our continued growth; a decrease in accounts receivable of </w:t>
      </w:r>
      <w:r>
        <w:rPr>
          <w:rFonts w:ascii="Arial" w:cs="Arial" w:eastAsia="Arial" w:hAnsi="Arial"/>
          <w:sz w:val="18"/>
          <w:szCs w:val="18"/>
          <w:color w:val="000000"/>
        </w:rPr>
        <w:t>$1.5 million</w:t>
      </w:r>
      <w:r>
        <w:rPr>
          <w:rFonts w:ascii="Arial" w:cs="Arial" w:eastAsia="Arial" w:hAnsi="Arial"/>
          <w:sz w:val="18"/>
          <w:szCs w:val="18"/>
          <w:color w:val="231F20"/>
        </w:rPr>
        <w:t xml:space="preserve"> due to lower bookings in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December 31, 2012</w:t>
      </w:r>
      <w:r>
        <w:rPr>
          <w:rFonts w:ascii="Arial" w:cs="Arial" w:eastAsia="Arial" w:hAnsi="Arial"/>
          <w:sz w:val="18"/>
          <w:szCs w:val="18"/>
          <w:color w:val="231F20"/>
        </w:rPr>
        <w:t>; and an increase in accrued liabilities of</w:t>
      </w:r>
      <w:r>
        <w:rPr>
          <w:rFonts w:ascii="Arial" w:cs="Arial" w:eastAsia="Arial" w:hAnsi="Arial"/>
          <w:sz w:val="18"/>
          <w:szCs w:val="18"/>
          <w:color w:val="000000"/>
        </w:rPr>
        <w:t xml:space="preserve"> $1.2 million</w:t>
      </w:r>
      <w:r>
        <w:rPr>
          <w:rFonts w:ascii="Arial" w:cs="Arial" w:eastAsia="Arial" w:hAnsi="Arial"/>
          <w:sz w:val="18"/>
          <w:szCs w:val="18"/>
          <w:color w:val="231F20"/>
        </w:rPr>
        <w:t>. These working capital increases are further increased by non-cash</w:t>
      </w:r>
      <w:r>
        <w:rPr>
          <w:rFonts w:ascii="Arial" w:cs="Arial" w:eastAsia="Arial" w:hAnsi="Arial"/>
          <w:sz w:val="18"/>
          <w:szCs w:val="18"/>
          <w:color w:val="000000"/>
        </w:rPr>
        <w:t xml:space="preserve"> </w:t>
      </w:r>
      <w:r>
        <w:rPr>
          <w:rFonts w:ascii="Arial" w:cs="Arial" w:eastAsia="Arial" w:hAnsi="Arial"/>
          <w:sz w:val="18"/>
          <w:szCs w:val="18"/>
          <w:color w:val="231F20"/>
        </w:rPr>
        <w:t xml:space="preserve">items including depreciation and amortization expense of </w:t>
      </w:r>
      <w:r>
        <w:rPr>
          <w:rFonts w:ascii="Arial" w:cs="Arial" w:eastAsia="Arial" w:hAnsi="Arial"/>
          <w:sz w:val="18"/>
          <w:szCs w:val="18"/>
          <w:color w:val="000000"/>
        </w:rPr>
        <w:t>$4.5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$2.2 million</w:t>
      </w:r>
      <w:r>
        <w:rPr>
          <w:rFonts w:ascii="Arial" w:cs="Arial" w:eastAsia="Arial" w:hAnsi="Arial"/>
          <w:sz w:val="18"/>
          <w:szCs w:val="18"/>
          <w:color w:val="231F20"/>
        </w:rPr>
        <w:t>.</w:t>
      </w:r>
    </w:p>
    <w:p>
      <w:pPr>
        <w:spacing w:after="0" w:line="175"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cash flows from operating activities of approximately </w:t>
      </w:r>
      <w:r>
        <w:rPr>
          <w:rFonts w:ascii="Arial" w:cs="Arial" w:eastAsia="Arial" w:hAnsi="Arial"/>
          <w:sz w:val="18"/>
          <w:szCs w:val="18"/>
          <w:color w:val="000000"/>
        </w:rPr>
        <w:t>$10.0 million</w:t>
      </w:r>
      <w:r>
        <w:rPr>
          <w:rFonts w:ascii="Arial" w:cs="Arial" w:eastAsia="Arial" w:hAnsi="Arial"/>
          <w:sz w:val="18"/>
          <w:szCs w:val="18"/>
          <w:color w:val="231F20"/>
        </w:rPr>
        <w:t xml:space="preserve"> resulted from our net loss of approximately </w:t>
      </w:r>
      <w:r>
        <w:rPr>
          <w:rFonts w:ascii="Arial" w:cs="Arial" w:eastAsia="Arial" w:hAnsi="Arial"/>
          <w:sz w:val="18"/>
          <w:szCs w:val="18"/>
          <w:color w:val="000000"/>
        </w:rPr>
        <w:t>$0.6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$3.1 million</w:t>
      </w:r>
      <w:r>
        <w:rPr>
          <w:rFonts w:ascii="Arial" w:cs="Arial" w:eastAsia="Arial" w:hAnsi="Arial"/>
          <w:sz w:val="18"/>
          <w:szCs w:val="18"/>
          <w:color w:val="231F20"/>
        </w:rPr>
        <w:t xml:space="preserve">, attributable to our continued growth, and a decrease in accounts receivable of </w:t>
      </w:r>
      <w:r>
        <w:rPr>
          <w:rFonts w:ascii="Arial" w:cs="Arial" w:eastAsia="Arial" w:hAnsi="Arial"/>
          <w:sz w:val="18"/>
          <w:szCs w:val="18"/>
          <w:color w:val="000000"/>
        </w:rPr>
        <w:t>$2.3 million</w:t>
      </w:r>
      <w:r>
        <w:rPr>
          <w:rFonts w:ascii="Arial" w:cs="Arial" w:eastAsia="Arial" w:hAnsi="Arial"/>
          <w:sz w:val="18"/>
          <w:szCs w:val="18"/>
          <w:color w:val="231F20"/>
        </w:rPr>
        <w:t xml:space="preserve"> due to lower bookings in the </w:t>
      </w:r>
      <w:r>
        <w:rPr>
          <w:rFonts w:ascii="Arial" w:cs="Arial" w:eastAsia="Arial" w:hAnsi="Arial"/>
          <w:sz w:val="18"/>
          <w:szCs w:val="18"/>
          <w:color w:val="000000"/>
        </w:rPr>
        <w:t>three months ended June 30, 2012</w:t>
      </w:r>
      <w:r>
        <w:rPr>
          <w:rFonts w:ascii="Arial" w:cs="Arial" w:eastAsia="Arial" w:hAnsi="Arial"/>
          <w:sz w:val="18"/>
          <w:szCs w:val="18"/>
          <w:color w:val="231F20"/>
        </w:rPr>
        <w:t xml:space="preserve"> compared to the three months ended December 31, 2011. These working capital increases were further increased by non-cash items such as depreciation and amortization expense of </w:t>
      </w:r>
      <w:r>
        <w:rPr>
          <w:rFonts w:ascii="Arial" w:cs="Arial" w:eastAsia="Arial" w:hAnsi="Arial"/>
          <w:sz w:val="18"/>
          <w:szCs w:val="18"/>
          <w:color w:val="000000"/>
        </w:rPr>
        <w:t>$3.5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$1.6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 investing activities provided </w:t>
      </w:r>
      <w:r>
        <w:rPr>
          <w:rFonts w:ascii="Arial" w:cs="Arial" w:eastAsia="Arial" w:hAnsi="Arial"/>
          <w:sz w:val="18"/>
          <w:szCs w:val="18"/>
          <w:color w:val="000000"/>
        </w:rPr>
        <w:t>$19.5 million. This increase is primarily attributable to the sales and</w:t>
      </w:r>
      <w:r>
        <w:rPr>
          <w:rFonts w:ascii="Arial" w:cs="Arial" w:eastAsia="Arial" w:hAnsi="Arial"/>
          <w:sz w:val="18"/>
          <w:szCs w:val="18"/>
          <w:color w:val="231F20"/>
        </w:rPr>
        <w:t xml:space="preserve"> </w:t>
      </w:r>
      <w:r>
        <w:rPr>
          <w:rFonts w:ascii="Arial" w:cs="Arial" w:eastAsia="Arial" w:hAnsi="Arial"/>
          <w:sz w:val="18"/>
          <w:szCs w:val="18"/>
          <w:color w:val="000000"/>
        </w:rPr>
        <w:t>maturities of investments of $100.6 million, partially offset by the purchase of investments of $75.0 million, and the use of $6.2 million of cash for capital expenditures, including computer hardware and software for our data centers to support our growth and development, and to purchase physical scanner appliances provided to certain customers as part of their subscriptions.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we used </w:t>
      </w:r>
      <w:r>
        <w:rPr>
          <w:rFonts w:ascii="Arial" w:cs="Arial" w:eastAsia="Arial" w:hAnsi="Arial"/>
          <w:sz w:val="18"/>
          <w:szCs w:val="18"/>
          <w:color w:val="000000"/>
        </w:rPr>
        <w:t>$6.0 million</w:t>
      </w:r>
      <w:r>
        <w:rPr>
          <w:rFonts w:ascii="Arial" w:cs="Arial" w:eastAsia="Arial" w:hAnsi="Arial"/>
          <w:sz w:val="18"/>
          <w:szCs w:val="18"/>
          <w:color w:val="231F20"/>
        </w:rPr>
        <w:t xml:space="preserve"> of cash for capital expenditures, including computer hardware and software for our data centers to support our growth and development, and to purchase physical scanner appliances provided to certain customers as part of their subscriptions.</w:t>
      </w: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71"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$2.2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$0.7 million</w:t>
      </w:r>
      <w:r>
        <w:rPr>
          <w:rFonts w:ascii="Arial" w:cs="Arial" w:eastAsia="Arial" w:hAnsi="Arial"/>
          <w:sz w:val="18"/>
          <w:szCs w:val="18"/>
          <w:color w:val="231F20"/>
        </w:rPr>
        <w:t>.</w:t>
      </w:r>
    </w:p>
    <w:p>
      <w:pPr>
        <w:spacing w:after="0" w:line="145"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2012</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$0.1 million</w:t>
      </w:r>
      <w:r>
        <w:rPr>
          <w:rFonts w:ascii="Arial" w:cs="Arial" w:eastAsia="Arial" w:hAnsi="Arial"/>
          <w:sz w:val="18"/>
          <w:szCs w:val="18"/>
          <w:color w:val="231F20"/>
        </w:rPr>
        <w:t xml:space="preserve"> was primarily attributable to repayments on our capital lease obligations of </w:t>
      </w:r>
      <w:r>
        <w:rPr>
          <w:rFonts w:ascii="Arial" w:cs="Arial" w:eastAsia="Arial" w:hAnsi="Arial"/>
          <w:sz w:val="18"/>
          <w:szCs w:val="18"/>
          <w:color w:val="000000"/>
        </w:rPr>
        <w:t>$1.3 million</w:t>
      </w:r>
      <w:r>
        <w:rPr>
          <w:rFonts w:ascii="Arial" w:cs="Arial" w:eastAsia="Arial" w:hAnsi="Arial"/>
          <w:sz w:val="18"/>
          <w:szCs w:val="18"/>
          <w:color w:val="231F20"/>
        </w:rPr>
        <w:t xml:space="preserve">, partially offset by </w:t>
      </w:r>
      <w:r>
        <w:rPr>
          <w:rFonts w:ascii="Arial" w:cs="Arial" w:eastAsia="Arial" w:hAnsi="Arial"/>
          <w:sz w:val="18"/>
          <w:szCs w:val="18"/>
          <w:color w:val="000000"/>
        </w:rPr>
        <w:t>$1.2 million</w:t>
      </w:r>
      <w:r>
        <w:rPr>
          <w:rFonts w:ascii="Arial" w:cs="Arial" w:eastAsia="Arial" w:hAnsi="Arial"/>
          <w:sz w:val="18"/>
          <w:szCs w:val="18"/>
          <w:color w:val="231F20"/>
        </w:rPr>
        <w:t xml:space="preserve"> of proceeds from the exercise of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73"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and third-party data centers, capital lease and third-party software maintenance obligations. The following table summarizes our contractual cash obligations, including future interest payments, at </w:t>
      </w:r>
      <w:r>
        <w:rPr>
          <w:rFonts w:ascii="Arial" w:cs="Arial" w:eastAsia="Arial" w:hAnsi="Arial"/>
          <w:sz w:val="18"/>
          <w:szCs w:val="18"/>
          <w:color w:val="000000"/>
        </w:rPr>
        <w:t>June 30, 2013</w:t>
      </w:r>
      <w:r>
        <w:rPr>
          <w:rFonts w:ascii="Arial" w:cs="Arial" w:eastAsia="Arial" w:hAnsi="Arial"/>
          <w:sz w:val="18"/>
          <w:szCs w:val="18"/>
          <w:color w:val="231F20"/>
        </w:rPr>
        <w:t xml:space="preserve"> and the effect such obligations are expected to have on our liquidity and cash flows in future periods: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3"/>
        </w:trPr>
        <w:tc>
          <w:tcPr>
            <w:tcW w:w="1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 and</w:t>
            </w:r>
          </w:p>
        </w:tc>
      </w:tr>
      <w:tr>
        <w:trPr>
          <w:trHeight w:val="182"/>
        </w:trPr>
        <w:tc>
          <w:tcPr>
            <w:tcW w:w="40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2"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2"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82" w:lineRule="exact"/>
              <w:rPr>
                <w:sz w:val="20"/>
                <w:szCs w:val="20"/>
                <w:color w:val="auto"/>
              </w:rPr>
            </w:pPr>
            <w:r>
              <w:rPr>
                <w:rFonts w:ascii="Arial" w:cs="Arial" w:eastAsia="Arial" w:hAnsi="Arial"/>
                <w:sz w:val="16"/>
                <w:szCs w:val="16"/>
                <w:b w:val="1"/>
                <w:bCs w:val="1"/>
                <w:color w:val="auto"/>
              </w:rPr>
              <w:t>2014-2015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2" w:lineRule="exact"/>
              <w:rPr>
                <w:sz w:val="20"/>
                <w:szCs w:val="20"/>
                <w:color w:val="auto"/>
              </w:rPr>
            </w:pPr>
            <w:r>
              <w:rPr>
                <w:rFonts w:ascii="Arial" w:cs="Arial" w:eastAsia="Arial" w:hAnsi="Arial"/>
                <w:sz w:val="16"/>
                <w:szCs w:val="16"/>
                <w:b w:val="1"/>
                <w:bCs w:val="1"/>
                <w:color w:val="auto"/>
              </w:rPr>
              <w:t>2016-2017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2" w:lineRule="exact"/>
              <w:rPr>
                <w:sz w:val="20"/>
                <w:szCs w:val="20"/>
                <w:color w:val="auto"/>
              </w:rPr>
            </w:pPr>
            <w:r>
              <w:rPr>
                <w:rFonts w:ascii="Arial" w:cs="Arial" w:eastAsia="Arial" w:hAnsi="Arial"/>
                <w:sz w:val="16"/>
                <w:szCs w:val="16"/>
                <w:b w:val="1"/>
                <w:bCs w:val="1"/>
                <w:color w:val="auto"/>
              </w:rPr>
              <w:t>thereafter</w:t>
            </w:r>
          </w:p>
        </w:tc>
      </w:tr>
      <w:tr>
        <w:trPr>
          <w:trHeight w:val="34"/>
        </w:trPr>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6"/>
        </w:trPr>
        <w:tc>
          <w:tcPr>
            <w:tcW w:w="18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4"/>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Maintenance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13,534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3,629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6,620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185</w:t>
            </w:r>
          </w:p>
        </w:tc>
      </w:tr>
      <w:tr>
        <w:trPr>
          <w:trHeight w:val="20"/>
        </w:trPr>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340" w:right="80" w:hanging="332"/>
        <w:spacing w:after="0" w:line="275"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six</w:t>
      </w:r>
      <w:r>
        <w:rPr>
          <w:rFonts w:ascii="Arial" w:cs="Arial" w:eastAsia="Arial" w:hAnsi="Arial"/>
          <w:sz w:val="14"/>
          <w:szCs w:val="14"/>
          <w:color w:val="231F20"/>
        </w:rPr>
        <w:t xml:space="preserve"> </w:t>
      </w:r>
      <w:r>
        <w:rPr>
          <w:rFonts w:ascii="Arial" w:cs="Arial" w:eastAsia="Arial" w:hAnsi="Arial"/>
          <w:sz w:val="14"/>
          <w:szCs w:val="14"/>
          <w:color w:val="000000"/>
        </w:rPr>
        <w:t>months ended June 30, 2013</w:t>
      </w:r>
      <w:r>
        <w:rPr>
          <w:rFonts w:ascii="Arial" w:cs="Arial" w:eastAsia="Arial" w:hAnsi="Arial"/>
          <w:sz w:val="14"/>
          <w:szCs w:val="14"/>
          <w:color w:val="231F20"/>
        </w:rPr>
        <w:t>, we made regular payments on our operating lease obligations of $1.9 million</w:t>
      </w:r>
    </w:p>
    <w:p>
      <w:pPr>
        <w:ind w:left="340" w:right="280" w:hanging="332"/>
        <w:spacing w:after="0" w:line="251"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software purchases. During the </w:t>
      </w:r>
      <w:r>
        <w:rPr>
          <w:rFonts w:ascii="Arial" w:cs="Arial" w:eastAsia="Arial" w:hAnsi="Arial"/>
          <w:sz w:val="14"/>
          <w:szCs w:val="14"/>
          <w:color w:val="000000"/>
        </w:rPr>
        <w:t>six months ended June 30, 2013</w:t>
      </w:r>
      <w:r>
        <w:rPr>
          <w:rFonts w:ascii="Arial" w:cs="Arial" w:eastAsia="Arial" w:hAnsi="Arial"/>
          <w:sz w:val="14"/>
          <w:szCs w:val="14"/>
          <w:color w:val="231F20"/>
        </w:rPr>
        <w:t xml:space="preserve">, we made regular payments on our capital lease obligations of </w:t>
      </w:r>
      <w:r>
        <w:rPr>
          <w:rFonts w:ascii="Arial" w:cs="Arial" w:eastAsia="Arial" w:hAnsi="Arial"/>
          <w:sz w:val="14"/>
          <w:szCs w:val="14"/>
          <w:color w:val="000000"/>
        </w:rPr>
        <w:t>$0.7 million</w:t>
      </w:r>
      <w:r>
        <w:rPr>
          <w:rFonts w:ascii="Arial" w:cs="Arial" w:eastAsia="Arial" w:hAnsi="Arial"/>
          <w:sz w:val="14"/>
          <w:szCs w:val="14"/>
          <w:color w:val="231F20"/>
        </w:rPr>
        <w:t>.</w:t>
      </w:r>
    </w:p>
    <w:p>
      <w:pPr>
        <w:ind w:left="340" w:right="60" w:hanging="332"/>
        <w:spacing w:after="0" w:line="284"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Maintenance obligations relate to third-party software licenses. During the </w:t>
      </w:r>
      <w:r>
        <w:rPr>
          <w:rFonts w:ascii="Arial" w:cs="Arial" w:eastAsia="Arial" w:hAnsi="Arial"/>
          <w:sz w:val="14"/>
          <w:szCs w:val="14"/>
          <w:color w:val="000000"/>
        </w:rPr>
        <w:t>six months ended June 30, 2013</w:t>
      </w:r>
      <w:r>
        <w:rPr>
          <w:rFonts w:ascii="Arial" w:cs="Arial" w:eastAsia="Arial" w:hAnsi="Arial"/>
          <w:sz w:val="14"/>
          <w:szCs w:val="14"/>
          <w:color w:val="231F20"/>
        </w:rPr>
        <w:t>, we made regular payments on our maintenance obligations of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73"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73" w:lineRule="exact"/>
        <w:rPr>
          <w:sz w:val="20"/>
          <w:szCs w:val="20"/>
          <w:color w:val="auto"/>
        </w:rPr>
      </w:pPr>
    </w:p>
    <w:p>
      <w:pPr>
        <w:ind w:right="760" w:firstLine="486"/>
        <w:spacing w:after="0" w:line="29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10-Q for a discussion of recent accounting pronouncements.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74"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2012, filed with the SEC on March 5, 2013, the accounting policies related to revenue recognition, goodwill and intangibles,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4" w:right="2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3.</w:t>
      </w:r>
      <w:r>
        <w:rPr>
          <w:sz w:val="20"/>
          <w:szCs w:val="20"/>
          <w:color w:val="auto"/>
        </w:rPr>
        <w:tab/>
      </w:r>
      <w:r>
        <w:rPr>
          <w:rFonts w:ascii="Arial" w:cs="Arial" w:eastAsia="Arial" w:hAnsi="Arial"/>
          <w:sz w:val="18"/>
          <w:szCs w:val="18"/>
          <w:b w:val="1"/>
          <w:bCs w:val="1"/>
          <w:color w:val="231F20"/>
        </w:rPr>
        <w:t>Quantitative and Qualitative Disclosures about Market Risk</w:t>
      </w:r>
    </w:p>
    <w:p>
      <w:pPr>
        <w:spacing w:after="0" w:line="187"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48"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231F20"/>
        </w:rPr>
        <w:t>Beginning in December 2011, we began to use foreign exchange forward contracts to partially mitigate the impact of fluctuations in cash and accounts receivable balances denominated in Euros, and beginning in February 2013, to mitigate the impact of balances denominated in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We have $126.5 million in cash, cash equivalents and short-term and long-term investments at June 30, 2013. Cash and cash equivalents include cash held in banks and highly liquid money market funds and commercial paper. Investments consist of fixed-income U.S. government agency securities, corporate bonds, municipal bonds, asset-backed securities and commercial paper. All of these investments, excluding long-term investments, have maturities of less than one year from date of purchase. Long-term investments have maturities that extend more than one year from date of purchase.</w:t>
      </w:r>
    </w:p>
    <w:p>
      <w:pPr>
        <w:spacing w:after="0" w:line="135"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The primary objective of our investment activities is the preservation of principal and supporting our liquidity requirements. We do not enter into investments for trading or speculative purposes. Our investments are subject to market risk due to changes in interest rates, which may affect the interest income we earn and the fair market value of the investments. Due to the nature of these investments held as available-for-sale securities, we do not believe that a 10% increase or decrease in interest rates would have a material impact. We therefore do not expect our operating results or cash flows to be materially affected by a sudden change in market interest rates.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52" w:lineRule="exact"/>
        <w:rPr>
          <w:sz w:val="20"/>
          <w:szCs w:val="20"/>
          <w:color w:val="auto"/>
        </w:rPr>
      </w:pPr>
    </w:p>
    <w:p>
      <w:pPr>
        <w:ind w:right="140" w:firstLine="486"/>
        <w:spacing w:after="0" w:line="27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2013. The term “disclosure controls and procedures,” as defined in Rules 13a-15(e)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2013,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333" w:lineRule="exact"/>
        <w:rPr>
          <w:sz w:val="20"/>
          <w:szCs w:val="20"/>
          <w:color w:val="auto"/>
        </w:rPr>
      </w:pPr>
    </w:p>
    <w:p>
      <w:pPr>
        <w:jc w:val="both"/>
        <w:ind w:right="300" w:firstLine="486"/>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4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Legal Proceedings</w:t>
      </w:r>
    </w:p>
    <w:p>
      <w:pPr>
        <w:spacing w:after="0" w:line="177"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had net income in the six months ended June 30, 2013, we had net losses in the three and six months ended June 30, 2012, and in the first quarter of 2013. The net losses were primarily due to increased sales and marketing activities during those quarters, as we continued to expand our worldwide customer base, as well as focus on the promotion of our new solutions. We plan to continue to invest in our infrastructure, new solutions, research and development and sales and marketing, and as a result, we cannot assure you that we will regain or maintain profitability. In addition, as a public company, we incur significant accounting, legal and other expenses that we did not incur as a private company.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0"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jc w:val="both"/>
        <w:ind w:right="160" w:firstLine="405"/>
        <w:spacing w:after="0" w:line="271"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63"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5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37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timely meet market demand for product functionality;</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defects, errors or failures;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releasing our enhancements or new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negative publicity about their performance or effectiveness;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 or anticipated introduction of products by our competitors;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170"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9"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29"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demand for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customer renewals of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customers subscribe for additional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seasonal buying patterns of our customers;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perceived threats to IT security;</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security breaches, technical difficulties or interruptions with our service;</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growth rate of the IT security and compliance market;</w:t>
      </w:r>
    </w:p>
    <w:p>
      <w:pPr>
        <w:spacing w:after="0" w:line="116" w:lineRule="exact"/>
        <w:rPr>
          <w:rFonts w:ascii="Times New Roman" w:cs="Times New Roman" w:eastAsia="Times New Roman" w:hAnsi="Times New Roman"/>
          <w:sz w:val="18"/>
          <w:szCs w:val="18"/>
          <w:color w:val="auto"/>
        </w:rPr>
      </w:pPr>
    </w:p>
    <w:p>
      <w:pPr>
        <w:ind w:left="660" w:right="540" w:hanging="328"/>
        <w:spacing w:after="0" w:line="291"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sales commissions relative to the recognition of revenues;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price competition;</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foreign currency exchange rates;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or changes in our accounting policies.</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1" w:right="31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25"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78"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2"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9"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63" w:lineRule="exact"/>
        <w:rPr>
          <w:sz w:val="20"/>
          <w:szCs w:val="20"/>
          <w:color w:val="auto"/>
        </w:rPr>
      </w:pPr>
    </w:p>
    <w:p>
      <w:pPr>
        <w:ind w:right="720"/>
        <w:spacing w:after="0" w:line="301"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85% and 88%</w:t>
      </w:r>
      <w:r>
        <w:rPr>
          <w:rFonts w:ascii="Arial" w:cs="Arial" w:eastAsia="Arial" w:hAnsi="Arial"/>
          <w:sz w:val="18"/>
          <w:szCs w:val="18"/>
          <w:color w:val="231F20"/>
        </w:rPr>
        <w:t xml:space="preserve"> of our revenues from subscriptions to our QualysGuard Vulnerability Management solution for the six months ended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25" w:lineRule="exact"/>
        <w:rPr>
          <w:sz w:val="20"/>
          <w:szCs w:val="20"/>
          <w:color w:val="auto"/>
        </w:rPr>
      </w:pPr>
    </w:p>
    <w:p>
      <w:pPr>
        <w:jc w:val="both"/>
        <w:ind w:right="820" w:firstLine="405"/>
        <w:spacing w:after="0" w:line="259"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ind w:right="20"/>
        <w:spacing w:after="0" w:line="255"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two data centers, and any disruption of service at these facilities would interrupt or delay our ability to deliver our solutions to our customers which could reduce our revenues and harm our operating results.</w:t>
      </w:r>
    </w:p>
    <w:p>
      <w:pPr>
        <w:spacing w:after="0" w:line="150"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We currently host substantially all of our solutions from two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are adding additional data center facilities in 2013 to provide additional capacity for our cloud platform and enable disaster recovery. These additional facilities may not be operational in the anticipated time frame and we may incur unplanned expenses.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70" w:lineRule="exact"/>
        <w:rPr>
          <w:sz w:val="20"/>
          <w:szCs w:val="20"/>
          <w:color w:val="auto"/>
        </w:rPr>
      </w:pPr>
    </w:p>
    <w:p>
      <w:pPr>
        <w:ind w:right="240" w:firstLine="405"/>
        <w:spacing w:after="0" w:line="271"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63"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9" w:lineRule="exact"/>
        <w:rPr>
          <w:sz w:val="20"/>
          <w:szCs w:val="20"/>
          <w:color w:val="auto"/>
        </w:rPr>
      </w:pPr>
    </w:p>
    <w:p>
      <w:pPr>
        <w:ind w:right="400" w:firstLine="405"/>
        <w:spacing w:after="0" w:line="260"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78"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78"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9"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178" w:lineRule="exact"/>
        <w:rPr>
          <w:sz w:val="20"/>
          <w:szCs w:val="20"/>
          <w:color w:val="auto"/>
        </w:rPr>
      </w:pPr>
    </w:p>
    <w:p>
      <w:pPr>
        <w:ind w:right="400" w:firstLine="405"/>
        <w:spacing w:after="0" w:line="271"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63" w:lineRule="exact"/>
        <w:rPr>
          <w:sz w:val="20"/>
          <w:szCs w:val="20"/>
          <w:color w:val="auto"/>
        </w:rPr>
      </w:pPr>
    </w:p>
    <w:p>
      <w:pPr>
        <w:ind w:right="840" w:firstLine="405"/>
        <w:spacing w:after="0" w:line="29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45"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9" w:lineRule="exact"/>
        <w:rPr>
          <w:sz w:val="20"/>
          <w:szCs w:val="20"/>
          <w:color w:val="auto"/>
        </w:rPr>
      </w:pPr>
    </w:p>
    <w:p>
      <w:pPr>
        <w:ind w:right="140" w:firstLine="405"/>
        <w:spacing w:after="0" w:line="260"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2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78"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7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63"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9"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67"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8" w:lineRule="exact"/>
        <w:rPr>
          <w:sz w:val="20"/>
          <w:szCs w:val="20"/>
          <w:color w:val="auto"/>
        </w:rPr>
      </w:pPr>
    </w:p>
    <w:p>
      <w:pPr>
        <w:jc w:val="both"/>
        <w:ind w:right="560" w:firstLine="405"/>
        <w:spacing w:after="0" w:line="271"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5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greater brand name recognition;</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larger sales and marketing budgets and resources;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access to larger customer bases;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greater customer support resources;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make acquisitions;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meet relevant regulatory requirements;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substantially greater financial, technical and other resources.</w:t>
      </w:r>
    </w:p>
    <w:p>
      <w:pPr>
        <w:spacing w:after="0" w:line="332" w:lineRule="exact"/>
        <w:rPr>
          <w:sz w:val="20"/>
          <w:szCs w:val="20"/>
          <w:color w:val="auto"/>
        </w:rPr>
      </w:pPr>
    </w:p>
    <w:p>
      <w:pPr>
        <w:ind w:right="420" w:firstLine="405"/>
        <w:spacing w:after="0" w:line="271"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3"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29"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2010</w:t>
      </w:r>
      <w:r>
        <w:rPr>
          <w:rFonts w:ascii="Arial" w:cs="Arial" w:eastAsia="Arial" w:hAnsi="Arial"/>
          <w:sz w:val="18"/>
          <w:szCs w:val="18"/>
          <w:color w:val="231F20"/>
        </w:rPr>
        <w:t xml:space="preserve"> to </w:t>
      </w:r>
      <w:r>
        <w:rPr>
          <w:rFonts w:ascii="Arial" w:cs="Arial" w:eastAsia="Arial" w:hAnsi="Arial"/>
          <w:sz w:val="18"/>
          <w:szCs w:val="18"/>
          <w:color w:val="000000"/>
        </w:rPr>
        <w:t>2012</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$65.4 million</w:t>
      </w:r>
      <w:r>
        <w:rPr>
          <w:rFonts w:ascii="Arial" w:cs="Arial" w:eastAsia="Arial" w:hAnsi="Arial"/>
          <w:sz w:val="18"/>
          <w:szCs w:val="18"/>
          <w:color w:val="231F20"/>
        </w:rPr>
        <w:t xml:space="preserve"> to </w:t>
      </w:r>
      <w:r>
        <w:rPr>
          <w:rFonts w:ascii="Arial" w:cs="Arial" w:eastAsia="Arial" w:hAnsi="Arial"/>
          <w:sz w:val="18"/>
          <w:szCs w:val="18"/>
          <w:color w:val="000000"/>
        </w:rPr>
        <w:t>$91.4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232 employees at the beginning of 2010 to 376 employees at June 30, 2013. We rely on information</w:t>
      </w:r>
      <w:r>
        <w:rPr>
          <w:rFonts w:ascii="Arial" w:cs="Arial" w:eastAsia="Arial" w:hAnsi="Arial"/>
          <w:sz w:val="18"/>
          <w:szCs w:val="18"/>
          <w:color w:val="000000"/>
        </w:rPr>
        <w:t xml:space="preserve"> </w:t>
      </w:r>
      <w:r>
        <w:rPr>
          <w:rFonts w:ascii="Arial" w:cs="Arial" w:eastAsia="Arial" w:hAnsi="Arial"/>
          <w:sz w:val="18"/>
          <w:szCs w:val="18"/>
          <w:color w:val="231F20"/>
        </w:rPr>
        <w:t>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78"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9"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70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7"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2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six months ended June 30,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39% and 40%,</w:t>
      </w:r>
      <w:r>
        <w:rPr>
          <w:rFonts w:ascii="Arial" w:cs="Arial" w:eastAsia="Arial" w:hAnsi="Arial"/>
          <w:sz w:val="18"/>
          <w:szCs w:val="18"/>
          <w:color w:val="231F20"/>
        </w:rPr>
        <w:t xml:space="preserve"> of our revenues, respectively, from sales of subscriptions for our solutions through channel partners, and the percentage of 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and </w:t>
      </w:r>
      <w:r>
        <w:rPr>
          <w:rFonts w:ascii="Arial" w:cs="Arial" w:eastAsia="Arial" w:hAnsi="Arial"/>
          <w:sz w:val="18"/>
          <w:szCs w:val="18"/>
          <w:color w:val="000000"/>
        </w:rPr>
        <w:t>6%</w:t>
      </w:r>
      <w:r>
        <w:rPr>
          <w:rFonts w:ascii="Arial" w:cs="Arial" w:eastAsia="Arial" w:hAnsi="Arial"/>
          <w:sz w:val="18"/>
          <w:szCs w:val="18"/>
          <w:color w:val="231F20"/>
        </w:rPr>
        <w:t xml:space="preserve"> of our revenues for the six months ended </w:t>
      </w:r>
      <w:r>
        <w:rPr>
          <w:rFonts w:ascii="Arial" w:cs="Arial" w:eastAsia="Arial" w:hAnsi="Arial"/>
          <w:sz w:val="18"/>
          <w:szCs w:val="18"/>
          <w:color w:val="000000"/>
        </w:rPr>
        <w:t>June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29" w:lineRule="exact"/>
        <w:rPr>
          <w:sz w:val="20"/>
          <w:szCs w:val="20"/>
          <w:color w:val="auto"/>
        </w:rPr>
      </w:pPr>
    </w:p>
    <w:p>
      <w:pPr>
        <w:ind w:right="60" w:firstLine="405"/>
        <w:spacing w:after="0" w:line="260"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ind w:right="40"/>
        <w:spacing w:after="0" w:line="254"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9" w:lineRule="exact"/>
        <w:rPr>
          <w:sz w:val="20"/>
          <w:szCs w:val="20"/>
          <w:color w:val="auto"/>
        </w:rPr>
      </w:pPr>
    </w:p>
    <w:p>
      <w:pPr>
        <w:ind w:right="140" w:firstLine="405"/>
        <w:spacing w:after="0" w:line="271"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63"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7"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8" w:lineRule="exact"/>
        <w:rPr>
          <w:sz w:val="20"/>
          <w:szCs w:val="20"/>
          <w:color w:val="auto"/>
        </w:rPr>
      </w:pPr>
    </w:p>
    <w:p>
      <w:pPr>
        <w:ind w:right="20" w:firstLine="405"/>
        <w:spacing w:after="0" w:line="260"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75" w:lineRule="exact"/>
        <w:rPr>
          <w:sz w:val="20"/>
          <w:szCs w:val="20"/>
          <w:color w:val="auto"/>
        </w:rPr>
      </w:pPr>
    </w:p>
    <w:p>
      <w:pPr>
        <w:jc w:val="both"/>
        <w:ind w:right="120"/>
        <w:spacing w:after="0" w:line="276"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5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fluctuations;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trade and foreign exchange restrictions;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economic or political instability in foreign markets;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and costs of staffing and managing foreign operations;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6" w:lineRule="exact"/>
        <w:rPr>
          <w:rFonts w:ascii="Times New Roman" w:cs="Times New Roman" w:eastAsia="Times New Roman" w:hAnsi="Times New Roman"/>
          <w:sz w:val="18"/>
          <w:szCs w:val="18"/>
          <w:color w:val="auto"/>
        </w:rPr>
      </w:pPr>
    </w:p>
    <w:p>
      <w:pPr>
        <w:jc w:val="both"/>
        <w:ind w:left="660" w:right="40" w:hanging="328"/>
        <w:spacing w:after="0" w:line="270"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6" w:lineRule="exact"/>
        <w:rPr>
          <w:rFonts w:ascii="Times New Roman" w:cs="Times New Roman" w:eastAsia="Times New Roman" w:hAnsi="Times New Roman"/>
          <w:sz w:val="18"/>
          <w:szCs w:val="18"/>
          <w:color w:val="auto"/>
        </w:rPr>
      </w:pPr>
    </w:p>
    <w:p>
      <w:pPr>
        <w:ind w:left="660" w:right="220" w:hanging="328"/>
        <w:spacing w:after="0" w:line="291"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political unrest, acts of terrorism, hostilities or war;</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multiple and possibly overlapping tax structures.</w:t>
      </w:r>
    </w:p>
    <w:p>
      <w:pPr>
        <w:spacing w:after="0" w:line="2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2" w:lineRule="exact"/>
        <w:rPr>
          <w:sz w:val="20"/>
          <w:szCs w:val="20"/>
          <w:color w:val="auto"/>
        </w:rPr>
      </w:pPr>
    </w:p>
    <w:p>
      <w:pPr>
        <w:ind w:right="540"/>
        <w:spacing w:after="0" w:line="301"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six months ended June 30, </w:t>
      </w:r>
      <w:r>
        <w:rPr>
          <w:rFonts w:ascii="Arial" w:cs="Arial" w:eastAsia="Arial" w:hAnsi="Arial"/>
          <w:sz w:val="18"/>
          <w:szCs w:val="18"/>
          <w:color w:val="000000"/>
        </w:rPr>
        <w:t>2013</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six months ended June 30, </w:t>
      </w:r>
      <w:r>
        <w:rPr>
          <w:rFonts w:ascii="Arial" w:cs="Arial" w:eastAsia="Arial" w:hAnsi="Arial"/>
          <w:sz w:val="18"/>
          <w:szCs w:val="18"/>
          <w:color w:val="000000"/>
        </w:rPr>
        <w:t>2013</w:t>
      </w:r>
      <w:r>
        <w:rPr>
          <w:rFonts w:ascii="Arial" w:cs="Arial" w:eastAsia="Arial" w:hAnsi="Arial"/>
          <w:sz w:val="18"/>
          <w:szCs w:val="18"/>
          <w:color w:val="231F20"/>
        </w:rPr>
        <w:t xml:space="preserve">,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18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0"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9" w:lineRule="exact"/>
        <w:rPr>
          <w:sz w:val="20"/>
          <w:szCs w:val="20"/>
          <w:color w:val="auto"/>
        </w:rPr>
      </w:pPr>
    </w:p>
    <w:p>
      <w:pPr>
        <w:jc w:val="both"/>
        <w:ind w:right="180" w:firstLine="405"/>
        <w:spacing w:after="0" w:line="271"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6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We have one issued patent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0"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7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3"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67"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78"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6" w:lineRule="exact"/>
        <w:rPr>
          <w:rFonts w:ascii="Times New Roman" w:cs="Times New Roman" w:eastAsia="Times New Roman" w:hAnsi="Times New Roman"/>
          <w:sz w:val="18"/>
          <w:szCs w:val="18"/>
          <w:color w:val="auto"/>
        </w:rPr>
      </w:pPr>
    </w:p>
    <w:p>
      <w:pPr>
        <w:ind w:left="660" w:right="240" w:hanging="328"/>
        <w:spacing w:after="0" w:line="291" w:lineRule="auto"/>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37" w:lineRule="exact"/>
        <w:rPr>
          <w:rFonts w:ascii="Times New Roman" w:cs="Times New Roman" w:eastAsia="Times New Roman" w:hAnsi="Times New Roman"/>
          <w:sz w:val="18"/>
          <w:szCs w:val="18"/>
          <w:color w:val="auto"/>
        </w:rPr>
      </w:pPr>
    </w:p>
    <w:p>
      <w:pPr>
        <w:ind w:left="660" w:right="60" w:hanging="328"/>
        <w:spacing w:after="0" w:line="291" w:lineRule="auto"/>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$0.4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June 30, 2013</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78"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25" w:lineRule="exact"/>
        <w:rPr>
          <w:sz w:val="20"/>
          <w:szCs w:val="20"/>
          <w:color w:val="auto"/>
        </w:rPr>
      </w:pPr>
    </w:p>
    <w:p>
      <w:pPr>
        <w:ind w:right="20" w:firstLine="405"/>
        <w:spacing w:after="0" w:line="260"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175"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231F20"/>
        </w:rPr>
        <w:t xml:space="preserve">We are required under </w:t>
      </w:r>
      <w:r>
        <w:rPr>
          <w:rFonts w:ascii="Arial" w:cs="Arial" w:eastAsia="Arial" w:hAnsi="Arial"/>
          <w:sz w:val="18"/>
          <w:szCs w:val="18"/>
          <w:color w:val="000000"/>
        </w:rPr>
        <w:t>accounting principles generally accepted in the United States (</w:t>
      </w:r>
      <w:r>
        <w:rPr>
          <w:rFonts w:ascii="Times New Roman" w:cs="Times New Roman" w:eastAsia="Times New Roman" w:hAnsi="Times New Roman"/>
          <w:sz w:val="18"/>
          <w:szCs w:val="18"/>
          <w:color w:val="000000"/>
        </w:rPr>
        <w:t>“</w:t>
      </w:r>
      <w:r>
        <w:rPr>
          <w:rFonts w:ascii="Arial" w:cs="Arial" w:eastAsia="Arial" w:hAnsi="Arial"/>
          <w:sz w:val="18"/>
          <w:szCs w:val="18"/>
          <w:color w:val="000000"/>
        </w:rPr>
        <w:t>U.S. GAAP</w:t>
      </w:r>
      <w:r>
        <w:rPr>
          <w:rFonts w:ascii="Times New Roman" w:cs="Times New Roman" w:eastAsia="Times New Roman" w:hAnsi="Times New Roman"/>
          <w:sz w:val="18"/>
          <w:szCs w:val="18"/>
          <w:color w:val="000000"/>
        </w:rPr>
        <w:t>”</w:t>
      </w:r>
      <w:r>
        <w:rPr>
          <w:rFonts w:ascii="Arial" w:cs="Arial" w:eastAsia="Arial" w:hAnsi="Arial"/>
          <w:sz w:val="18"/>
          <w:szCs w:val="18"/>
          <w:color w:val="000000"/>
        </w:rPr>
        <w:t>)</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 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2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2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 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8"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goodwill and intangibles, reserves, accounting for income taxes and stock-based compensation.</w:t>
      </w:r>
    </w:p>
    <w:p>
      <w:pPr>
        <w:spacing w:after="0" w:line="182"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2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70" w:lineRule="exact"/>
        <w:rPr>
          <w:sz w:val="20"/>
          <w:szCs w:val="20"/>
          <w:color w:val="auto"/>
        </w:rPr>
      </w:pPr>
    </w:p>
    <w:p>
      <w:pPr>
        <w:jc w:val="both"/>
        <w:ind w:right="200"/>
        <w:spacing w:after="0" w:line="276"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5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77"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29"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$52.9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Increases in our effective tax rate could harm our operating results.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3"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During the quarter ended June 30, 2012, we identified a deficiency in our internal control over financial reporting and we determined that we should restate our consolidated financial statements as of December 31, 2010 and 2011 and for the year ended December 31, 2010 to correct an error in our 2010 provision for income taxes. The restatement related to the tax benefit resulting from a reduction of our liability for uncertain tax positions upon the lapse of the statute of limitations for the 2007 tax year of our French subsidiary. We did not release the liability at December 31, 2010 due to an error in the determination of when the statute of limitations would expire. Our review of the tax provision prepared by a third-party tax advisor was not effective in identifying the error in an appropriate timeframe. We concluded that this control deficiency was not a material weakness, but rather constituted a significant deficiency in our internal control over financial reporting. However, other control deficiencies which may rise to the level of a material weakness may be discovered in the future. In addition, our current controls and any new controls that we develop may 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and may result in additional restatements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7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commencing with our Annual Report on Form 10-K for the year ending December 31, 2013. Our independent registered public accounting firm is not required to formally attest to the effectiveness of our internal control over financial reporting until the later of our Annual Report on Form 10-K for the year ending December 31, 2013 or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would remain an “emerging growth company” for up to five years, although,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77"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5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right="80" w:firstLine="405"/>
        <w:spacing w:after="0" w:line="29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45" w:lineRule="exact"/>
        <w:rPr>
          <w:sz w:val="20"/>
          <w:szCs w:val="20"/>
          <w:color w:val="auto"/>
        </w:rPr>
      </w:pPr>
    </w:p>
    <w:p>
      <w:pPr>
        <w:ind w:firstLine="405"/>
        <w:spacing w:after="0" w:line="260"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75"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25" w:lineRule="exact"/>
        <w:rPr>
          <w:sz w:val="20"/>
          <w:szCs w:val="20"/>
          <w:color w:val="auto"/>
        </w:rPr>
      </w:pPr>
    </w:p>
    <w:p>
      <w:pPr>
        <w:ind w:right="300" w:firstLine="405"/>
        <w:spacing w:after="0" w:line="29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7" w:lineRule="exact"/>
        <w:rPr>
          <w:sz w:val="20"/>
          <w:szCs w:val="20"/>
          <w:color w:val="auto"/>
        </w:rPr>
      </w:pPr>
    </w:p>
    <w:p>
      <w:pPr>
        <w:ind w:left="660" w:right="740" w:hanging="328"/>
        <w:spacing w:after="0" w:line="291"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general market conditions and overall fluctuations in U.S. equity markets;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any of our key personnel;</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related to litigation;</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2" w:lineRule="exact"/>
        <w:rPr>
          <w:sz w:val="20"/>
          <w:szCs w:val="20"/>
          <w:color w:val="auto"/>
        </w:rPr>
      </w:pPr>
    </w:p>
    <w:p>
      <w:pPr>
        <w:ind w:right="140" w:firstLine="405"/>
        <w:spacing w:after="0" w:line="258"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25" w:lineRule="exact"/>
        <w:rPr>
          <w:sz w:val="20"/>
          <w:szCs w:val="20"/>
          <w:color w:val="auto"/>
        </w:rPr>
      </w:pPr>
    </w:p>
    <w:p>
      <w:pPr>
        <w:ind w:right="120" w:firstLine="405"/>
        <w:spacing w:after="0" w:line="294"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46"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2013</w:t>
      </w:r>
      <w:r>
        <w:rPr>
          <w:rFonts w:ascii="Arial" w:cs="Arial" w:eastAsia="Arial" w:hAnsi="Arial"/>
          <w:sz w:val="18"/>
          <w:szCs w:val="18"/>
          <w:color w:val="231F20"/>
        </w:rPr>
        <w:t>, our executive officers, directors and holders of 5% or more of our outstanding common stock beneficially own, in the aggregate, a majority of our outstanding common stock. As a result, such persons, acting together, have the ability to control our management and affairs and substantially all matters submitted to our stockholders for approval, including the election and removal of directors and approval of any significant transaction. These persons also have the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2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2013, we had approximately 32.0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178" w:lineRule="exact"/>
        <w:rPr>
          <w:sz w:val="20"/>
          <w:szCs w:val="20"/>
          <w:color w:val="auto"/>
        </w:rPr>
      </w:pPr>
    </w:p>
    <w:p>
      <w:pPr>
        <w:ind w:right="120" w:firstLine="405"/>
        <w:spacing w:after="0" w:line="271" w:lineRule="auto"/>
        <w:rPr>
          <w:sz w:val="20"/>
          <w:szCs w:val="20"/>
          <w:color w:val="auto"/>
        </w:rPr>
      </w:pPr>
      <w:r>
        <w:rPr>
          <w:rFonts w:ascii="Arial" w:cs="Arial" w:eastAsia="Arial" w:hAnsi="Arial"/>
          <w:sz w:val="18"/>
          <w:szCs w:val="18"/>
          <w:color w:val="231F20"/>
        </w:rPr>
        <w:t xml:space="preserve">In addition, an aggregate of </w:t>
      </w:r>
      <w:r>
        <w:rPr>
          <w:rFonts w:ascii="Arial" w:cs="Arial" w:eastAsia="Arial" w:hAnsi="Arial"/>
          <w:sz w:val="18"/>
          <w:szCs w:val="18"/>
          <w:color w:val="000000"/>
        </w:rPr>
        <w:t>1.9 million</w:t>
      </w:r>
      <w:r>
        <w:rPr>
          <w:rFonts w:ascii="Arial" w:cs="Arial" w:eastAsia="Arial" w:hAnsi="Arial"/>
          <w:sz w:val="18"/>
          <w:szCs w:val="18"/>
          <w:color w:val="231F20"/>
        </w:rPr>
        <w:t xml:space="preserve"> shares of our common stock is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63"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29"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9" w:lineRule="exact"/>
        <w:rPr>
          <w:sz w:val="20"/>
          <w:szCs w:val="20"/>
          <w:color w:val="auto"/>
        </w:rPr>
      </w:pPr>
    </w:p>
    <w:p>
      <w:pPr>
        <w:ind w:right="100" w:firstLine="405"/>
        <w:spacing w:after="0" w:line="29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37" w:lineRule="exact"/>
        <w:rPr>
          <w:sz w:val="20"/>
          <w:szCs w:val="20"/>
          <w:color w:val="auto"/>
        </w:rPr>
      </w:pPr>
    </w:p>
    <w:p>
      <w:pPr>
        <w:ind w:left="660" w:right="60" w:hanging="328"/>
        <w:spacing w:after="0" w:line="270"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prohibition on actions by written consent of our stockholders;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limitation on who may call a special meeting of stockholders;</w:t>
      </w:r>
    </w:p>
    <w:p>
      <w:pPr>
        <w:spacing w:after="0" w:line="116" w:lineRule="exact"/>
        <w:rPr>
          <w:rFonts w:ascii="Times New Roman" w:cs="Times New Roman" w:eastAsia="Times New Roman" w:hAnsi="Times New Roman"/>
          <w:sz w:val="18"/>
          <w:szCs w:val="18"/>
          <w:color w:val="auto"/>
        </w:rPr>
      </w:pPr>
    </w:p>
    <w:p>
      <w:pPr>
        <w:ind w:left="660" w:right="280" w:hanging="328"/>
        <w:spacing w:after="0" w:line="291"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121" w:right="35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ind w:right="5320"/>
        <w:spacing w:after="0" w:line="388"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95"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121" w:right="49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ind w:left="80" w:firstLine="432"/>
        <w:spacing w:after="0" w:line="29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August 8, 2013.</w:t>
      </w:r>
    </w:p>
    <w:p>
      <w:pPr>
        <w:spacing w:after="0" w:line="89"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Officer</w:t>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7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1380" w:type="dxa"/>
            <w:vAlign w:val="bottom"/>
            <w:gridSpan w:val="3"/>
          </w:tcPr>
          <w:p>
            <w:pPr>
              <w:jc w:val="center"/>
              <w:ind w:right="120"/>
              <w:spacing w:after="0"/>
              <w:rPr>
                <w:rFonts w:ascii="Arial" w:cs="Arial" w:eastAsia="Arial" w:hAnsi="Arial"/>
                <w:sz w:val="16"/>
                <w:szCs w:val="16"/>
                <w:color w:val="0000FF"/>
                <w:w w:val="99"/>
              </w:rPr>
            </w:pPr>
            <w:hyperlink w:anchor="page1">
              <w:r>
                <w:rPr>
                  <w:rFonts w:ascii="Arial" w:cs="Arial" w:eastAsia="Arial" w:hAnsi="Arial"/>
                  <w:sz w:val="16"/>
                  <w:szCs w:val="16"/>
                  <w:color w:val="0000FF"/>
                  <w:w w:val="99"/>
                </w:rPr>
                <w:t>Table of Contents</w:t>
              </w:r>
            </w:hyperlink>
          </w:p>
        </w:tc>
        <w:tc>
          <w:tcPr>
            <w:tcW w:w="10040" w:type="dxa"/>
            <w:vAlign w:val="bottom"/>
          </w:tcPr>
          <w:p>
            <w:pPr>
              <w:spacing w:after="0"/>
              <w:rPr>
                <w:sz w:val="16"/>
                <w:szCs w:val="16"/>
                <w:color w:val="auto"/>
              </w:rPr>
            </w:pPr>
          </w:p>
        </w:tc>
      </w:tr>
      <w:tr>
        <w:trPr>
          <w:trHeight w:val="478"/>
        </w:trPr>
        <w:tc>
          <w:tcPr>
            <w:tcW w:w="3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384"/>
        </w:trPr>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Exhibit</w:t>
            </w:r>
          </w:p>
        </w:tc>
        <w:tc>
          <w:tcPr>
            <w:tcW w:w="10040" w:type="dxa"/>
            <w:vAlign w:val="bottom"/>
          </w:tcPr>
          <w:p>
            <w:pPr>
              <w:spacing w:after="0"/>
              <w:rPr>
                <w:sz w:val="24"/>
                <w:szCs w:val="24"/>
                <w:color w:val="auto"/>
              </w:rPr>
            </w:pPr>
          </w:p>
        </w:tc>
      </w:tr>
      <w:tr>
        <w:trPr>
          <w:trHeight w:val="248"/>
        </w:trPr>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327"/>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38"/>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38"/>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and 18 U.S.C. Section 1350 as adopted pursuant to Section 906 of The Sarbanes-Oxley Act of 2002.</w:t>
            </w:r>
          </w:p>
        </w:tc>
      </w:tr>
      <w:tr>
        <w:trPr>
          <w:trHeight w:val="378"/>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color w:val="auto"/>
              </w:rPr>
              <w:t>INS^^</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Instance Document</w:t>
            </w:r>
          </w:p>
        </w:tc>
      </w:tr>
      <w:tr>
        <w:trPr>
          <w:trHeight w:val="500"/>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 SCH^^</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CAL^^</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DEF^^</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LAB^^</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PRE^^</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59" w:lineRule="exact"/>
        <w:rPr>
          <w:sz w:val="20"/>
          <w:szCs w:val="20"/>
          <w:color w:val="auto"/>
        </w:rPr>
      </w:pPr>
    </w:p>
    <w:p>
      <w:pPr>
        <w:ind w:left="500" w:right="160" w:hanging="492"/>
        <w:spacing w:after="0" w:line="258" w:lineRule="auto"/>
        <w:tabs>
          <w:tab w:leader="none" w:pos="5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 w:lineRule="exact"/>
        <w:rPr>
          <w:sz w:val="20"/>
          <w:szCs w:val="20"/>
          <w:color w:val="auto"/>
        </w:rPr>
      </w:pPr>
    </w:p>
    <w:p>
      <w:pPr>
        <w:ind w:left="500" w:right="40" w:hanging="492"/>
        <w:spacing w:after="0" w:line="316" w:lineRule="auto"/>
        <w:tabs>
          <w:tab w:leader="none" w:pos="50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Qualys, Inc.;</w:t>
      </w:r>
    </w:p>
    <w:p>
      <w:pPr>
        <w:spacing w:after="0" w:line="3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8, 2013</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Qualys, Inc.;</w:t>
      </w:r>
    </w:p>
    <w:p>
      <w:pPr>
        <w:spacing w:after="0" w:line="3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8, 2013</w:t>
      </w:r>
    </w:p>
    <w:p>
      <w:pPr>
        <w:spacing w:after="0" w:line="5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46"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2013,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16" w:lineRule="exact"/>
        <w:rPr>
          <w:sz w:val="20"/>
          <w:szCs w:val="20"/>
          <w:color w:val="auto"/>
        </w:rPr>
      </w:pPr>
    </w:p>
    <w:p>
      <w:pPr>
        <w:ind w:left="780" w:hanging="27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8, 2013</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2013,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09" w:lineRule="exact"/>
        <w:rPr>
          <w:sz w:val="20"/>
          <w:szCs w:val="20"/>
          <w:color w:val="auto"/>
        </w:rPr>
      </w:pPr>
    </w:p>
    <w:p>
      <w:pPr>
        <w:ind w:left="780" w:hanging="2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2013</w:t>
      </w:r>
    </w:p>
    <w:p>
      <w:pPr>
        <w:spacing w:after="0" w:line="5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decimal"/>
      <w:start w:val="2"/>
    </w:lvl>
  </w:abstractNum>
  <w:abstractNum w:abstractNumId="17">
    <w:nsid w:val="431BD7B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2019-12-07T00:15:01Z</dcterms:created>
  <dcterms:modified xsi:type="dcterms:W3CDTF">2019-12-07T00:15:01Z</dcterms:modified>
</cp:coreProperties>
</file>