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38735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45085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01" w:lineRule="exact"/>
        <w:rPr>
          <w:sz w:val="24"/>
          <w:szCs w:val="24"/>
          <w:color w:val="auto"/>
        </w:rPr>
      </w:pPr>
    </w:p>
    <w:p>
      <w:pPr>
        <w:ind w:left="3740" w:right="3720" w:hanging="3732"/>
        <w:spacing w:after="0" w:line="293" w:lineRule="auto"/>
        <w:tabs>
          <w:tab w:leader="none" w:pos="661"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 For the Annual Period Ended December 31, 2022</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240"/>
          </w:cols>
          <w:pgMar w:left="320" w:top="692" w:right="339" w:bottom="1440" w:gutter="0" w:footer="0" w:header="0"/>
        </w:sectPr>
      </w:pPr>
    </w:p>
    <w:p>
      <w:pPr>
        <w:spacing w:after="0" w:line="35" w:lineRule="exact"/>
        <w:rPr>
          <w:sz w:val="24"/>
          <w:szCs w:val="24"/>
          <w:color w:val="auto"/>
        </w:rPr>
      </w:pPr>
    </w:p>
    <w:p>
      <w:pPr>
        <w:jc w:val="center"/>
        <w:spacing w:after="0"/>
        <w:tabs>
          <w:tab w:leader="none" w:pos="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jc w:val="center"/>
        <w:spacing w:after="0"/>
        <w:rPr>
          <w:sz w:val="20"/>
          <w:szCs w:val="20"/>
          <w:color w:val="auto"/>
        </w:rPr>
      </w:pPr>
      <w:r>
        <w:rPr>
          <w:rFonts w:ascii="Arial" w:cs="Arial" w:eastAsia="Arial" w:hAnsi="Arial"/>
          <w:sz w:val="17"/>
          <w:szCs w:val="17"/>
          <w:b w:val="1"/>
          <w:bCs w:val="1"/>
          <w:color w:val="auto"/>
        </w:rPr>
        <w:t>Commission file number 001-35662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184785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p>
      <w:pPr>
        <w:spacing w:after="0" w:line="317" w:lineRule="exact"/>
        <w:rPr>
          <w:sz w:val="24"/>
          <w:szCs w:val="24"/>
          <w:color w:val="auto"/>
        </w:rPr>
      </w:pPr>
    </w:p>
    <w:tbl>
      <w:tblPr>
        <w:tblLayout w:type="fixed"/>
        <w:tblInd w:w="0" w:type="dxa"/>
        <w:tblCellMar>
          <w:top w:w="0" w:type="dxa"/>
          <w:left w:w="0" w:type="dxa"/>
          <w:bottom w:w="0" w:type="dxa"/>
          <w:right w:w="0" w:type="dxa"/>
        </w:tblCellMar>
      </w:tblPr>
      <w:tr>
        <w:trPr>
          <w:trHeight w:val="387"/>
        </w:trPr>
        <w:tc>
          <w:tcPr>
            <w:tcW w:w="4220" w:type="dxa"/>
            <w:vAlign w:val="bottom"/>
          </w:tcPr>
          <w:p>
            <w:pPr>
              <w:spacing w:after="0"/>
              <w:rPr>
                <w:sz w:val="24"/>
                <w:szCs w:val="24"/>
                <w:color w:val="auto"/>
              </w:rPr>
            </w:pPr>
          </w:p>
        </w:tc>
        <w:tc>
          <w:tcPr>
            <w:tcW w:w="3400" w:type="dxa"/>
            <w:vAlign w:val="bottom"/>
            <w:gridSpan w:val="2"/>
          </w:tcPr>
          <w:p>
            <w:pPr>
              <w:jc w:val="center"/>
              <w:ind w:right="600"/>
              <w:spacing w:after="0"/>
              <w:rPr>
                <w:sz w:val="20"/>
                <w:szCs w:val="20"/>
                <w:color w:val="auto"/>
              </w:rPr>
            </w:pPr>
            <w:r>
              <w:rPr>
                <w:rFonts w:ascii="Arial" w:cs="Arial" w:eastAsia="Arial" w:hAnsi="Arial"/>
                <w:sz w:val="32"/>
                <w:szCs w:val="32"/>
                <w:b w:val="1"/>
                <w:bCs w:val="1"/>
                <w:color w:val="auto"/>
              </w:rPr>
              <w:t>QUALYS, INC.</w:t>
            </w:r>
          </w:p>
        </w:tc>
        <w:tc>
          <w:tcPr>
            <w:tcW w:w="15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20" w:type="dxa"/>
            <w:vAlign w:val="bottom"/>
            <w:gridSpan w:val="3"/>
          </w:tcPr>
          <w:p>
            <w:pPr>
              <w:jc w:val="center"/>
              <w:ind w:left="355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15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220" w:type="dxa"/>
            <w:vAlign w:val="bottom"/>
            <w:vMerge w:val="restart"/>
          </w:tcPr>
          <w:p>
            <w:pPr>
              <w:jc w:val="center"/>
              <w:ind w:left="430"/>
              <w:spacing w:after="0"/>
              <w:rPr>
                <w:sz w:val="20"/>
                <w:szCs w:val="20"/>
                <w:color w:val="auto"/>
              </w:rPr>
            </w:pPr>
            <w:r>
              <w:rPr>
                <w:rFonts w:ascii="Arial" w:cs="Arial" w:eastAsia="Arial" w:hAnsi="Arial"/>
                <w:sz w:val="18"/>
                <w:szCs w:val="18"/>
                <w:b w:val="1"/>
                <w:bCs w:val="1"/>
                <w:color w:val="auto"/>
                <w:w w:val="93"/>
              </w:rPr>
              <w:t>Delaware</w:t>
            </w:r>
          </w:p>
        </w:tc>
        <w:tc>
          <w:tcPr>
            <w:tcW w:w="2800" w:type="dxa"/>
            <w:vAlign w:val="bottom"/>
            <w:tcBorders>
              <w:bottom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3620" w:type="dxa"/>
            <w:vAlign w:val="bottom"/>
            <w:gridSpan w:val="2"/>
            <w:vMerge w:val="restart"/>
          </w:tcPr>
          <w:p>
            <w:pPr>
              <w:jc w:val="center"/>
              <w:ind w:right="1110"/>
              <w:spacing w:after="0"/>
              <w:rPr>
                <w:sz w:val="20"/>
                <w:szCs w:val="20"/>
                <w:color w:val="auto"/>
              </w:rPr>
            </w:pPr>
            <w:r>
              <w:rPr>
                <w:rFonts w:ascii="Arial" w:cs="Arial" w:eastAsia="Arial" w:hAnsi="Arial"/>
                <w:sz w:val="18"/>
                <w:szCs w:val="18"/>
                <w:b w:val="1"/>
                <w:bCs w:val="1"/>
                <w:color w:val="auto"/>
                <w:w w:val="89"/>
              </w:rPr>
              <w:t>77-0534145</w:t>
            </w:r>
          </w:p>
        </w:tc>
        <w:tc>
          <w:tcPr>
            <w:tcW w:w="0" w:type="dxa"/>
            <w:vAlign w:val="bottom"/>
          </w:tcPr>
          <w:p>
            <w:pPr>
              <w:spacing w:after="0"/>
              <w:rPr>
                <w:sz w:val="1"/>
                <w:szCs w:val="1"/>
                <w:color w:val="auto"/>
              </w:rPr>
            </w:pPr>
          </w:p>
        </w:tc>
      </w:tr>
      <w:tr>
        <w:trPr>
          <w:trHeight w:val="245"/>
        </w:trPr>
        <w:tc>
          <w:tcPr>
            <w:tcW w:w="4220" w:type="dxa"/>
            <w:vAlign w:val="bottom"/>
            <w:vMerge w:val="continue"/>
          </w:tcPr>
          <w:p>
            <w:pPr>
              <w:spacing w:after="0"/>
              <w:rPr>
                <w:sz w:val="21"/>
                <w:szCs w:val="21"/>
                <w:color w:val="auto"/>
              </w:rPr>
            </w:pPr>
          </w:p>
        </w:tc>
        <w:tc>
          <w:tcPr>
            <w:tcW w:w="28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6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(State or other jurisdiction of</w:t>
            </w:r>
          </w:p>
        </w:tc>
        <w:tc>
          <w:tcPr>
            <w:tcW w:w="2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20" w:type="dxa"/>
            <w:vAlign w:val="bottom"/>
            <w:gridSpan w:val="2"/>
          </w:tcPr>
          <w:p>
            <w:pPr>
              <w:jc w:val="center"/>
              <w:ind w:right="1110"/>
              <w:spacing w:after="0"/>
              <w:rPr>
                <w:sz w:val="20"/>
                <w:szCs w:val="20"/>
                <w:color w:val="auto"/>
              </w:rPr>
            </w:pPr>
            <w:r>
              <w:rPr>
                <w:rFonts w:ascii="Arial" w:cs="Arial" w:eastAsia="Arial" w:hAnsi="Arial"/>
                <w:sz w:val="18"/>
                <w:szCs w:val="18"/>
                <w:b w:val="1"/>
                <w:bCs w:val="1"/>
                <w:color w:val="auto"/>
                <w:w w:val="94"/>
              </w:rPr>
              <w:t>(I.R.S. Employer</w:t>
            </w:r>
          </w:p>
        </w:tc>
        <w:tc>
          <w:tcPr>
            <w:tcW w:w="0" w:type="dxa"/>
            <w:vAlign w:val="bottom"/>
          </w:tcPr>
          <w:p>
            <w:pPr>
              <w:spacing w:after="0"/>
              <w:rPr>
                <w:sz w:val="1"/>
                <w:szCs w:val="1"/>
                <w:color w:val="auto"/>
              </w:rPr>
            </w:pPr>
          </w:p>
        </w:tc>
      </w:tr>
      <w:tr>
        <w:trPr>
          <w:trHeight w:val="216"/>
        </w:trPr>
        <w:tc>
          <w:tcPr>
            <w:tcW w:w="422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incorporation or organization)</w:t>
            </w:r>
          </w:p>
        </w:tc>
        <w:tc>
          <w:tcPr>
            <w:tcW w:w="2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20" w:type="dxa"/>
            <w:vAlign w:val="bottom"/>
            <w:gridSpan w:val="2"/>
          </w:tcPr>
          <w:p>
            <w:pPr>
              <w:jc w:val="center"/>
              <w:ind w:right="1110"/>
              <w:spacing w:after="0"/>
              <w:rPr>
                <w:sz w:val="20"/>
                <w:szCs w:val="20"/>
                <w:color w:val="auto"/>
              </w:rPr>
            </w:pPr>
            <w:r>
              <w:rPr>
                <w:rFonts w:ascii="Arial" w:cs="Arial" w:eastAsia="Arial" w:hAnsi="Arial"/>
                <w:sz w:val="18"/>
                <w:szCs w:val="18"/>
                <w:b w:val="1"/>
                <w:bCs w:val="1"/>
                <w:color w:val="auto"/>
                <w:w w:val="93"/>
              </w:rPr>
              <w:t>Identification Number)</w:t>
            </w:r>
          </w:p>
        </w:tc>
        <w:tc>
          <w:tcPr>
            <w:tcW w:w="0" w:type="dxa"/>
            <w:vAlign w:val="bottom"/>
          </w:tcPr>
          <w:p>
            <w:pPr>
              <w:spacing w:after="0"/>
              <w:rPr>
                <w:sz w:val="1"/>
                <w:szCs w:val="1"/>
                <w:color w:val="auto"/>
              </w:rPr>
            </w:pPr>
          </w:p>
        </w:tc>
      </w:tr>
      <w:tr>
        <w:trPr>
          <w:trHeight w:val="216"/>
        </w:trPr>
        <w:tc>
          <w:tcPr>
            <w:tcW w:w="9140" w:type="dxa"/>
            <w:vAlign w:val="bottom"/>
            <w:gridSpan w:val="4"/>
          </w:tcPr>
          <w:p>
            <w:pPr>
              <w:jc w:val="center"/>
              <w:ind w:left="2010"/>
              <w:spacing w:after="0"/>
              <w:rPr>
                <w:sz w:val="20"/>
                <w:szCs w:val="20"/>
                <w:color w:val="auto"/>
              </w:rPr>
            </w:pPr>
            <w:r>
              <w:rPr>
                <w:rFonts w:ascii="Arial" w:cs="Arial" w:eastAsia="Arial" w:hAnsi="Arial"/>
                <w:sz w:val="18"/>
                <w:szCs w:val="18"/>
                <w:b w:val="1"/>
                <w:bCs w:val="1"/>
                <w:color w:val="auto"/>
                <w:w w:val="91"/>
              </w:rPr>
              <w:t>919 E. Hillsdale Boulevard, 4th Floor, Foster City, California 94404</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gridSpan w:val="4"/>
          </w:tcPr>
          <w:p>
            <w:pPr>
              <w:jc w:val="center"/>
              <w:ind w:left="2030"/>
              <w:spacing w:after="0"/>
              <w:rPr>
                <w:sz w:val="20"/>
                <w:szCs w:val="20"/>
                <w:color w:val="auto"/>
              </w:rPr>
            </w:pPr>
            <w:r>
              <w:rPr>
                <w:rFonts w:ascii="Arial" w:cs="Arial" w:eastAsia="Arial" w:hAnsi="Arial"/>
                <w:sz w:val="18"/>
                <w:szCs w:val="18"/>
                <w:b w:val="1"/>
                <w:bCs w:val="1"/>
                <w:color w:val="auto"/>
                <w:w w:val="88"/>
              </w:rPr>
              <w:t>(Address of principal executive offices, including zip code)</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(650) 801-6100</w:t>
            </w:r>
          </w:p>
        </w:tc>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140" w:type="dxa"/>
            <w:vAlign w:val="bottom"/>
            <w:gridSpan w:val="4"/>
          </w:tcPr>
          <w:p>
            <w:pPr>
              <w:jc w:val="center"/>
              <w:ind w:left="203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220" w:type="dxa"/>
            <w:vAlign w:val="bottom"/>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2120" w:type="dxa"/>
            <w:vAlign w:val="bottom"/>
            <w:gridSpan w:val="2"/>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140" w:type="dxa"/>
            <w:vAlign w:val="bottom"/>
            <w:gridSpan w:val="4"/>
          </w:tcPr>
          <w:p>
            <w:pPr>
              <w:jc w:val="center"/>
              <w:ind w:left="2010"/>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2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2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87"/>
              </w:rPr>
              <w:t>Title of each class</w:t>
            </w:r>
          </w:p>
        </w:tc>
        <w:tc>
          <w:tcPr>
            <w:tcW w:w="340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8"/>
                <w:szCs w:val="18"/>
                <w:b w:val="1"/>
                <w:bCs w:val="1"/>
                <w:color w:val="auto"/>
                <w:w w:val="91"/>
              </w:rPr>
              <w:t>Trading Symbol(s)</w:t>
            </w:r>
          </w:p>
        </w:tc>
        <w:tc>
          <w:tcPr>
            <w:tcW w:w="3620" w:type="dxa"/>
            <w:vAlign w:val="bottom"/>
            <w:tcBorders>
              <w:bottom w:val="single" w:sz="8" w:color="auto"/>
            </w:tcBorders>
            <w:gridSpan w:val="2"/>
          </w:tcPr>
          <w:p>
            <w:pPr>
              <w:jc w:val="center"/>
              <w:ind w:right="550"/>
              <w:spacing w:after="0"/>
              <w:rPr>
                <w:sz w:val="20"/>
                <w:szCs w:val="20"/>
                <w:color w:val="auto"/>
              </w:rPr>
            </w:pPr>
            <w:r>
              <w:rPr>
                <w:rFonts w:ascii="Arial" w:cs="Arial" w:eastAsia="Arial" w:hAnsi="Arial"/>
                <w:sz w:val="18"/>
                <w:szCs w:val="18"/>
                <w:b w:val="1"/>
                <w:bCs w:val="1"/>
                <w:color w:val="auto"/>
                <w:w w:val="87"/>
              </w:rPr>
              <w:t>Name of exchange on which registered</w:t>
            </w:r>
          </w:p>
        </w:tc>
        <w:tc>
          <w:tcPr>
            <w:tcW w:w="0" w:type="dxa"/>
            <w:vAlign w:val="bottom"/>
          </w:tcPr>
          <w:p>
            <w:pPr>
              <w:spacing w:after="0"/>
              <w:rPr>
                <w:sz w:val="1"/>
                <w:szCs w:val="1"/>
                <w:color w:val="auto"/>
              </w:rPr>
            </w:pPr>
          </w:p>
        </w:tc>
      </w:tr>
      <w:tr>
        <w:trPr>
          <w:trHeight w:val="224"/>
        </w:trPr>
        <w:tc>
          <w:tcPr>
            <w:tcW w:w="4220" w:type="dxa"/>
            <w:vAlign w:val="bottom"/>
          </w:tcPr>
          <w:p>
            <w:pPr>
              <w:jc w:val="center"/>
              <w:ind w:left="90"/>
              <w:spacing w:after="0"/>
              <w:rPr>
                <w:sz w:val="20"/>
                <w:szCs w:val="20"/>
                <w:color w:val="auto"/>
              </w:rPr>
            </w:pPr>
            <w:r>
              <w:rPr>
                <w:rFonts w:ascii="Arial" w:cs="Arial" w:eastAsia="Arial" w:hAnsi="Arial"/>
                <w:sz w:val="18"/>
                <w:szCs w:val="18"/>
                <w:color w:val="auto"/>
                <w:w w:val="89"/>
              </w:rPr>
              <w:t>Common stock, $0.001 par value per share</w:t>
            </w:r>
          </w:p>
        </w:tc>
        <w:tc>
          <w:tcPr>
            <w:tcW w:w="3400" w:type="dxa"/>
            <w:vAlign w:val="bottom"/>
            <w:gridSpan w:val="2"/>
          </w:tcPr>
          <w:p>
            <w:pPr>
              <w:jc w:val="center"/>
              <w:ind w:right="460"/>
              <w:spacing w:after="0"/>
              <w:rPr>
                <w:sz w:val="20"/>
                <w:szCs w:val="20"/>
                <w:color w:val="auto"/>
              </w:rPr>
            </w:pPr>
            <w:r>
              <w:rPr>
                <w:rFonts w:ascii="Arial" w:cs="Arial" w:eastAsia="Arial" w:hAnsi="Arial"/>
                <w:sz w:val="18"/>
                <w:szCs w:val="18"/>
                <w:color w:val="auto"/>
                <w:w w:val="95"/>
              </w:rPr>
              <w:t>QLYS</w:t>
            </w:r>
          </w:p>
        </w:tc>
        <w:tc>
          <w:tcPr>
            <w:tcW w:w="3620" w:type="dxa"/>
            <w:vAlign w:val="bottom"/>
            <w:gridSpan w:val="2"/>
          </w:tcPr>
          <w:p>
            <w:pPr>
              <w:jc w:val="center"/>
              <w:ind w:right="550"/>
              <w:spacing w:after="0"/>
              <w:rPr>
                <w:sz w:val="20"/>
                <w:szCs w:val="20"/>
                <w:color w:val="auto"/>
              </w:rPr>
            </w:pPr>
            <w:r>
              <w:rPr>
                <w:rFonts w:ascii="Arial" w:cs="Arial" w:eastAsia="Arial" w:hAnsi="Arial"/>
                <w:sz w:val="18"/>
                <w:szCs w:val="18"/>
                <w:color w:val="auto"/>
                <w:w w:val="95"/>
              </w:rPr>
              <w:t>NASDAQ Stock Market</w:t>
            </w:r>
          </w:p>
        </w:tc>
        <w:tc>
          <w:tcPr>
            <w:tcW w:w="0" w:type="dxa"/>
            <w:vAlign w:val="bottom"/>
          </w:tcPr>
          <w:p>
            <w:pPr>
              <w:spacing w:after="0"/>
              <w:rPr>
                <w:sz w:val="1"/>
                <w:szCs w:val="1"/>
                <w:color w:val="auto"/>
              </w:rPr>
            </w:pPr>
          </w:p>
        </w:tc>
      </w:tr>
      <w:tr>
        <w:trPr>
          <w:trHeight w:val="371"/>
        </w:trPr>
        <w:tc>
          <w:tcPr>
            <w:tcW w:w="76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tc>
        <w:tc>
          <w:tcPr>
            <w:tcW w:w="1520" w:type="dxa"/>
            <w:vAlign w:val="bottom"/>
          </w:tcPr>
          <w:p>
            <w:pPr>
              <w:spacing w:after="0"/>
              <w:rPr>
                <w:sz w:val="24"/>
                <w:szCs w:val="24"/>
                <w:color w:val="auto"/>
              </w:rPr>
            </w:pPr>
          </w:p>
        </w:tc>
        <w:tc>
          <w:tcPr>
            <w:tcW w:w="210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9140" w:type="dxa"/>
            <w:vAlign w:val="bottom"/>
            <w:gridSpan w:val="4"/>
          </w:tcPr>
          <w:p>
            <w:pPr>
              <w:spacing w:after="0" w:line="207" w:lineRule="exact"/>
              <w:rPr>
                <w:sz w:val="20"/>
                <w:szCs w:val="20"/>
                <w:color w:val="auto"/>
              </w:rPr>
            </w:pPr>
            <w:r>
              <w:rPr>
                <w:rFonts w:ascii="Arial" w:cs="Arial" w:eastAsia="Arial" w:hAnsi="Arial"/>
                <w:sz w:val="18"/>
                <w:szCs w:val="18"/>
                <w:color w:val="auto"/>
                <w:w w:val="92"/>
              </w:rPr>
              <w:t xml:space="preserve">Indicate by check mark if the registrant is a well-known seasoned issuer, as defined in Rule 405 of the Securities Act. Yes </w:t>
            </w:r>
            <w:r>
              <w:rPr>
                <w:rFonts w:ascii="MS PGothic" w:cs="MS PGothic" w:eastAsia="MS PGothic" w:hAnsi="MS PGothic"/>
                <w:sz w:val="18"/>
                <w:szCs w:val="18"/>
                <w:color w:val="auto"/>
                <w:w w:val="92"/>
              </w:rPr>
              <w:t>☒</w:t>
            </w:r>
          </w:p>
        </w:tc>
        <w:tc>
          <w:tcPr>
            <w:tcW w:w="2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9140" w:type="dxa"/>
            <w:vAlign w:val="bottom"/>
            <w:gridSpan w:val="4"/>
          </w:tcPr>
          <w:p>
            <w:pPr>
              <w:spacing w:after="0" w:line="207" w:lineRule="exact"/>
              <w:rPr>
                <w:sz w:val="20"/>
                <w:szCs w:val="20"/>
                <w:color w:val="auto"/>
              </w:rPr>
            </w:pPr>
            <w:r>
              <w:rPr>
                <w:rFonts w:ascii="Arial" w:cs="Arial" w:eastAsia="Arial" w:hAnsi="Arial"/>
                <w:sz w:val="18"/>
                <w:szCs w:val="18"/>
                <w:color w:val="auto"/>
                <w:w w:val="91"/>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w w:val="91"/>
              </w:rPr>
              <w:t>☐</w:t>
            </w:r>
          </w:p>
        </w:tc>
        <w:tc>
          <w:tcPr>
            <w:tcW w:w="210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w:t>
      </w:r>
    </w:p>
    <w:p>
      <w:pPr>
        <w:spacing w:after="0" w:line="30" w:lineRule="exact"/>
        <w:rPr>
          <w:sz w:val="24"/>
          <w:szCs w:val="24"/>
          <w:color w:val="auto"/>
        </w:rPr>
      </w:pPr>
    </w:p>
    <w:p>
      <w:pPr>
        <w:spacing w:after="0" w:line="207" w:lineRule="exact"/>
        <w:tabs>
          <w:tab w:leader="none" w:pos="9360" w:val="left"/>
          <w:tab w:leader="none" w:pos="10060" w:val="left"/>
        </w:tabs>
        <w:rPr>
          <w:sz w:val="20"/>
          <w:szCs w:val="20"/>
          <w:color w:val="auto"/>
        </w:rPr>
      </w:pPr>
      <w:r>
        <w:rPr>
          <w:rFonts w:ascii="Arial" w:cs="Arial" w:eastAsia="Arial" w:hAnsi="Arial"/>
          <w:sz w:val="17"/>
          <w:szCs w:val="17"/>
          <w:color w:val="auto"/>
        </w:rPr>
        <w:t>Regulation S-T during the preceding 12 months (or for such shorter period that the registrant was required to submit such files).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w:t>
      </w:r>
    </w:p>
    <w:p>
      <w:pPr>
        <w:spacing w:after="0" w:line="30"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See the definitions of “large accelerated filer,” “accelerated filer,” “smaller reporting company,” and “emerging growth</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company” in Rule 12b-2 of the Exchange Act.</w:t>
      </w:r>
    </w:p>
    <w:p>
      <w:pPr>
        <w:spacing w:after="0" w:line="4" w:lineRule="exact"/>
        <w:rPr>
          <w:sz w:val="24"/>
          <w:szCs w:val="24"/>
          <w:color w:val="auto"/>
        </w:rPr>
      </w:pPr>
    </w:p>
    <w:p>
      <w:pPr>
        <w:spacing w:after="0" w:line="207" w:lineRule="exact"/>
        <w:tabs>
          <w:tab w:leader="none" w:pos="2280" w:val="left"/>
          <w:tab w:leader="none" w:pos="2940" w:val="left"/>
          <w:tab w:leader="none" w:pos="4880" w:val="left"/>
          <w:tab w:leader="none" w:pos="5520" w:val="left"/>
          <w:tab w:leader="none" w:pos="7680" w:val="left"/>
          <w:tab w:leader="none" w:pos="8300" w:val="left"/>
          <w:tab w:leader="none" w:pos="1092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Smaller reporting company</w:t>
      </w:r>
      <w:r>
        <w:rPr>
          <w:sz w:val="20"/>
          <w:szCs w:val="20"/>
          <w:color w:val="auto"/>
        </w:rPr>
        <w:tab/>
      </w:r>
      <w:r>
        <w:rPr>
          <w:rFonts w:ascii="MS PGothic" w:cs="MS PGothic" w:eastAsia="MS PGothic" w:hAnsi="MS PGothic"/>
          <w:sz w:val="16"/>
          <w:szCs w:val="16"/>
          <w:color w:val="auto"/>
        </w:rPr>
        <w:t>☐</w:t>
      </w:r>
    </w:p>
    <w:p>
      <w:pPr>
        <w:spacing w:after="0" w:line="16" w:lineRule="exact"/>
        <w:rPr>
          <w:sz w:val="24"/>
          <w:szCs w:val="24"/>
          <w:color w:val="auto"/>
        </w:rPr>
      </w:pPr>
    </w:p>
    <w:p>
      <w:pPr>
        <w:ind w:left="8320"/>
        <w:spacing w:after="0" w:line="207" w:lineRule="exact"/>
        <w:tabs>
          <w:tab w:leader="none" w:pos="109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9"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 w:lineRule="exact"/>
        <w:rPr>
          <w:sz w:val="24"/>
          <w:szCs w:val="24"/>
          <w:color w:val="auto"/>
        </w:rPr>
      </w:pPr>
    </w:p>
    <w:p>
      <w:pPr>
        <w:jc w:val="both"/>
        <w:spacing w:after="0" w:line="216"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 w:lineRule="exact"/>
        <w:rPr>
          <w:sz w:val="24"/>
          <w:szCs w:val="24"/>
          <w:color w:val="auto"/>
        </w:rPr>
      </w:pPr>
    </w:p>
    <w:p>
      <w:pPr>
        <w:ind w:right="100"/>
        <w:spacing w:after="0" w:line="213" w:lineRule="exact"/>
        <w:rPr>
          <w:sz w:val="20"/>
          <w:szCs w:val="20"/>
          <w:color w:val="auto"/>
        </w:rPr>
      </w:pPr>
      <w:r>
        <w:rPr>
          <w:rFonts w:ascii="Arial" w:cs="Arial" w:eastAsia="Arial" w:hAnsi="Arial"/>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6" w:lineRule="exact"/>
        <w:rPr>
          <w:sz w:val="24"/>
          <w:szCs w:val="24"/>
          <w:color w:val="auto"/>
        </w:rPr>
      </w:pPr>
    </w:p>
    <w:p>
      <w:pPr>
        <w:jc w:val="both"/>
        <w:spacing w:after="0" w:line="249" w:lineRule="auto"/>
        <w:rPr>
          <w:sz w:val="20"/>
          <w:szCs w:val="20"/>
          <w:color w:val="auto"/>
        </w:rPr>
      </w:pPr>
      <w:r>
        <w:rPr>
          <w:rFonts w:ascii="Arial" w:cs="Arial" w:eastAsia="Arial" w:hAnsi="Arial"/>
          <w:sz w:val="18"/>
          <w:szCs w:val="18"/>
          <w:color w:val="auto"/>
        </w:rPr>
        <w:t>As of June 30, 2022, the aggregate market value of voting shares of common stock held by non-affiliates of the registrant was $4,288 million based on the last reported sale price of the registrant's common stock on June 30, 2022. Shares of common stock held by each executive officer and director and by each person who owns 10% or more of the outstanding common stock have been excluded in that such persons may be deemed to be affiliates. This determination of affiliate status is not necessarily a conclusive determination for other purposes.</w:t>
      </w:r>
    </w:p>
    <w:p>
      <w:pPr>
        <w:spacing w:after="0" w:line="3"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February 16, 2023 was 37,009,478 shares.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7"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Portions of the registrant's Proxy Statement for its 2023 Annual Meeting of Stockholders are incorporated by reference in Part III of this Annual Report on Form 10-K where indicated. Such proxy statement will be filed with the Securities and Exchange Commission within 120 days of the registrant's fiscal year ended 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60" w:type="dxa"/>
            <w:vAlign w:val="bottom"/>
            <w:gridSpan w:val="32"/>
          </w:tcPr>
          <w:p>
            <w:pPr>
              <w:spacing w:after="0"/>
              <w:rPr>
                <w:sz w:val="20"/>
                <w:szCs w:val="20"/>
                <w:color w:val="auto"/>
              </w:rPr>
            </w:pPr>
            <w:r>
              <w:rPr>
                <w:rFonts w:ascii="Arial" w:cs="Arial" w:eastAsia="Arial" w:hAnsi="Arial"/>
                <w:sz w:val="18"/>
                <w:szCs w:val="18"/>
                <w:color w:val="0000EE"/>
              </w:rPr>
              <w:t>Table of Contents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20"/>
        </w:trPr>
        <w:tc>
          <w:tcPr>
            <w:tcW w:w="7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60" w:type="dxa"/>
            <w:vAlign w:val="bottom"/>
            <w:gridSpan w:val="16"/>
          </w:tcPr>
          <w:p>
            <w:pPr>
              <w:jc w:val="center"/>
              <w:ind w:right="4120"/>
              <w:spacing w:after="0"/>
              <w:rPr>
                <w:sz w:val="20"/>
                <w:szCs w:val="20"/>
                <w:color w:val="auto"/>
              </w:rPr>
            </w:pPr>
            <w:r>
              <w:rPr>
                <w:rFonts w:ascii="Arial" w:cs="Arial" w:eastAsia="Arial" w:hAnsi="Arial"/>
                <w:sz w:val="18"/>
                <w:szCs w:val="18"/>
                <w:b w:val="1"/>
                <w:bCs w:val="1"/>
                <w:color w:val="auto"/>
                <w:w w:val="90"/>
              </w:rPr>
              <w:t>Qualys, Inc.</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320" w:type="dxa"/>
            <w:vAlign w:val="bottom"/>
            <w:gridSpan w:val="17"/>
          </w:tcPr>
          <w:p>
            <w:pPr>
              <w:jc w:val="center"/>
              <w:ind w:right="3360"/>
              <w:spacing w:after="0"/>
              <w:rPr>
                <w:sz w:val="20"/>
                <w:szCs w:val="20"/>
                <w:color w:val="auto"/>
              </w:rPr>
            </w:pPr>
            <w:r>
              <w:rPr>
                <w:rFonts w:ascii="Arial" w:cs="Arial" w:eastAsia="Arial" w:hAnsi="Arial"/>
                <w:sz w:val="18"/>
                <w:szCs w:val="18"/>
                <w:b w:val="1"/>
                <w:bCs w:val="1"/>
                <w:color w:val="auto"/>
                <w:w w:val="98"/>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460" w:type="dxa"/>
            <w:vAlign w:val="bottom"/>
            <w:gridSpan w:val="32"/>
            <w:vMerge w:val="restart"/>
          </w:tcPr>
          <w:p>
            <w:pPr>
              <w:spacing w:after="0"/>
              <w:rPr>
                <w:sz w:val="20"/>
                <w:szCs w:val="20"/>
                <w:color w:val="auto"/>
              </w:rPr>
            </w:pPr>
            <w:r>
              <w:rPr>
                <w:rFonts w:ascii="Arial" w:cs="Arial" w:eastAsia="Arial" w:hAnsi="Arial"/>
                <w:sz w:val="18"/>
                <w:szCs w:val="18"/>
                <w:color w:val="0000EE"/>
              </w:rPr>
              <w:t>Risk Factor Summary</w:t>
            </w:r>
          </w:p>
        </w:tc>
        <w:tc>
          <w:tcPr>
            <w:tcW w:w="780" w:type="dxa"/>
            <w:vAlign w:val="bottom"/>
            <w:tcBorders>
              <w:bottom w:val="single" w:sz="8" w:color="auto"/>
            </w:tcBorders>
            <w:gridSpan w:val="3"/>
          </w:tcPr>
          <w:p>
            <w:pPr>
              <w:ind w:left="2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69"/>
        </w:trPr>
        <w:tc>
          <w:tcPr>
            <w:tcW w:w="10460" w:type="dxa"/>
            <w:vAlign w:val="bottom"/>
            <w:gridSpan w:val="32"/>
            <w:vMerge w:val="continue"/>
          </w:tcPr>
          <w:p>
            <w:pPr>
              <w:spacing w:after="0"/>
              <w:rPr>
                <w:sz w:val="14"/>
                <w:szCs w:val="14"/>
                <w:color w:val="auto"/>
              </w:rPr>
            </w:pPr>
          </w:p>
        </w:tc>
        <w:tc>
          <w:tcPr>
            <w:tcW w:w="440" w:type="dxa"/>
            <w:vAlign w:val="bottom"/>
            <w:gridSpan w:val="2"/>
          </w:tcPr>
          <w:p>
            <w:pPr>
              <w:jc w:val="center"/>
              <w:ind w:left="250"/>
              <w:spacing w:after="0" w:line="169" w:lineRule="exact"/>
              <w:rPr>
                <w:sz w:val="20"/>
                <w:szCs w:val="20"/>
                <w:color w:val="auto"/>
              </w:rPr>
            </w:pPr>
            <w:r>
              <w:rPr>
                <w:rFonts w:ascii="Arial" w:cs="Arial" w:eastAsia="Arial" w:hAnsi="Arial"/>
                <w:sz w:val="18"/>
                <w:szCs w:val="18"/>
                <w:color w:val="0000EE"/>
                <w:w w:val="99"/>
              </w:rPr>
              <w:t>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60" w:type="dxa"/>
            <w:vAlign w:val="bottom"/>
            <w:gridSpan w:val="32"/>
          </w:tcPr>
          <w:p>
            <w:pPr>
              <w:spacing w:after="0" w:line="196" w:lineRule="exact"/>
              <w:rPr>
                <w:sz w:val="20"/>
                <w:szCs w:val="20"/>
                <w:color w:val="auto"/>
              </w:rPr>
            </w:pPr>
            <w:r>
              <w:rPr>
                <w:rFonts w:ascii="Arial" w:cs="Arial" w:eastAsia="Arial" w:hAnsi="Arial"/>
                <w:sz w:val="18"/>
                <w:szCs w:val="18"/>
                <w:color w:val="0000EE"/>
              </w:rPr>
              <w:t>Note Regarding Forward-Looking Statements</w:t>
            </w:r>
          </w:p>
        </w:tc>
        <w:tc>
          <w:tcPr>
            <w:tcW w:w="44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0000EE"/>
                <w:w w:val="99"/>
              </w:rPr>
              <w:t>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60" w:type="dxa"/>
            <w:vAlign w:val="bottom"/>
            <w:gridSpan w:val="12"/>
          </w:tcPr>
          <w:p>
            <w:pPr>
              <w:jc w:val="center"/>
              <w:ind w:right="4500"/>
              <w:spacing w:after="0" w:line="196" w:lineRule="exact"/>
              <w:rPr>
                <w:sz w:val="20"/>
                <w:szCs w:val="20"/>
                <w:color w:val="auto"/>
              </w:rPr>
            </w:pPr>
            <w:r>
              <w:rPr>
                <w:rFonts w:ascii="Arial" w:cs="Arial" w:eastAsia="Arial" w:hAnsi="Arial"/>
                <w:sz w:val="18"/>
                <w:szCs w:val="18"/>
                <w:b w:val="1"/>
                <w:bCs w:val="1"/>
                <w:color w:val="0000EE"/>
                <w:w w:val="98"/>
              </w:rPr>
              <w:t>PART I</w:t>
            </w: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w:t>
            </w:r>
          </w:p>
        </w:tc>
        <w:tc>
          <w:tcPr>
            <w:tcW w:w="4540" w:type="dxa"/>
            <w:vAlign w:val="bottom"/>
            <w:gridSpan w:val="19"/>
          </w:tcPr>
          <w:p>
            <w:pPr>
              <w:spacing w:after="0" w:line="196" w:lineRule="exact"/>
              <w:rPr>
                <w:sz w:val="20"/>
                <w:szCs w:val="20"/>
                <w:color w:val="auto"/>
              </w:rPr>
            </w:pPr>
            <w:r>
              <w:rPr>
                <w:rFonts w:ascii="Arial" w:cs="Arial" w:eastAsia="Arial" w:hAnsi="Arial"/>
                <w:sz w:val="18"/>
                <w:szCs w:val="18"/>
                <w:color w:val="0000EE"/>
              </w:rPr>
              <w:t>Business</w:t>
            </w:r>
          </w:p>
        </w:tc>
        <w:tc>
          <w:tcPr>
            <w:tcW w:w="580" w:type="dxa"/>
            <w:vAlign w:val="bottom"/>
            <w:tcBorders>
              <w:top w:val="single" w:sz="8" w:color="0000EE"/>
            </w:tcBorders>
            <w:gridSpan w:val="2"/>
          </w:tcPr>
          <w:p>
            <w:pPr>
              <w:spacing w:after="0"/>
              <w:rPr>
                <w:sz w:val="17"/>
                <w:szCs w:val="17"/>
                <w:color w:val="auto"/>
              </w:rPr>
            </w:pPr>
          </w:p>
        </w:tc>
        <w:tc>
          <w:tcPr>
            <w:tcW w:w="4540" w:type="dxa"/>
            <w:vAlign w:val="bottom"/>
            <w:gridSpan w:val="9"/>
          </w:tcPr>
          <w:p>
            <w:pPr>
              <w:spacing w:after="0"/>
              <w:rPr>
                <w:sz w:val="17"/>
                <w:szCs w:val="17"/>
                <w:color w:val="auto"/>
              </w:rPr>
            </w:pPr>
          </w:p>
        </w:tc>
        <w:tc>
          <w:tcPr>
            <w:tcW w:w="440" w:type="dxa"/>
            <w:vAlign w:val="bottom"/>
            <w:gridSpan w:val="2"/>
          </w:tcPr>
          <w:p>
            <w:pPr>
              <w:jc w:val="center"/>
              <w:ind w:left="250"/>
              <w:spacing w:after="0" w:line="196" w:lineRule="exact"/>
              <w:rPr>
                <w:sz w:val="20"/>
                <w:szCs w:val="20"/>
                <w:color w:val="auto"/>
              </w:rPr>
            </w:pPr>
            <w:r>
              <w:rPr>
                <w:rFonts w:ascii="Arial" w:cs="Arial" w:eastAsia="Arial" w:hAnsi="Arial"/>
                <w:sz w:val="18"/>
                <w:szCs w:val="18"/>
                <w:color w:val="0000EE"/>
                <w:w w:val="99"/>
              </w:rPr>
              <w:t>5</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9660" w:type="dxa"/>
            <w:vAlign w:val="bottom"/>
            <w:gridSpan w:val="30"/>
          </w:tcPr>
          <w:p>
            <w:pPr>
              <w:spacing w:after="0" w:line="196" w:lineRule="exact"/>
              <w:rPr>
                <w:sz w:val="20"/>
                <w:szCs w:val="20"/>
                <w:color w:val="auto"/>
              </w:rPr>
            </w:pPr>
            <w:r>
              <w:rPr>
                <w:rFonts w:ascii="Arial" w:cs="Arial" w:eastAsia="Arial" w:hAnsi="Arial"/>
                <w:sz w:val="18"/>
                <w:szCs w:val="18"/>
                <w:color w:val="0000EE"/>
              </w:rPr>
              <w:t>Risk Factors</w:t>
            </w: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17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660" w:type="dxa"/>
            <w:vAlign w:val="bottom"/>
            <w:gridSpan w:val="30"/>
          </w:tcPr>
          <w:p>
            <w:pPr>
              <w:spacing w:after="0" w:line="196" w:lineRule="exact"/>
              <w:rPr>
                <w:sz w:val="20"/>
                <w:szCs w:val="20"/>
                <w:color w:val="auto"/>
              </w:rPr>
            </w:pPr>
            <w:r>
              <w:rPr>
                <w:rFonts w:ascii="Arial" w:cs="Arial" w:eastAsia="Arial" w:hAnsi="Arial"/>
                <w:sz w:val="18"/>
                <w:szCs w:val="18"/>
                <w:color w:val="0000EE"/>
              </w:rPr>
              <w:t>Unresolved Staff Comments</w:t>
            </w: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gridSpan w:val="3"/>
          </w:tcPr>
          <w:p>
            <w:pPr>
              <w:spacing w:after="0" w:line="196" w:lineRule="exact"/>
              <w:rPr>
                <w:sz w:val="20"/>
                <w:szCs w:val="20"/>
                <w:color w:val="auto"/>
              </w:rPr>
            </w:pPr>
            <w:r>
              <w:rPr>
                <w:rFonts w:ascii="Arial" w:cs="Arial" w:eastAsia="Arial" w:hAnsi="Arial"/>
                <w:sz w:val="18"/>
                <w:szCs w:val="18"/>
                <w:color w:val="0000EE"/>
                <w:w w:val="85"/>
              </w:rPr>
              <w:t>Properties</w:t>
            </w:r>
          </w:p>
        </w:tc>
        <w:tc>
          <w:tcPr>
            <w:tcW w:w="1300" w:type="dxa"/>
            <w:vAlign w:val="bottom"/>
            <w:gridSpan w:val="6"/>
          </w:tcPr>
          <w:p>
            <w:pPr>
              <w:spacing w:after="0"/>
              <w:rPr>
                <w:sz w:val="17"/>
                <w:szCs w:val="17"/>
                <w:color w:val="auto"/>
              </w:rPr>
            </w:pPr>
          </w:p>
        </w:tc>
        <w:tc>
          <w:tcPr>
            <w:tcW w:w="7620" w:type="dxa"/>
            <w:vAlign w:val="bottom"/>
            <w:gridSpan w:val="21"/>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0000EE"/>
                <w:w w:val="85"/>
              </w:rPr>
              <w:t>Legal Proceedings</w:t>
            </w:r>
          </w:p>
        </w:tc>
        <w:tc>
          <w:tcPr>
            <w:tcW w:w="8340" w:type="dxa"/>
            <w:vAlign w:val="bottom"/>
            <w:gridSpan w:val="24"/>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660" w:type="dxa"/>
            <w:vAlign w:val="bottom"/>
            <w:gridSpan w:val="30"/>
          </w:tcPr>
          <w:p>
            <w:pPr>
              <w:spacing w:after="0" w:line="196" w:lineRule="exact"/>
              <w:rPr>
                <w:sz w:val="20"/>
                <w:szCs w:val="20"/>
                <w:color w:val="auto"/>
              </w:rPr>
            </w:pPr>
            <w:r>
              <w:rPr>
                <w:rFonts w:ascii="Arial" w:cs="Arial" w:eastAsia="Arial" w:hAnsi="Arial"/>
                <w:sz w:val="18"/>
                <w:szCs w:val="18"/>
                <w:color w:val="0000EE"/>
              </w:rPr>
              <w:t>Mine Safety Disclosures</w:t>
            </w: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36</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tcBorders>
              <w:bottom w:val="single" w:sz="8" w:color="0000EE"/>
            </w:tcBorders>
            <w:gridSpan w:val="4"/>
          </w:tcPr>
          <w:p>
            <w:pPr>
              <w:jc w:val="center"/>
              <w:spacing w:after="0" w:line="196" w:lineRule="exact"/>
              <w:rPr>
                <w:sz w:val="20"/>
                <w:szCs w:val="20"/>
                <w:color w:val="auto"/>
              </w:rPr>
            </w:pPr>
            <w:r>
              <w:rPr>
                <w:rFonts w:ascii="Arial" w:cs="Arial" w:eastAsia="Arial" w:hAnsi="Arial"/>
                <w:sz w:val="18"/>
                <w:szCs w:val="18"/>
                <w:b w:val="1"/>
                <w:bCs w:val="1"/>
                <w:color w:val="0000EE"/>
              </w:rPr>
              <w:t>PART II</w:t>
            </w:r>
          </w:p>
        </w:tc>
        <w:tc>
          <w:tcPr>
            <w:tcW w:w="450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5.</w:t>
            </w:r>
          </w:p>
        </w:tc>
        <w:tc>
          <w:tcPr>
            <w:tcW w:w="9660" w:type="dxa"/>
            <w:vAlign w:val="bottom"/>
            <w:gridSpan w:val="30"/>
          </w:tcPr>
          <w:p>
            <w:pPr>
              <w:spacing w:after="0" w:line="196" w:lineRule="exact"/>
              <w:rPr>
                <w:sz w:val="20"/>
                <w:szCs w:val="20"/>
                <w:color w:val="auto"/>
              </w:rPr>
            </w:pPr>
            <w:r>
              <w:rPr>
                <w:rFonts w:ascii="Arial" w:cs="Arial" w:eastAsia="Arial" w:hAnsi="Arial"/>
                <w:sz w:val="18"/>
                <w:szCs w:val="18"/>
                <w:color w:val="0000EE"/>
              </w:rPr>
              <w:t>Market for Registrant's Common Equity, Related Stockholder Matters and Issuer Purchases of Equity Securities</w:t>
            </w: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00" w:type="dxa"/>
            <w:vAlign w:val="bottom"/>
            <w:gridSpan w:val="4"/>
          </w:tcPr>
          <w:p>
            <w:pPr>
              <w:spacing w:after="0" w:line="196" w:lineRule="exact"/>
              <w:rPr>
                <w:sz w:val="20"/>
                <w:szCs w:val="20"/>
                <w:color w:val="auto"/>
              </w:rPr>
            </w:pPr>
            <w:r>
              <w:rPr>
                <w:rFonts w:ascii="Arial" w:cs="Arial" w:eastAsia="Arial" w:hAnsi="Arial"/>
                <w:sz w:val="18"/>
                <w:szCs w:val="18"/>
                <w:color w:val="0000EE"/>
                <w:w w:val="89"/>
              </w:rPr>
              <w:t>[Reserved]</w:t>
            </w:r>
          </w:p>
        </w:tc>
        <w:tc>
          <w:tcPr>
            <w:tcW w:w="7260" w:type="dxa"/>
            <w:vAlign w:val="bottom"/>
            <w:gridSpan w:val="25"/>
          </w:tcPr>
          <w:p>
            <w:pPr>
              <w:spacing w:after="0"/>
              <w:rPr>
                <w:sz w:val="17"/>
                <w:szCs w:val="17"/>
                <w:color w:val="auto"/>
              </w:rPr>
            </w:pPr>
          </w:p>
        </w:tc>
        <w:tc>
          <w:tcPr>
            <w:tcW w:w="1600" w:type="dxa"/>
            <w:vAlign w:val="bottom"/>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9660" w:type="dxa"/>
            <w:vAlign w:val="bottom"/>
            <w:gridSpan w:val="30"/>
          </w:tcPr>
          <w:p>
            <w:pPr>
              <w:spacing w:after="0" w:line="19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6440" w:type="dxa"/>
            <w:vAlign w:val="bottom"/>
            <w:gridSpan w:val="26"/>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220" w:type="dxa"/>
            <w:vAlign w:val="bottom"/>
            <w:gridSpan w:val="4"/>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48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gridSpan w:val="13"/>
          </w:tcPr>
          <w:p>
            <w:pPr>
              <w:spacing w:after="0" w:line="196" w:lineRule="exact"/>
              <w:rPr>
                <w:sz w:val="20"/>
                <w:szCs w:val="20"/>
                <w:color w:val="auto"/>
              </w:rPr>
            </w:pPr>
            <w:r>
              <w:rPr>
                <w:rFonts w:ascii="Arial" w:cs="Arial" w:eastAsia="Arial" w:hAnsi="Arial"/>
                <w:sz w:val="18"/>
                <w:szCs w:val="18"/>
                <w:color w:val="0000EE"/>
                <w:w w:val="89"/>
              </w:rPr>
              <w:t>Financial Statements and Supplementary Data</w:t>
            </w:r>
          </w:p>
        </w:tc>
        <w:tc>
          <w:tcPr>
            <w:tcW w:w="1020" w:type="dxa"/>
            <w:vAlign w:val="bottom"/>
            <w:gridSpan w:val="2"/>
          </w:tcPr>
          <w:p>
            <w:pPr>
              <w:spacing w:after="0"/>
              <w:rPr>
                <w:sz w:val="17"/>
                <w:szCs w:val="17"/>
                <w:color w:val="auto"/>
              </w:rPr>
            </w:pPr>
          </w:p>
        </w:tc>
        <w:tc>
          <w:tcPr>
            <w:tcW w:w="5300" w:type="dxa"/>
            <w:vAlign w:val="bottom"/>
            <w:gridSpan w:val="15"/>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49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9660" w:type="dxa"/>
            <w:vAlign w:val="bottom"/>
            <w:gridSpan w:val="30"/>
          </w:tcPr>
          <w:p>
            <w:pPr>
              <w:spacing w:after="0" w:line="196" w:lineRule="exact"/>
              <w:rPr>
                <w:sz w:val="20"/>
                <w:szCs w:val="20"/>
                <w:color w:val="auto"/>
              </w:rPr>
            </w:pPr>
            <w:r>
              <w:rPr>
                <w:rFonts w:ascii="Arial" w:cs="Arial" w:eastAsia="Arial" w:hAnsi="Arial"/>
                <w:sz w:val="18"/>
                <w:szCs w:val="18"/>
                <w:color w:val="0000EE"/>
              </w:rPr>
              <w:t>Changes in and Disagreements with Accountants on Accounting and Financial Disclosure</w:t>
            </w: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gridSpan w:val="7"/>
          </w:tcPr>
          <w:p>
            <w:pPr>
              <w:spacing w:after="0" w:line="196" w:lineRule="exact"/>
              <w:rPr>
                <w:sz w:val="20"/>
                <w:szCs w:val="20"/>
                <w:color w:val="auto"/>
              </w:rPr>
            </w:pPr>
            <w:r>
              <w:rPr>
                <w:rFonts w:ascii="Arial" w:cs="Arial" w:eastAsia="Arial" w:hAnsi="Arial"/>
                <w:sz w:val="18"/>
                <w:szCs w:val="18"/>
                <w:color w:val="0000EE"/>
                <w:w w:val="88"/>
              </w:rPr>
              <w:t>Controls and Procedures</w:t>
            </w:r>
          </w:p>
        </w:tc>
        <w:tc>
          <w:tcPr>
            <w:tcW w:w="4700" w:type="dxa"/>
            <w:vAlign w:val="bottom"/>
            <w:gridSpan w:val="20"/>
          </w:tcPr>
          <w:p>
            <w:pPr>
              <w:spacing w:after="0"/>
              <w:rPr>
                <w:sz w:val="17"/>
                <w:szCs w:val="17"/>
                <w:color w:val="auto"/>
              </w:rPr>
            </w:pPr>
          </w:p>
        </w:tc>
        <w:tc>
          <w:tcPr>
            <w:tcW w:w="3180" w:type="dxa"/>
            <w:vAlign w:val="bottom"/>
            <w:gridSpan w:val="3"/>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1320" w:type="dxa"/>
            <w:vAlign w:val="bottom"/>
            <w:gridSpan w:val="6"/>
          </w:tcPr>
          <w:p>
            <w:pPr>
              <w:spacing w:after="0" w:line="196" w:lineRule="exact"/>
              <w:rPr>
                <w:sz w:val="20"/>
                <w:szCs w:val="20"/>
                <w:color w:val="auto"/>
              </w:rPr>
            </w:pPr>
            <w:r>
              <w:rPr>
                <w:rFonts w:ascii="Arial" w:cs="Arial" w:eastAsia="Arial" w:hAnsi="Arial"/>
                <w:sz w:val="18"/>
                <w:szCs w:val="18"/>
                <w:color w:val="0000EE"/>
                <w:w w:val="91"/>
              </w:rPr>
              <w:t>Other Information</w:t>
            </w:r>
          </w:p>
        </w:tc>
        <w:tc>
          <w:tcPr>
            <w:tcW w:w="460" w:type="dxa"/>
            <w:vAlign w:val="bottom"/>
          </w:tcPr>
          <w:p>
            <w:pPr>
              <w:spacing w:after="0"/>
              <w:rPr>
                <w:sz w:val="17"/>
                <w:szCs w:val="17"/>
                <w:color w:val="auto"/>
              </w:rPr>
            </w:pPr>
          </w:p>
        </w:tc>
        <w:tc>
          <w:tcPr>
            <w:tcW w:w="7880" w:type="dxa"/>
            <w:vAlign w:val="bottom"/>
            <w:gridSpan w:val="23"/>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9C.</w:t>
            </w:r>
          </w:p>
        </w:tc>
        <w:tc>
          <w:tcPr>
            <w:tcW w:w="9660" w:type="dxa"/>
            <w:vAlign w:val="bottom"/>
            <w:gridSpan w:val="30"/>
          </w:tcPr>
          <w:p>
            <w:pPr>
              <w:spacing w:after="0" w:line="196" w:lineRule="exact"/>
              <w:rPr>
                <w:sz w:val="20"/>
                <w:szCs w:val="20"/>
                <w:color w:val="auto"/>
              </w:rPr>
            </w:pPr>
            <w:r>
              <w:rPr>
                <w:rFonts w:ascii="Arial" w:cs="Arial" w:eastAsia="Arial" w:hAnsi="Arial"/>
                <w:sz w:val="18"/>
                <w:szCs w:val="18"/>
                <w:color w:val="0000EE"/>
              </w:rPr>
              <w:t>Disclosure Regarding Foreign Jurisdictions that Prevent Inspections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0000EE"/>
            </w:tcBorders>
            <w:gridSpan w:val="8"/>
          </w:tcPr>
          <w:p>
            <w:pPr>
              <w:jc w:val="center"/>
              <w:ind w:right="20"/>
              <w:spacing w:after="0" w:line="196" w:lineRule="exact"/>
              <w:rPr>
                <w:sz w:val="20"/>
                <w:szCs w:val="20"/>
                <w:color w:val="auto"/>
              </w:rPr>
            </w:pPr>
            <w:r>
              <w:rPr>
                <w:rFonts w:ascii="Arial" w:cs="Arial" w:eastAsia="Arial" w:hAnsi="Arial"/>
                <w:sz w:val="18"/>
                <w:szCs w:val="18"/>
                <w:b w:val="1"/>
                <w:bCs w:val="1"/>
                <w:color w:val="0000EE"/>
              </w:rPr>
              <w:t>PART III</w:t>
            </w:r>
          </w:p>
        </w:tc>
        <w:tc>
          <w:tcPr>
            <w:tcW w:w="446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gridSpan w:val="14"/>
          </w:tcPr>
          <w:p>
            <w:pPr>
              <w:spacing w:after="0" w:line="196" w:lineRule="exact"/>
              <w:rPr>
                <w:sz w:val="20"/>
                <w:szCs w:val="20"/>
                <w:color w:val="auto"/>
              </w:rPr>
            </w:pPr>
            <w:r>
              <w:rPr>
                <w:rFonts w:ascii="Arial" w:cs="Arial" w:eastAsia="Arial" w:hAnsi="Arial"/>
                <w:sz w:val="18"/>
                <w:szCs w:val="18"/>
                <w:color w:val="0000EE"/>
                <w:w w:val="90"/>
              </w:rPr>
              <w:t>Directors, Executive Officers and Corporate Governance</w:t>
            </w:r>
          </w:p>
        </w:tc>
        <w:tc>
          <w:tcPr>
            <w:tcW w:w="5560" w:type="dxa"/>
            <w:vAlign w:val="bottom"/>
            <w:gridSpan w:val="16"/>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4100" w:type="dxa"/>
            <w:vAlign w:val="bottom"/>
            <w:gridSpan w:val="14"/>
          </w:tcPr>
          <w:p>
            <w:pPr>
              <w:spacing w:after="0" w:line="196" w:lineRule="exact"/>
              <w:rPr>
                <w:sz w:val="20"/>
                <w:szCs w:val="20"/>
                <w:color w:val="auto"/>
              </w:rPr>
            </w:pPr>
            <w:r>
              <w:rPr>
                <w:rFonts w:ascii="Arial" w:cs="Arial" w:eastAsia="Arial" w:hAnsi="Arial"/>
                <w:sz w:val="18"/>
                <w:szCs w:val="18"/>
                <w:color w:val="0000EE"/>
              </w:rPr>
              <w:t>Executive Compensation</w:t>
            </w:r>
          </w:p>
        </w:tc>
        <w:tc>
          <w:tcPr>
            <w:tcW w:w="5560" w:type="dxa"/>
            <w:vAlign w:val="bottom"/>
            <w:gridSpan w:val="16"/>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gridSpan w:val="28"/>
          </w:tcPr>
          <w:p>
            <w:pPr>
              <w:spacing w:after="0" w:line="196" w:lineRule="exact"/>
              <w:rPr>
                <w:sz w:val="20"/>
                <w:szCs w:val="20"/>
                <w:color w:val="auto"/>
              </w:rPr>
            </w:pPr>
            <w:r>
              <w:rPr>
                <w:rFonts w:ascii="Arial" w:cs="Arial" w:eastAsia="Arial" w:hAnsi="Arial"/>
                <w:sz w:val="18"/>
                <w:szCs w:val="18"/>
                <w:color w:val="0000EE"/>
                <w:w w:val="90"/>
              </w:rPr>
              <w:t>Security Ownership of Certain Beneficial Owners and Management and Related Stockholder Matters</w:t>
            </w:r>
          </w:p>
        </w:tc>
        <w:tc>
          <w:tcPr>
            <w:tcW w:w="2360" w:type="dxa"/>
            <w:vAlign w:val="bottom"/>
            <w:gridSpan w:val="2"/>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11"/>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gridSpan w:val="25"/>
          </w:tcPr>
          <w:p>
            <w:pPr>
              <w:spacing w:after="0" w:line="196" w:lineRule="exact"/>
              <w:rPr>
                <w:sz w:val="20"/>
                <w:szCs w:val="20"/>
                <w:color w:val="auto"/>
              </w:rPr>
            </w:pPr>
            <w:r>
              <w:rPr>
                <w:rFonts w:ascii="Arial" w:cs="Arial" w:eastAsia="Arial" w:hAnsi="Arial"/>
                <w:sz w:val="18"/>
                <w:szCs w:val="18"/>
                <w:color w:val="0000EE"/>
                <w:w w:val="89"/>
              </w:rPr>
              <w:t>Certain Relationships and Related Transactions, and Director Independence</w:t>
            </w:r>
          </w:p>
        </w:tc>
        <w:tc>
          <w:tcPr>
            <w:tcW w:w="1840" w:type="dxa"/>
            <w:vAlign w:val="bottom"/>
            <w:gridSpan w:val="3"/>
          </w:tcPr>
          <w:p>
            <w:pPr>
              <w:spacing w:after="0"/>
              <w:rPr>
                <w:sz w:val="17"/>
                <w:szCs w:val="17"/>
                <w:color w:val="auto"/>
              </w:rPr>
            </w:pPr>
          </w:p>
        </w:tc>
        <w:tc>
          <w:tcPr>
            <w:tcW w:w="2360" w:type="dxa"/>
            <w:vAlign w:val="bottom"/>
            <w:gridSpan w:val="2"/>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11"/>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5460" w:type="dxa"/>
            <w:vAlign w:val="bottom"/>
            <w:gridSpan w:val="25"/>
          </w:tcPr>
          <w:p>
            <w:pPr>
              <w:spacing w:after="0" w:line="196" w:lineRule="exact"/>
              <w:rPr>
                <w:sz w:val="20"/>
                <w:szCs w:val="20"/>
                <w:color w:val="auto"/>
              </w:rPr>
            </w:pPr>
            <w:r>
              <w:rPr>
                <w:rFonts w:ascii="Arial" w:cs="Arial" w:eastAsia="Arial" w:hAnsi="Arial"/>
                <w:sz w:val="18"/>
                <w:szCs w:val="18"/>
                <w:color w:val="0000EE"/>
              </w:rPr>
              <w:t>Principal Accounting Fees and Services</w:t>
            </w:r>
          </w:p>
        </w:tc>
        <w:tc>
          <w:tcPr>
            <w:tcW w:w="4200" w:type="dxa"/>
            <w:vAlign w:val="bottom"/>
            <w:gridSpan w:val="5"/>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81</w:t>
            </w: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0" w:type="dxa"/>
            <w:vAlign w:val="bottom"/>
            <w:gridSpan w:val="14"/>
          </w:tcPr>
          <w:p>
            <w:pPr>
              <w:jc w:val="center"/>
              <w:ind w:right="4480"/>
              <w:spacing w:after="0" w:line="196" w:lineRule="exact"/>
              <w:rPr>
                <w:sz w:val="20"/>
                <w:szCs w:val="20"/>
                <w:color w:val="auto"/>
              </w:rPr>
            </w:pPr>
            <w:r>
              <w:rPr>
                <w:rFonts w:ascii="Arial" w:cs="Arial" w:eastAsia="Arial" w:hAnsi="Arial"/>
                <w:sz w:val="18"/>
                <w:szCs w:val="18"/>
                <w:b w:val="1"/>
                <w:bCs w:val="1"/>
                <w:color w:val="0000EE"/>
              </w:rPr>
              <w:t>PART IV</w:t>
            </w:r>
          </w:p>
        </w:tc>
        <w:tc>
          <w:tcPr>
            <w:tcW w:w="34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auto"/>
              </w:rPr>
              <w:t>Item 15.</w:t>
            </w:r>
          </w:p>
        </w:tc>
        <w:tc>
          <w:tcPr>
            <w:tcW w:w="4480" w:type="dxa"/>
            <w:vAlign w:val="bottom"/>
            <w:gridSpan w:val="17"/>
          </w:tcPr>
          <w:p>
            <w:pPr>
              <w:spacing w:after="0" w:line="196" w:lineRule="exact"/>
              <w:rPr>
                <w:sz w:val="20"/>
                <w:szCs w:val="20"/>
                <w:color w:val="auto"/>
              </w:rPr>
            </w:pPr>
            <w:r>
              <w:rPr>
                <w:rFonts w:ascii="Arial" w:cs="Arial" w:eastAsia="Arial" w:hAnsi="Arial"/>
                <w:sz w:val="18"/>
                <w:szCs w:val="18"/>
                <w:color w:val="0000EE"/>
              </w:rPr>
              <w:t>Exhibits and Financial Statement Schedules</w:t>
            </w:r>
          </w:p>
        </w:tc>
        <w:tc>
          <w:tcPr>
            <w:tcW w:w="700" w:type="dxa"/>
            <w:vAlign w:val="bottom"/>
            <w:tcBorders>
              <w:top w:val="single" w:sz="8" w:color="0000EE"/>
            </w:tcBorders>
            <w:gridSpan w:val="6"/>
          </w:tcPr>
          <w:p>
            <w:pPr>
              <w:spacing w:after="0"/>
              <w:rPr>
                <w:sz w:val="17"/>
                <w:szCs w:val="17"/>
                <w:color w:val="auto"/>
              </w:rPr>
            </w:pPr>
          </w:p>
        </w:tc>
        <w:tc>
          <w:tcPr>
            <w:tcW w:w="4480" w:type="dxa"/>
            <w:vAlign w:val="bottom"/>
            <w:gridSpan w:val="7"/>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gridSpan w:val="2"/>
          </w:tcPr>
          <w:p>
            <w:pPr>
              <w:spacing w:after="0" w:line="196" w:lineRule="exact"/>
              <w:rPr>
                <w:sz w:val="20"/>
                <w:szCs w:val="20"/>
                <w:color w:val="auto"/>
              </w:rPr>
            </w:pPr>
            <w:r>
              <w:rPr>
                <w:rFonts w:ascii="Arial" w:cs="Arial" w:eastAsia="Arial" w:hAnsi="Arial"/>
                <w:sz w:val="18"/>
                <w:szCs w:val="18"/>
                <w:color w:val="0000EE"/>
                <w:w w:val="90"/>
              </w:rPr>
              <w:t>Signatures</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780" w:type="dxa"/>
            <w:vAlign w:val="bottom"/>
            <w:gridSpan w:val="3"/>
          </w:tcPr>
          <w:p>
            <w:pPr>
              <w:jc w:val="center"/>
              <w:spacing w:after="0" w:line="196" w:lineRule="exact"/>
              <w:rPr>
                <w:sz w:val="20"/>
                <w:szCs w:val="20"/>
                <w:color w:val="auto"/>
              </w:rPr>
            </w:pPr>
            <w:r>
              <w:rPr>
                <w:rFonts w:ascii="Arial" w:cs="Arial" w:eastAsia="Arial" w:hAnsi="Arial"/>
                <w:sz w:val="18"/>
                <w:szCs w:val="18"/>
                <w:color w:val="0000EE"/>
                <w:w w:val="89"/>
              </w:rPr>
              <w:t>84</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gridSpan w:val="20"/>
          </w:tcPr>
          <w:p>
            <w:pPr>
              <w:jc w:val="center"/>
              <w:ind w:left="4650"/>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right="260" w:firstLine="518"/>
        <w:spacing w:after="0" w:line="273" w:lineRule="auto"/>
        <w:rPr>
          <w:sz w:val="20"/>
          <w:szCs w:val="20"/>
          <w:color w:val="auto"/>
        </w:rPr>
      </w:pPr>
      <w:r>
        <w:rPr>
          <w:rFonts w:ascii="Arial" w:cs="Arial" w:eastAsia="Arial" w:hAnsi="Arial"/>
          <w:sz w:val="17"/>
          <w:szCs w:val="17"/>
          <w:color w:val="auto"/>
        </w:rPr>
        <w:t>Our business is subject to significant risks and uncertainties that make an investment in us speculative and risky. Below we summarize what we believe are the principal risk factors but these risks are not the only ones we face, and you should carefully review and consider the full discussion of our risk factors in the section titled “Risk Factors,” together with the other information in this Annual Report on Form 10-K. If any of the following risks actually occurs (or if any of those listed elsewhere in this Annual Report on Form 10-K occur), our business, reputation, financial condition, results of operations, revenue, and future prospects could be seriously harmed. Additional risks and uncertainties that we are unaware of, or that we currently believe are not material, may also become important factors that adversely affect our business.</w:t>
      </w:r>
    </w:p>
    <w:p>
      <w:pPr>
        <w:spacing w:after="0" w:line="178" w:lineRule="exact"/>
        <w:rPr>
          <w:sz w:val="20"/>
          <w:szCs w:val="20"/>
          <w:color w:val="auto"/>
        </w:rPr>
      </w:pPr>
    </w:p>
    <w:p>
      <w:pPr>
        <w:ind w:left="720" w:right="20" w:hanging="213"/>
        <w:spacing w:after="0" w:line="258"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and annual operating results may vary from period to period, which could result in our failure to meet expectations with respect to operating results and cause the trading price of our stock to decline.</w:t>
      </w:r>
    </w:p>
    <w:p>
      <w:pPr>
        <w:spacing w:after="0" w:line="1" w:lineRule="exact"/>
        <w:rPr>
          <w:rFonts w:ascii="Arial" w:cs="Arial" w:eastAsia="Arial" w:hAnsi="Arial"/>
          <w:sz w:val="18"/>
          <w:szCs w:val="18"/>
          <w:color w:val="auto"/>
        </w:rPr>
      </w:pPr>
    </w:p>
    <w:p>
      <w:pPr>
        <w:jc w:val="both"/>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 w:lineRule="exact"/>
        <w:rPr>
          <w:rFonts w:ascii="Arial" w:cs="Arial" w:eastAsia="Arial" w:hAnsi="Arial"/>
          <w:sz w:val="18"/>
          <w:szCs w:val="18"/>
          <w:color w:val="auto"/>
        </w:rPr>
      </w:pPr>
    </w:p>
    <w:p>
      <w:pPr>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continue to effectively scale and adapt our platform to meet the performance and other requirements of our customers, our operating results and our business would be harmed.</w:t>
      </w:r>
    </w:p>
    <w:p>
      <w:pPr>
        <w:ind w:left="720" w:right="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renew existing subscriptions for our IT, security and compliance solutions, sell additional subscriptions for our solutions and attract new customers, our operating results would be harmed.</w:t>
      </w:r>
    </w:p>
    <w:p>
      <w:pPr>
        <w:ind w:left="720" w:right="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research and development efforts may not produce successful products or enhancements to our platform that result in significant revenue, cost savings or other benefits in the near future.</w:t>
      </w:r>
    </w:p>
    <w:p>
      <w:pPr>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platform, website and internal systems may be subject to intentional disruption or other security incidents that could result in liability and adversely impact our reputation and future sales.</w:t>
      </w:r>
    </w:p>
    <w:p>
      <w:pPr>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sales cycle can be long and unpredictable, and our sales efforts require considerable time and expense. As a result, revenues may vary from period to period, which may cause our operating results to fluctuate and could harm our business.</w:t>
      </w:r>
    </w:p>
    <w:p>
      <w:pPr>
        <w:ind w:left="720" w:hanging="213"/>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economic conditions or reduced IT spending may adversely impact our business.</w:t>
      </w:r>
    </w:p>
    <w:p>
      <w:pPr>
        <w:spacing w:after="0" w:line="9" w:lineRule="exact"/>
        <w:rPr>
          <w:rFonts w:ascii="Arial" w:cs="Arial" w:eastAsia="Arial" w:hAnsi="Arial"/>
          <w:sz w:val="18"/>
          <w:szCs w:val="18"/>
          <w:color w:val="auto"/>
        </w:rPr>
      </w:pPr>
    </w:p>
    <w:p>
      <w:pPr>
        <w:ind w:left="720" w:hanging="213"/>
        <w:spacing w:after="0" w:line="265"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IT, security and compliance solutions are delivered from 11 shared cloud platforms, and any disruption of service at these facilities would interrupt or delay our ability to deliver our solutions to our customers which could reduce our revenues and harm our operating results.</w:t>
      </w:r>
    </w:p>
    <w:p>
      <w:pPr>
        <w:ind w:left="720" w:hanging="213"/>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We face competition in our markets, and we may lack sufficient financial or other resources to maintain or improve our competitive position.</w:t>
      </w:r>
    </w:p>
    <w:p>
      <w:pPr>
        <w:spacing w:after="0" w:line="20" w:lineRule="exact"/>
        <w:rPr>
          <w:rFonts w:ascii="Arial" w:cs="Arial" w:eastAsia="Arial" w:hAnsi="Arial"/>
          <w:sz w:val="17"/>
          <w:szCs w:val="17"/>
          <w:color w:val="auto"/>
        </w:rPr>
      </w:pPr>
    </w:p>
    <w:p>
      <w:pPr>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our solutions fail to detect vulnerabilities or incorrectly detect vulnerabilities, our brand and reputation could be harmed, which could have an adverse effect on our business and results of operations.</w:t>
      </w:r>
    </w:p>
    <w:p>
      <w:pPr>
        <w:ind w:left="720" w:hanging="213"/>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If we are unable to continue the expansion of our sales force, sales of our solutions and the growth of our business would be harmed.</w:t>
      </w:r>
    </w:p>
    <w:p>
      <w:pPr>
        <w:spacing w:after="0" w:line="20" w:lineRule="exact"/>
        <w:rPr>
          <w:rFonts w:ascii="Arial" w:cs="Arial" w:eastAsia="Arial" w:hAnsi="Arial"/>
          <w:sz w:val="17"/>
          <w:szCs w:val="17"/>
          <w:color w:val="auto"/>
        </w:rPr>
      </w:pPr>
    </w:p>
    <w:p>
      <w:pPr>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third-party channel partners to generate a substantial amount of our revenues, and if we fail to expand and manage our distribution channels, our revenues could decline and our growth prospects could suffer.</w:t>
      </w:r>
    </w:p>
    <w:p>
      <w:pPr>
        <w:jc w:val="both"/>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 w:lineRule="exact"/>
        <w:rPr>
          <w:rFonts w:ascii="Arial" w:cs="Arial" w:eastAsia="Arial" w:hAnsi="Arial"/>
          <w:sz w:val="18"/>
          <w:szCs w:val="18"/>
          <w:color w:val="auto"/>
        </w:rPr>
      </w:pPr>
    </w:p>
    <w:p>
      <w:pPr>
        <w:ind w:left="720" w:right="20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the market for cloud solutions for IT, security and compliance does not evolve as we anticipate, our revenues may not grow and our operating results would be harmed.</w:t>
      </w:r>
    </w:p>
    <w:p>
      <w:pPr>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and operations have continued to grow since inception, and if we do not appropriately manage any future growth, or are unable to improve our systems and processes, our operating results may be negatively affected.</w:t>
      </w:r>
    </w:p>
    <w:p>
      <w:pPr>
        <w:ind w:left="720" w:hanging="213"/>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portion of our revenues are generated by sales to government entities, which are subject to a number of challenges and risks.</w:t>
      </w:r>
    </w:p>
    <w:p>
      <w:pPr>
        <w:spacing w:after="0" w:line="9" w:lineRule="exact"/>
        <w:rPr>
          <w:rFonts w:ascii="Arial" w:cs="Arial" w:eastAsia="Arial" w:hAnsi="Arial"/>
          <w:sz w:val="18"/>
          <w:szCs w:val="18"/>
          <w:color w:val="auto"/>
        </w:rPr>
      </w:pPr>
    </w:p>
    <w:p>
      <w:pPr>
        <w:ind w:left="720" w:hanging="213"/>
        <w:spacing w:after="0"/>
        <w:tabs>
          <w:tab w:leader="none" w:pos="72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Undetected software errors or flaws in our solutions could harm our reputation, decrease market acceptance of our solutions or result in liability.</w:t>
      </w:r>
    </w:p>
    <w:p>
      <w:pPr>
        <w:spacing w:after="0" w:line="32" w:lineRule="exact"/>
        <w:rPr>
          <w:rFonts w:ascii="Arial" w:cs="Arial" w:eastAsia="Arial" w:hAnsi="Arial"/>
          <w:sz w:val="16"/>
          <w:szCs w:val="16"/>
          <w:color w:val="auto"/>
        </w:rPr>
      </w:pPr>
    </w:p>
    <w:p>
      <w:pPr>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solutions could be used to collect and store personal information of our customers’ employees or customers, and therefore privacy and other data handling concerns could result in additional cost and liability to us or inhibit sales of our solutions.</w:t>
      </w:r>
    </w:p>
    <w:p>
      <w:pPr>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solutions contain third-party open source software components, and our failure to comply with the terms of the underlying open source software licenses could restrict our ability to sell our solutions.</w:t>
      </w:r>
    </w:p>
    <w:p>
      <w:pPr>
        <w:ind w:left="720" w:hanging="213"/>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use third-party software and data that may be difficult to replace or cause errors or failures of our solutions that could lead to lost customers or harm to our reputation and our operating results.</w:t>
      </w:r>
    </w:p>
    <w:p>
      <w:pPr>
        <w:ind w:left="720" w:hanging="213"/>
        <w:spacing w:after="0"/>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protect our proprietary technology and intellectual property rights could substantially harm our business and operating results.</w:t>
      </w:r>
    </w:p>
    <w:p>
      <w:pPr>
        <w:spacing w:after="0" w:line="20" w:lineRule="exact"/>
        <w:rPr>
          <w:rFonts w:ascii="Arial" w:cs="Arial" w:eastAsia="Arial" w:hAnsi="Arial"/>
          <w:sz w:val="17"/>
          <w:szCs w:val="17"/>
          <w:color w:val="auto"/>
        </w:rPr>
      </w:pPr>
    </w:p>
    <w:p>
      <w:pPr>
        <w:ind w:left="720" w:right="20" w:hanging="213"/>
        <w:spacing w:after="0" w:line="26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Assertions by third parties of infringement or other violations by us of their intellectual property rights could result in significant costs and harm our business and operating results.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i w:val="1"/>
          <w:iCs w:val="1"/>
          <w:color w:val="auto"/>
        </w:rPr>
        <w:t>In addition to historical information, this Annual Report on Form 10-K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4" w:lineRule="exact"/>
        <w:rPr>
          <w:sz w:val="20"/>
          <w:szCs w:val="20"/>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financial performance, including our revenues, costs, expenditures, growth rates, operating expenses and ability to generate positive cash flow to fund our operations and sustain profitability;</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anticipated technology trends, such as the use of cloud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adapt to changing market conditions;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ongoing COVID-19 pandemic on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economic and financial conditions, including volatility in foreign exchange rates, inflation concerns, rising interest rates, recessionary fears, supply chain disruption, and global labor shortage;</w:t>
      </w: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diversify our sources of revenues, including selling additional solutions to our existing customers and our ability to pursue new customers;</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effects of increased competition in our market;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innovate and enhance our cloud solutions and platform and introduce new solutions;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effectively manage our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anticipated investments in sales and marketing, our infrastructure, new solutions, research and development, and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maintaining and expanding our relationships with channel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maintain, protect and enhance our brand and intellectual property;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costs associated with defending intellectual property infringement and other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attract and retain qualified employees and key personnel, including sales and marketing personnel;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successfully enter new markets and manage our international expansion;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our expectations, assumptions and conclusions related to our income tax provision, our deferred tax assets and our effective tax rate; and</w:t>
      </w:r>
    </w:p>
    <w:p>
      <w:pPr>
        <w:spacing w:after="0" w:line="20" w:lineRule="exact"/>
        <w:rPr>
          <w:rFonts w:ascii="Arial" w:cs="Arial" w:eastAsia="Arial" w:hAnsi="Arial"/>
          <w:sz w:val="17"/>
          <w:szCs w:val="17"/>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other factors discussed in this Annual Report on Form 10-K in the sections titled </w:t>
      </w:r>
      <w:r>
        <w:rPr>
          <w:rFonts w:ascii="Arial" w:cs="Arial" w:eastAsia="Arial" w:hAnsi="Arial"/>
          <w:sz w:val="18"/>
          <w:szCs w:val="18"/>
          <w:color w:val="auto"/>
        </w:rPr>
        <w:t>“</w:t>
      </w:r>
      <w:r>
        <w:rPr>
          <w:rFonts w:ascii="Arial" w:cs="Arial" w:eastAsia="Arial" w:hAnsi="Arial"/>
          <w:sz w:val="18"/>
          <w:szCs w:val="18"/>
          <w:i w:val="1"/>
          <w:iCs w:val="1"/>
          <w:color w:val="auto"/>
        </w:rPr>
        <w:t>Risk Factors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We have based the forward-looking statements contained in this Annual Report on Form 10-K primarily on our current expectations and projections about future events and trends that we believe may affect our business, financial condition, results of operations and prospects. The results, events and circumstances reflected in these forward-looking statements are subject to risks, uncertainties, assumptions, and other factors including those described in Part I, Item 1A (Risk Factors) of this Annual Report on Form 10-K and those discussed in other documents we file with the U.S. Securities and Exchange Commission (SEC). Moreover, we operate in a very competitive and rapidly changing environment. New risks and uncertainties emerge from time to time, and it is not possible for us to predict all risks and uncertainties that could have an impact on the forward-looking statements used herein. We cannot provide assurance that the results, events, and circumstances reflected in the forward-looking statements will be achieved or occur, and actual results, events or circumstances could differ materially from those described in the forward-looking statements.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You should not rely on forward-looking statements as predictions of future events. Except as required by law, neither we nor any other person assumes responsibility for the accuracy and completeness of the forward-looking statements, and we undertake no obligation to update any forward-looking statements to reflect events or circumstances after the date of such statements.</w:t>
      </w:r>
    </w:p>
    <w:p>
      <w:pPr>
        <w:spacing w:after="0" w:line="184" w:lineRule="exact"/>
        <w:rPr>
          <w:sz w:val="20"/>
          <w:szCs w:val="20"/>
          <w:color w:val="auto"/>
        </w:rPr>
      </w:pPr>
    </w:p>
    <w:p>
      <w:pPr>
        <w:jc w:val="both"/>
        <w:ind w:right="80" w:firstLine="270"/>
        <w:spacing w:after="0" w:line="286" w:lineRule="auto"/>
        <w:rPr>
          <w:sz w:val="20"/>
          <w:szCs w:val="20"/>
          <w:color w:val="auto"/>
        </w:rPr>
      </w:pPr>
      <w:r>
        <w:rPr>
          <w:rFonts w:ascii="Arial" w:cs="Arial" w:eastAsia="Arial" w:hAnsi="Arial"/>
          <w:sz w:val="17"/>
          <w:szCs w:val="17"/>
          <w:i w:val="1"/>
          <w:iCs w:val="1"/>
          <w:color w:val="auto"/>
        </w:rPr>
        <w:t xml:space="preserve">Qualys, the Qualys logo and other trademarks and service marks of Qualys appearing in this Annual Report on Form 10-K are the property of Qualys. This Annual Report on Form 10-K also contains trademarks and trade names of other businesses that are the property of their respective holders. We have omitted the </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 xml:space="preserve"> designations, as applicable, for the trademarks used in this Annual Report on Form 10-K.</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are a pioneer and leading provider of a cloud-based platform delivering information technology (IT), security and compliance solutions. Our integrated suite of IT, security and compliance solutions delivered on our Qualys Cloud Platform enables our customers to: 1) identify and manage their IT assets across on-premises, endpoints, cloud, containers, and mobile environments; 2) collect and analyze large amounts of IT security data; 3) discover and prioritize vulnerabilities; 4) recommend and implement remediation actions; and 5) verify the implementation of such actions. This helps organizations protect their systems and applications from ever-evolving cyber-attacks and helps achieve compliance with internal policies and external regulations.</w:t>
      </w:r>
    </w:p>
    <w:p>
      <w:pPr>
        <w:spacing w:after="0" w:line="16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cloud solutions address the growing IT,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76"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IT infrastructures are more complex and globally-distributed today than ever before, as organizations of all sizes increasingly rely upon a myriad of interconnected information systems and related IT assets, such as servers, databases, web applications, routers, switches, desktops, laptops, other physical and virtual infrastructure, and numerous external networks and cloud services. In this environment, new and evolving digital technologies intended to improve organizations’ operations can also increase vulnerability to cyber-attacks, which can expose sensitive data, damage IT and physical infrastructures, and result in serious financial or reputational consequences. In addition, the rapidly increasing amount of data and devices in IT environments makes it more difficult to identify and remediate vulnerabilities in a timely manner. The predominant approach to IT security has been to implement multiple disparate security products that can be costly and difficult to deploy, integrate and manage and may not adequately protect organizations. As a result, we believe there is a large and growing opportunity for comprehensive cloud-based IT, security and compliance solutions delivered in a single platform.</w:t>
      </w:r>
    </w:p>
    <w:p>
      <w:pPr>
        <w:spacing w:after="0" w:line="16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designed our Qualys Cloud Platform to transform the way organizations secure and protect their IT infrastructures and applications. Our cloud platform offers an integrated suite of solutions that automates the lifecycle of asset discovery and management, security assessments, and compliance management for an organization’s IT infrastructure and assets, whether such infrastructure and assets reside inside the organization, on their network perimeter, on endpoints or in the cloud. Since inception, our solutions have been designed to be delivered through the cloud and to be easily and rapidly deployed on a global scale, enabling faster implementation and lower total cost of ownership than traditional on-premises enterprise software products. Our customers, ranging from some of the largest global organizations to small businesses, are served from our globally-distributed cloud platform, enabling us to rapidly deliver new solutions, enhancements and security updates.</w:t>
      </w:r>
    </w:p>
    <w:p>
      <w:pPr>
        <w:spacing w:after="0" w:line="1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our cloud platform provides our customers with unique advantages, including:</w:t>
      </w:r>
    </w:p>
    <w:p>
      <w:pPr>
        <w:spacing w:after="0" w:line="23" w:lineRule="exact"/>
        <w:rPr>
          <w:sz w:val="20"/>
          <w:szCs w:val="20"/>
          <w:color w:val="auto"/>
        </w:rPr>
      </w:pPr>
    </w:p>
    <w:p>
      <w:pPr>
        <w:ind w:left="980" w:right="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No hardware to buy or manage. </w:t>
      </w:r>
      <w:r>
        <w:rPr>
          <w:rFonts w:ascii="Arial" w:cs="Arial" w:eastAsia="Arial" w:hAnsi="Arial"/>
          <w:sz w:val="18"/>
          <w:szCs w:val="18"/>
          <w:color w:val="auto"/>
        </w:rPr>
        <w:t>There is no infrastructure or software to buy and maintain thus reducing our customers’ operating costs; all</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accessible in the cloud via web interface. Qualys operates and maintains the platform.</w:t>
      </w:r>
    </w:p>
    <w:p>
      <w:pPr>
        <w:jc w:val="both"/>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Real-time visibility in one place, anytime and anywhere</w:t>
      </w:r>
      <w:r>
        <w:rPr>
          <w:rFonts w:ascii="Arial" w:cs="Arial" w:eastAsia="Arial" w:hAnsi="Arial"/>
          <w:sz w:val="18"/>
          <w:szCs w:val="18"/>
          <w:color w:val="auto"/>
        </w:rPr>
        <w:t>. Our customers can conveniently see their security and compliance posture across</w:t>
      </w:r>
      <w:r>
        <w:rPr>
          <w:rFonts w:ascii="Arial" w:cs="Arial" w:eastAsia="Arial" w:hAnsi="Arial"/>
          <w:sz w:val="18"/>
          <w:szCs w:val="18"/>
          <w:i w:val="1"/>
          <w:iCs w:val="1"/>
          <w:color w:val="auto"/>
        </w:rPr>
        <w:t xml:space="preserve"> </w:t>
      </w:r>
      <w:r>
        <w:rPr>
          <w:rFonts w:ascii="Arial" w:cs="Arial" w:eastAsia="Arial" w:hAnsi="Arial"/>
          <w:sz w:val="18"/>
          <w:szCs w:val="18"/>
          <w:color w:val="auto"/>
        </w:rPr>
        <w:t>their global IT asset inventory in one browser window, without plugins or a virtual private network (VPN), whenever and wherever Internet access is available.</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Easy global scanning. </w:t>
      </w:r>
      <w:r>
        <w:rPr>
          <w:rFonts w:ascii="Arial" w:cs="Arial" w:eastAsia="Arial" w:hAnsi="Arial"/>
          <w:sz w:val="18"/>
          <w:szCs w:val="18"/>
          <w:color w:val="auto"/>
        </w:rPr>
        <w:t>Our customers can easily perform scans on geographically distributed and segmented networks at the perimeter, behind</w:t>
      </w:r>
      <w:r>
        <w:rPr>
          <w:rFonts w:ascii="Arial" w:cs="Arial" w:eastAsia="Arial" w:hAnsi="Arial"/>
          <w:sz w:val="18"/>
          <w:szCs w:val="18"/>
          <w:i w:val="1"/>
          <w:iCs w:val="1"/>
          <w:color w:val="auto"/>
        </w:rPr>
        <w:t xml:space="preserve"> </w:t>
      </w:r>
      <w:r>
        <w:rPr>
          <w:rFonts w:ascii="Arial" w:cs="Arial" w:eastAsia="Arial" w:hAnsi="Arial"/>
          <w:sz w:val="18"/>
          <w:szCs w:val="18"/>
          <w:color w:val="auto"/>
        </w:rPr>
        <w:t>the firewall, on dynamic cloud environments and on endpoints.</w:t>
      </w:r>
    </w:p>
    <w:p>
      <w:pPr>
        <w:ind w:left="980" w:hanging="324"/>
        <w:spacing w:after="0" w:line="265"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Seamless scaling. </w:t>
      </w:r>
      <w:r>
        <w:rPr>
          <w:rFonts w:ascii="Arial" w:cs="Arial" w:eastAsia="Arial" w:hAnsi="Arial"/>
          <w:sz w:val="17"/>
          <w:szCs w:val="17"/>
          <w:color w:val="auto"/>
        </w:rPr>
        <w:t>Our cloud platform is a scalable, comprehensive, and end-to-end solution for the IT, security and compliance needs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Our customers can seamlessly add new coverage, users and services after they have deployed our platform.</w:t>
      </w:r>
    </w:p>
    <w:p>
      <w:pPr>
        <w:ind w:left="980" w:hanging="324"/>
        <w:spacing w:after="0" w:line="25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Up to date resources</w:t>
      </w:r>
      <w:r>
        <w:rPr>
          <w:rFonts w:ascii="Arial" w:cs="Arial" w:eastAsia="Arial" w:hAnsi="Arial"/>
          <w:sz w:val="18"/>
          <w:szCs w:val="18"/>
          <w:color w:val="auto"/>
        </w:rPr>
        <w:t>. Qualys has one of the largest knowledge bases of vulnerability signatures in the industry. All security updates are made</w:t>
      </w:r>
      <w:r>
        <w:rPr>
          <w:rFonts w:ascii="Arial" w:cs="Arial" w:eastAsia="Arial" w:hAnsi="Arial"/>
          <w:sz w:val="18"/>
          <w:szCs w:val="18"/>
          <w:i w:val="1"/>
          <w:iCs w:val="1"/>
          <w:color w:val="auto"/>
        </w:rPr>
        <w:t xml:space="preserve"> </w:t>
      </w:r>
      <w:r>
        <w:rPr>
          <w:rFonts w:ascii="Arial" w:cs="Arial" w:eastAsia="Arial" w:hAnsi="Arial"/>
          <w:sz w:val="18"/>
          <w:szCs w:val="18"/>
          <w:color w:val="auto"/>
        </w:rPr>
        <w:t>in real-time.</w:t>
      </w:r>
    </w:p>
    <w:p>
      <w:pPr>
        <w:ind w:left="980" w:hanging="324"/>
        <w:spacing w:after="0" w:line="260"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Data stored securely</w:t>
      </w:r>
      <w:r>
        <w:rPr>
          <w:rFonts w:ascii="Arial" w:cs="Arial" w:eastAsia="Arial" w:hAnsi="Arial"/>
          <w:sz w:val="18"/>
          <w:szCs w:val="18"/>
          <w:color w:val="auto"/>
        </w:rPr>
        <w:t>. Data is securely stored and processed in a multi-tiered architecture of load-balanced servers. Our encrypted databases</w:t>
      </w:r>
      <w:r>
        <w:rPr>
          <w:rFonts w:ascii="Arial" w:cs="Arial" w:eastAsia="Arial" w:hAnsi="Arial"/>
          <w:sz w:val="18"/>
          <w:szCs w:val="18"/>
          <w:i w:val="1"/>
          <w:iCs w:val="1"/>
          <w:color w:val="auto"/>
        </w:rPr>
        <w:t xml:space="preserve"> </w:t>
      </w:r>
      <w:r>
        <w:rPr>
          <w:rFonts w:ascii="Arial" w:cs="Arial" w:eastAsia="Arial" w:hAnsi="Arial"/>
          <w:sz w:val="18"/>
          <w:szCs w:val="18"/>
          <w:color w:val="auto"/>
        </w:rPr>
        <w:t>are physically and logically secured.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91"/>
        <w:spacing w:after="0" w:line="257"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8" w:lineRule="exact"/>
        <w:rPr>
          <w:sz w:val="20"/>
          <w:szCs w:val="20"/>
          <w:color w:val="auto"/>
        </w:rPr>
      </w:pPr>
    </w:p>
    <w:p>
      <w:pPr>
        <w:ind w:left="980" w:right="180" w:hanging="324"/>
        <w:spacing w:after="0" w:line="269"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IT Security: </w:t>
      </w:r>
      <w:r>
        <w:rPr>
          <w:rFonts w:ascii="Arial" w:cs="Arial" w:eastAsia="Arial" w:hAnsi="Arial"/>
          <w:sz w:val="17"/>
          <w:szCs w:val="17"/>
          <w:color w:val="auto"/>
        </w:rPr>
        <w:t>Vulnerability Management (VM), Vulnerability Management, Detection and Response (VMDR), Threat Protection (TP),</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 Monitoring (CM), Patch Management (PM), Multi-Vector Endpoint Detection and Response (EDR), Certificate Assessment (CRA), SaaS Detection and Response (SaaSDR), Secure Enterprise Mobility (SEM), Custom Assessment and Remediation (CAR), Context Extended Detection and Response (XDR), Network Detection and Response (NDR);</w:t>
      </w:r>
    </w:p>
    <w:p>
      <w:pPr>
        <w:spacing w:after="0" w:line="1" w:lineRule="exact"/>
        <w:rPr>
          <w:rFonts w:ascii="Arial" w:cs="Arial" w:eastAsia="Arial" w:hAnsi="Arial"/>
          <w:sz w:val="17"/>
          <w:szCs w:val="17"/>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Assessment Questionnaire (SAQ), Out of-Band Configuration Assessment (OCA);</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AssetView (GAV), Cybersecurity Asset Management (CSAM), Certificate Inventory (CRI);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Our Qualys Cloud Platform is currently used by over 10,000 customers worldwide, including a majority of each of the Forbes Global 100 and Fortune 100. Our revenues increased to $489.7 million in 2022 from $411.2 million in 2021 and $363.0 million in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Platform</w:t>
      </w:r>
    </w:p>
    <w:p>
      <w:pPr>
        <w:spacing w:after="0" w:line="229"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Our cloud platform consists of a suite of IT security, compliance, web application security, asset management and cloud and container security solutions, which we refer to as the Qualys Cloud Apps, that leverages our shared and extensible core services and our highly scalable multi-tenant cloud infrastructure. We also provide open application program interfaces, or APIs, and other developer tools that allow third parties to embed our technology into their solutions and build applications on our cloud platform.</w:t>
      </w:r>
    </w:p>
    <w:p>
      <w:pPr>
        <w:spacing w:after="0" w:line="187"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Our cloud platform utilizes physical and virtual sensors, and cloud agents that provide our customers with continuous visibility enabling customers to respond to threats immediately. Customers can extend visibility to all known IT infrastructure using our Out-of-Band Configuration Assessment sensor for systems that are air-gapped or otherwise difficult to assess.</w:t>
      </w:r>
    </w:p>
    <w:p>
      <w:pPr>
        <w:spacing w:after="0" w:line="184"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7"/>
          <w:szCs w:val="17"/>
          <w:color w:val="auto"/>
        </w:rPr>
        <w:t>The Qualys Cloud Platform automatically gathers and analyzes security and compliance data in a scalable, state-of-the-art backend. The technology underlying our cloud infrastructure enables us to ingest, process, analyze and store a high volume of sensor data coming from our agents, scanners and passive analyzers, and correlate information at very high speeds in a distributed manner for millions of devices.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168910</wp:posOffset>
            </wp:positionV>
            <wp:extent cx="6858000" cy="3574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574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391"/>
        <w:spacing w:after="0" w:line="270" w:lineRule="auto"/>
        <w:rPr>
          <w:sz w:val="20"/>
          <w:szCs w:val="20"/>
          <w:color w:val="auto"/>
        </w:rPr>
      </w:pPr>
      <w:r>
        <w:rPr>
          <w:rFonts w:ascii="Arial" w:cs="Arial" w:eastAsia="Arial" w:hAnsi="Arial"/>
          <w:sz w:val="17"/>
          <w:szCs w:val="17"/>
          <w:color w:val="auto"/>
        </w:rPr>
        <w:t>Our cloud platform is delivered to our customers via our 11 global shared cloud platforms, or via our private platform offering, Qualys Private Cloud Platform (PCP), for customers or partners that want the platform to reside within the customer's shared cloud platform. The PCP is a standalone version of our multi-layer, multi-tenant services architecture and is a fully integrated turnkey solution, making it more scalable, cost effective and faster to deploy within a customer's shared cloud platform. Solutions delivered through our PCP are typically on the same subscription basis as solutions delivered through our shared platform. Our PCP utilizes hardware and software owned by us and is physically located on the customer's premises. The customer is not permitted to take possession of the software or access the software code. We also offer our PCP as a subscription-based platform services to the customer using a virtual version of our software. This virtualized PCP allows us to extend our security and compliance solutions without the complexity and cost associated with deploying traditional enterprise software. We also offer Private Cloud Platform Appliance (PCPA), an on-premises IT, security and compliance solution packaged in a form-factor for medium-sized companies.</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Core Services</w:t>
      </w:r>
    </w:p>
    <w:p>
      <w:pPr>
        <w:spacing w:after="0" w:line="225" w:lineRule="exact"/>
        <w:rPr>
          <w:sz w:val="20"/>
          <w:szCs w:val="20"/>
          <w:color w:val="auto"/>
        </w:rPr>
      </w:pPr>
    </w:p>
    <w:p>
      <w:pPr>
        <w:jc w:val="both"/>
        <w:ind w:right="20" w:firstLine="391"/>
        <w:spacing w:after="0" w:line="277" w:lineRule="auto"/>
        <w:rPr>
          <w:sz w:val="20"/>
          <w:szCs w:val="20"/>
          <w:color w:val="auto"/>
        </w:rPr>
      </w:pPr>
      <w:r>
        <w:rPr>
          <w:rFonts w:ascii="Arial" w:cs="Arial" w:eastAsia="Arial" w:hAnsi="Arial"/>
          <w:sz w:val="18"/>
          <w:szCs w:val="18"/>
          <w:color w:val="auto"/>
        </w:rPr>
        <w:t>Our core services enable integrated workflows, management and real-time analysis and reporting across all of our IT, security and compliance solutions for our customers inside their organizations, on the perimeter, on endpoints or in the cloud.</w:t>
      </w:r>
    </w:p>
    <w:p>
      <w:pPr>
        <w:spacing w:after="0" w:line="170"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Our core services constitute dynamic and customizable dashboards and centrally managed, self-updating integrated Cloud Apps, through a natively integrated unified platform. Our interactive, dynamic dashboards and cloud platform allow our customers to aggregate and correlate all of their IT, security and compliance data in one place, drill down into details, and generate reports customized for different audiences. Our cloud platform’s powerful Elasticsearch clusters enable customers to instantly find detailed data on any asset.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core services include:</w:t>
      </w:r>
    </w:p>
    <w:p>
      <w:pPr>
        <w:spacing w:after="0" w:line="23" w:lineRule="exact"/>
        <w:rPr>
          <w:sz w:val="20"/>
          <w:szCs w:val="20"/>
          <w:color w:val="auto"/>
        </w:rPr>
      </w:pPr>
    </w:p>
    <w:p>
      <w:pPr>
        <w:jc w:val="both"/>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Asset Tagging and Management. </w:t>
      </w:r>
      <w:r>
        <w:rPr>
          <w:rFonts w:ascii="Arial" w:cs="Arial" w:eastAsia="Arial" w:hAnsi="Arial"/>
          <w:sz w:val="18"/>
          <w:szCs w:val="18"/>
          <w:color w:val="auto"/>
        </w:rPr>
        <w:t>Enables customers to easily identify, categorize and manage large numbers of assets in highly dynamic IT</w:t>
      </w:r>
      <w:r>
        <w:rPr>
          <w:rFonts w:ascii="Arial" w:cs="Arial" w:eastAsia="Arial" w:hAnsi="Arial"/>
          <w:sz w:val="18"/>
          <w:szCs w:val="18"/>
          <w:i w:val="1"/>
          <w:iCs w:val="1"/>
          <w:color w:val="auto"/>
        </w:rPr>
        <w:t xml:space="preserve"> </w:t>
      </w:r>
      <w:r>
        <w:rPr>
          <w:rFonts w:ascii="Arial" w:cs="Arial" w:eastAsia="Arial" w:hAnsi="Arial"/>
          <w:sz w:val="18"/>
          <w:szCs w:val="18"/>
          <w:color w:val="auto"/>
        </w:rPr>
        <w:t>environments and automates the process of inventory management and hierarchical organization of IT assets. Built on top of this core service is the Qualys GAV framework, which is a global asset inventory service enabling our customers to search for information on any IT asset, scaling to millions of assets for customers of all sizes, helping IT and security personnel to search IT assets and maintain an up-to-date inventory on a continuous basis.</w:t>
      </w:r>
    </w:p>
    <w:p>
      <w:pPr>
        <w:spacing w:after="0" w:line="1"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Reporting and Dashboards. </w:t>
      </w:r>
      <w:r>
        <w:rPr>
          <w:rFonts w:ascii="Arial" w:cs="Arial" w:eastAsia="Arial" w:hAnsi="Arial"/>
          <w:sz w:val="18"/>
          <w:szCs w:val="18"/>
          <w:color w:val="auto"/>
        </w:rPr>
        <w:t>A highly configurable reporting engine that provides customers with reports and dashboards based on their roles</w:t>
      </w:r>
      <w:r>
        <w:rPr>
          <w:rFonts w:ascii="Arial" w:cs="Arial" w:eastAsia="Arial" w:hAnsi="Arial"/>
          <w:sz w:val="18"/>
          <w:szCs w:val="18"/>
          <w:i w:val="1"/>
          <w:iCs w:val="1"/>
          <w:color w:val="auto"/>
        </w:rPr>
        <w:t xml:space="preserve"> </w:t>
      </w:r>
      <w:r>
        <w:rPr>
          <w:rFonts w:ascii="Arial" w:cs="Arial" w:eastAsia="Arial" w:hAnsi="Arial"/>
          <w:sz w:val="18"/>
          <w:szCs w:val="18"/>
          <w:color w:val="auto"/>
        </w:rPr>
        <w:t>and access privileges.</w:t>
      </w:r>
    </w:p>
    <w:p>
      <w:pPr>
        <w:ind w:left="980" w:hanging="324"/>
        <w:spacing w:after="0" w:line="265"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Questionnaires and Collaboration. </w:t>
      </w:r>
      <w:r>
        <w:rPr>
          <w:rFonts w:ascii="Arial" w:cs="Arial" w:eastAsia="Arial" w:hAnsi="Arial"/>
          <w:sz w:val="17"/>
          <w:szCs w:val="17"/>
          <w:color w:val="auto"/>
        </w:rPr>
        <w:t>A configurable workflow engine that enables customers to easily build questionnaires and capture existing</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processes and workflows to evaluate controls and gather evidence to validate and document compliance.</w:t>
      </w:r>
    </w:p>
    <w:p>
      <w:pPr>
        <w:jc w:val="both"/>
        <w:ind w:left="980" w:hanging="324"/>
        <w:spacing w:after="0" w:line="265"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Remediation and Workflow. </w:t>
      </w:r>
      <w:r>
        <w:rPr>
          <w:rFonts w:ascii="Arial" w:cs="Arial" w:eastAsia="Arial" w:hAnsi="Arial"/>
          <w:sz w:val="17"/>
          <w:szCs w:val="17"/>
          <w:color w:val="auto"/>
        </w:rPr>
        <w:t>An integrated workflow engine that allows customers to automatically generate helpdesk tickets for remediation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to manage compliance exceptions based on customer-defined policies, enabling subsequent review, commentary, tracking and escalation. This engine automatically distributes remediation tasks to IT administrators upon scan completion, tracks remediation progress and closes open tickets once patches are applied and remediation is verified in subsequent scans.</w:t>
      </w:r>
    </w:p>
    <w:p>
      <w:pPr>
        <w:jc w:val="both"/>
        <w:ind w:left="980" w:hanging="324"/>
        <w:spacing w:after="0" w:line="265" w:lineRule="auto"/>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Big Data Correlation and Analytics Engine. </w:t>
      </w:r>
      <w:r>
        <w:rPr>
          <w:rFonts w:ascii="Arial" w:cs="Arial" w:eastAsia="Arial" w:hAnsi="Arial"/>
          <w:sz w:val="17"/>
          <w:szCs w:val="17"/>
          <w:color w:val="auto"/>
        </w:rPr>
        <w:t>Provides Elasticsearch capabilities for indexing, searching and correlating large amounts of</w:t>
      </w:r>
      <w:r>
        <w:rPr>
          <w:rFonts w:ascii="Arial" w:cs="Arial" w:eastAsia="Arial" w:hAnsi="Arial"/>
          <w:sz w:val="17"/>
          <w:szCs w:val="17"/>
          <w:i w:val="1"/>
          <w:iCs w:val="1"/>
          <w:color w:val="auto"/>
        </w:rPr>
        <w:t xml:space="preserve"> </w:t>
      </w:r>
      <w:r>
        <w:rPr>
          <w:rFonts w:ascii="Arial" w:cs="Arial" w:eastAsia="Arial" w:hAnsi="Arial"/>
          <w:sz w:val="17"/>
          <w:szCs w:val="17"/>
          <w:color w:val="auto"/>
        </w:rPr>
        <w:t>security and compliance data with other security incidents and third-party security intelligence data. Embedded workflows enable customers to quickly assess risk and access information for remediation, incident analysis and forensic investigations.</w:t>
      </w:r>
    </w:p>
    <w:p>
      <w:pPr>
        <w:ind w:left="980" w:right="20" w:hanging="324"/>
        <w:spacing w:after="0" w:line="260"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Alerts and Notifications. </w:t>
      </w:r>
      <w:r>
        <w:rPr>
          <w:rFonts w:ascii="Arial" w:cs="Arial" w:eastAsia="Arial" w:hAnsi="Arial"/>
          <w:sz w:val="18"/>
          <w:szCs w:val="18"/>
          <w:color w:val="auto"/>
        </w:rPr>
        <w:t>Creates email notifications to alert customers of new vulnerabilities, malware infections, scan completion, open</w:t>
      </w:r>
      <w:r>
        <w:rPr>
          <w:rFonts w:ascii="Arial" w:cs="Arial" w:eastAsia="Arial" w:hAnsi="Arial"/>
          <w:sz w:val="18"/>
          <w:szCs w:val="18"/>
          <w:i w:val="1"/>
          <w:iCs w:val="1"/>
          <w:color w:val="auto"/>
        </w:rPr>
        <w:t xml:space="preserve"> </w:t>
      </w:r>
      <w:r>
        <w:rPr>
          <w:rFonts w:ascii="Arial" w:cs="Arial" w:eastAsia="Arial" w:hAnsi="Arial"/>
          <w:sz w:val="18"/>
          <w:szCs w:val="18"/>
          <w:color w:val="auto"/>
        </w:rPr>
        <w:t>trouble tickets and system updates.</w:t>
      </w:r>
    </w:p>
    <w:p>
      <w:pPr>
        <w:spacing w:after="0" w:line="18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Qualys Cloud Apps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Many organizations have an array of heterogeneous point tools that do not interoperate well and are difficult and costly to maintain and integrate, making it difficult for Chief Information Officers (CIOs) and Chief Information Security Officers (CISOs) to obtain a single, unified view of their organization’s security and compliance posture. The Qualys Cloud Platform and its Cloud Apps help organizations escape this tool-fragmentation dilemma by drastically simplifying their security stacks and regaining unimpeded visibility across their IT environment.</w:t>
      </w:r>
    </w:p>
    <w:p>
      <w:pPr>
        <w:spacing w:after="0" w:line="18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Cloud Apps are self-updating, centrally managed and tightly integrated, and cover a broad range of functionality in areas such as IT security, compliance, web application security, asset management and cloud and container security solutions.</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From inception through December 31, 2021, we have added the following Cloud Apps: VM, PC, PCI, WAS, WAF, CM, SAQ, TP, FIM, GAV, SCA, CS, CI, CSA, CRI, CRA, OCA, PM, VMDR, EDR, SaaSDR, SEM, and CSAM. In 2022, we introduced CAR, XDR and NDR.</w:t>
      </w:r>
    </w:p>
    <w:p>
      <w:pPr>
        <w:spacing w:after="0" w:line="170"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We believe that our applications are easy to use and provide our customers with a high level of control because our applications are part of one platform, share a common user interface, utilize the same scanners and agents, access the same collected data, and leverage the same user permissions.</w:t>
      </w:r>
    </w:p>
    <w:p>
      <w:pPr>
        <w:spacing w:after="0" w:line="12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Our customers can subscribe to one or more of our IT, security and compliance Apps based on their initial needs and expand their subscriptions over time to new areas within their organization or to additional Qualys solutions. For VMDR, we offer four editions of our Qualys Cloud App: Enterprise for large enterprises, Express for medium-sized businesses, Express Lite for small-sized businesses, and Scan-on-Behalf for Scan-on-Behalf customers. For all other Qualys Cloud Apps, we offer four editions: Enterprise for large enterprises, Express for medium-sized businesses, Express Lite for small-sized businesses, and Consulting Edition for consultants, consulting organizations and Managed Service Providers (MSPs).</w:t>
      </w:r>
    </w:p>
    <w:p>
      <w:pPr>
        <w:spacing w:after="0" w:line="1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Many of our customers use multiple Cloud Apps to develop a more complete understanding of their respective environment’s IT, security and compliance posture. The Qualys Cloud Platform currently provides the following Cloud Apps to our customers: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ind w:left="1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IT Security</w:t>
      </w:r>
    </w:p>
    <w:p>
      <w:pPr>
        <w:spacing w:after="0" w:line="225" w:lineRule="exact"/>
        <w:rPr>
          <w:sz w:val="20"/>
          <w:szCs w:val="20"/>
          <w:color w:val="auto"/>
        </w:rPr>
      </w:pPr>
    </w:p>
    <w:p>
      <w:pPr>
        <w:jc w:val="both"/>
        <w:ind w:left="10" w:firstLine="405"/>
        <w:spacing w:after="0" w:line="259" w:lineRule="auto"/>
        <w:rPr>
          <w:sz w:val="20"/>
          <w:szCs w:val="20"/>
          <w:color w:val="auto"/>
        </w:rPr>
      </w:pPr>
      <w:r>
        <w:rPr>
          <w:rFonts w:ascii="Arial" w:cs="Arial" w:eastAsia="Arial" w:hAnsi="Arial"/>
          <w:sz w:val="18"/>
          <w:szCs w:val="18"/>
          <w:color w:val="auto"/>
        </w:rPr>
        <w:t>Vulnerability Management (VM): VM is an industry leading and award-winning solution that automates network auditing and vulnerability management across an organization, including network discovery and mapping, asset management, vulnerability reporting and remediation tracking. Driven by our comprehensive knowledge base of known vulnerabilities, VM enables cost-effective protection against vulnerabilities without substantial resource deployment.</w:t>
      </w:r>
    </w:p>
    <w:p>
      <w:pPr>
        <w:spacing w:after="0" w:line="187" w:lineRule="exact"/>
        <w:rPr>
          <w:sz w:val="20"/>
          <w:szCs w:val="20"/>
          <w:color w:val="auto"/>
        </w:rPr>
      </w:pPr>
    </w:p>
    <w:p>
      <w:pPr>
        <w:jc w:val="both"/>
        <w:ind w:left="10" w:firstLine="405"/>
        <w:spacing w:after="0" w:line="254" w:lineRule="auto"/>
        <w:rPr>
          <w:sz w:val="20"/>
          <w:szCs w:val="20"/>
          <w:color w:val="auto"/>
        </w:rPr>
      </w:pPr>
      <w:r>
        <w:rPr>
          <w:rFonts w:ascii="Arial" w:cs="Arial" w:eastAsia="Arial" w:hAnsi="Arial"/>
          <w:sz w:val="18"/>
          <w:szCs w:val="18"/>
          <w:color w:val="auto"/>
        </w:rPr>
        <w:t>Vulnerability Management, Detection and Response (VMDR): VMDR enables organizations to automatically discover every asset in their environment, including unmanaged assets appearing on the network, inventory all hardware and software, and classify and tag critical assets. VMDR continuously assesses these assets for the latest vulnerabilities and applies the latest threat intel analysis to prioritize actively exploitable vulnerabilities. VMDR automatically detects the latest superseding patch for the vulnerable asset and easily deploys it for remediation. Finally, VMDR quantifies risk across vulnerabilities, assets and groups of assets helping organizations proactively reduce cyber risk exposure and track cyber risk reduction over time. By delivering all this in a single app workflow, VMDR automates the entire process and significantly accelerates an organization’s ability to respond to threats, thus preventing possible exploitation.</w:t>
      </w:r>
    </w:p>
    <w:p>
      <w:pPr>
        <w:spacing w:after="0" w:line="195" w:lineRule="exact"/>
        <w:rPr>
          <w:sz w:val="20"/>
          <w:szCs w:val="20"/>
          <w:color w:val="auto"/>
        </w:rPr>
      </w:pPr>
    </w:p>
    <w:p>
      <w:pPr>
        <w:jc w:val="both"/>
        <w:ind w:left="10" w:firstLine="405"/>
        <w:spacing w:after="0" w:line="275" w:lineRule="auto"/>
        <w:rPr>
          <w:sz w:val="20"/>
          <w:szCs w:val="20"/>
          <w:color w:val="auto"/>
        </w:rPr>
      </w:pPr>
      <w:r>
        <w:rPr>
          <w:rFonts w:ascii="Arial" w:cs="Arial" w:eastAsia="Arial" w:hAnsi="Arial"/>
          <w:sz w:val="17"/>
          <w:szCs w:val="17"/>
          <w:color w:val="auto"/>
        </w:rPr>
        <w:t>Threat Protection (TP): Thousands of new vulnerabilities are disclosed annually. With TP, customers can pinpoint their most critical threats and identify what they need to remediate first. TP continuously correlates external threat information against a customer's vulnerabilities and IT asset inventory, so customers know which threats pose the greatest risk to their organization at any given time. As Qualys engineers continuously validate and rate new threats from internal and external sources, TP’s live feed displays the latest vulnerability disclosures and maps them to customers’ impacted IT assets. Customers can see the assets affected by each threat, and drill down into details.</w:t>
      </w:r>
    </w:p>
    <w:p>
      <w:pPr>
        <w:spacing w:after="0" w:line="176" w:lineRule="exact"/>
        <w:rPr>
          <w:sz w:val="20"/>
          <w:szCs w:val="20"/>
          <w:color w:val="auto"/>
        </w:rPr>
      </w:pPr>
    </w:p>
    <w:p>
      <w:pPr>
        <w:jc w:val="both"/>
        <w:ind w:left="10" w:firstLine="405"/>
        <w:spacing w:after="0" w:line="311" w:lineRule="auto"/>
        <w:rPr>
          <w:sz w:val="20"/>
          <w:szCs w:val="20"/>
          <w:color w:val="auto"/>
        </w:rPr>
      </w:pPr>
      <w:r>
        <w:rPr>
          <w:rFonts w:ascii="Arial" w:cs="Arial" w:eastAsia="Arial" w:hAnsi="Arial"/>
          <w:sz w:val="16"/>
          <w:szCs w:val="16"/>
          <w:color w:val="auto"/>
        </w:rPr>
        <w:t>Continuous Monitoring (CM): Built on top of VM, CM is a next-generation cloud service that can detect network threats and unexpected changes before they turn into breaches. Whenever CM spots an anomaly in a network, it immediately sends targeted, informative alerts to the right people for each situation and each machine. CM tracks what happens throughout public perimeters, internal networks, and cloud environments - anywhere in the world.</w:t>
      </w:r>
    </w:p>
    <w:p>
      <w:pPr>
        <w:spacing w:after="0" w:line="149" w:lineRule="exact"/>
        <w:rPr>
          <w:sz w:val="20"/>
          <w:szCs w:val="20"/>
          <w:color w:val="auto"/>
        </w:rPr>
      </w:pPr>
    </w:p>
    <w:p>
      <w:pPr>
        <w:jc w:val="both"/>
        <w:ind w:left="10" w:firstLine="405"/>
        <w:spacing w:after="0" w:line="257" w:lineRule="auto"/>
        <w:rPr>
          <w:sz w:val="20"/>
          <w:szCs w:val="20"/>
          <w:color w:val="auto"/>
        </w:rPr>
      </w:pPr>
      <w:r>
        <w:rPr>
          <w:rFonts w:ascii="Arial" w:cs="Arial" w:eastAsia="Arial" w:hAnsi="Arial"/>
          <w:sz w:val="18"/>
          <w:szCs w:val="18"/>
          <w:color w:val="auto"/>
        </w:rPr>
        <w:t>Patch Management (PM): PM provides automated patch deployment capabilities for Windows, Linux, Mac and third party software by correlating vulnerabilities and the right set of remediation including patches and configuration fixes. It continuously gathers and uploads telemetry about installed software, open vulnerabilities and missing patches to the Qualys Cloud Platform. The resulting shared visibility of assets and their posture enables IT and security teams to collaborate using common vulnerability-centric terminology and provides a consistent data set to analyze, prioritize, deploy and verify patches more efficiently.</w:t>
      </w:r>
    </w:p>
    <w:p>
      <w:pPr>
        <w:spacing w:after="0" w:line="188" w:lineRule="exact"/>
        <w:rPr>
          <w:sz w:val="20"/>
          <w:szCs w:val="20"/>
          <w:color w:val="auto"/>
        </w:rPr>
      </w:pPr>
    </w:p>
    <w:p>
      <w:pPr>
        <w:jc w:val="both"/>
        <w:ind w:left="10" w:firstLine="405"/>
        <w:spacing w:after="0" w:line="254" w:lineRule="auto"/>
        <w:rPr>
          <w:sz w:val="20"/>
          <w:szCs w:val="20"/>
          <w:color w:val="auto"/>
        </w:rPr>
      </w:pPr>
      <w:r>
        <w:rPr>
          <w:rFonts w:ascii="Arial" w:cs="Arial" w:eastAsia="Arial" w:hAnsi="Arial"/>
          <w:sz w:val="18"/>
          <w:szCs w:val="18"/>
          <w:color w:val="auto"/>
        </w:rPr>
        <w:t>Multi-Vector Endpoint Detection and Response (EDR): Traditional endpoint detection and response solutions focus only on endpoint activity to detect attacks. As a result, they lack the full context to analyze attacks accurately. This leads to an incomplete picture and a high rate of false positives and negatives, requiring organizations to use multiple point solutions and large incident response teams. Qualys fills the gaps by bringing a new multi-vector approach and the unifying power of its highly scalable Cloud Platform to EDR, providing vital context and comprehensive visibility to the entire attack chain, from prevention to detection to response. EDR unifies different context vectors like asset discovery, rich normalized software inventory, end-of-life visibility, vulnerabilities and exploits, misconfigurations, in-depth endpoint telemetry, and network reachability with a powerful backend to correlate it all for accurate assessment, detection and response.</w:t>
      </w:r>
    </w:p>
    <w:p>
      <w:pPr>
        <w:spacing w:after="0" w:line="195" w:lineRule="exact"/>
        <w:rPr>
          <w:sz w:val="20"/>
          <w:szCs w:val="20"/>
          <w:color w:val="auto"/>
        </w:rPr>
      </w:pPr>
    </w:p>
    <w:p>
      <w:pPr>
        <w:jc w:val="both"/>
        <w:ind w:left="10" w:firstLine="405"/>
        <w:spacing w:after="0" w:line="259" w:lineRule="auto"/>
        <w:rPr>
          <w:sz w:val="20"/>
          <w:szCs w:val="20"/>
          <w:color w:val="auto"/>
        </w:rPr>
      </w:pPr>
      <w:r>
        <w:rPr>
          <w:rFonts w:ascii="Arial" w:cs="Arial" w:eastAsia="Arial" w:hAnsi="Arial"/>
          <w:sz w:val="18"/>
          <w:szCs w:val="18"/>
          <w:color w:val="auto"/>
        </w:rPr>
        <w:t>Certificate Assessment (CRA): CRA assesses digital certificates and Transport Layer Security (TLS) configurations. CRA generates certificate instance grades using a straightforward methodology that allows administrators to assess often overlooked server SSL/TLS configurations without having to become SSL experts. It also identifies out-of-policy certificates with weak signatures or key length and shows how many unique Certificate Authorities were found in the environment and how many certificates each one issued.</w:t>
      </w:r>
    </w:p>
    <w:p>
      <w:pPr>
        <w:spacing w:after="0" w:line="187" w:lineRule="exact"/>
        <w:rPr>
          <w:sz w:val="20"/>
          <w:szCs w:val="20"/>
          <w:color w:val="auto"/>
        </w:rPr>
      </w:pPr>
    </w:p>
    <w:p>
      <w:pPr>
        <w:jc w:val="both"/>
        <w:ind w:left="10" w:firstLine="405"/>
        <w:spacing w:after="0" w:line="277" w:lineRule="auto"/>
        <w:rPr>
          <w:sz w:val="20"/>
          <w:szCs w:val="20"/>
          <w:color w:val="auto"/>
        </w:rPr>
      </w:pPr>
      <w:r>
        <w:rPr>
          <w:rFonts w:ascii="Arial" w:cs="Arial" w:eastAsia="Arial" w:hAnsi="Arial"/>
          <w:sz w:val="18"/>
          <w:szCs w:val="18"/>
          <w:color w:val="auto"/>
        </w:rPr>
        <w:t>SaaS Detection and Response (SaaSDR): SaaSDR leverages the Qualys Cloud platform to provide continuous visibility into SaaS applications such as Office 365, Salesforce and Zoom for configuration posture management, activity monitoring and data security insights.</w:t>
      </w:r>
    </w:p>
    <w:p>
      <w:pPr>
        <w:spacing w:after="0" w:line="170" w:lineRule="exact"/>
        <w:rPr>
          <w:sz w:val="20"/>
          <w:szCs w:val="20"/>
          <w:color w:val="auto"/>
        </w:rPr>
      </w:pPr>
    </w:p>
    <w:p>
      <w:pPr>
        <w:jc w:val="both"/>
        <w:ind w:left="10" w:firstLine="405"/>
        <w:spacing w:after="0" w:line="342" w:lineRule="auto"/>
        <w:rPr>
          <w:sz w:val="20"/>
          <w:szCs w:val="20"/>
          <w:color w:val="auto"/>
        </w:rPr>
      </w:pPr>
      <w:r>
        <w:rPr>
          <w:rFonts w:ascii="Arial" w:cs="Arial" w:eastAsia="Arial" w:hAnsi="Arial"/>
          <w:sz w:val="16"/>
          <w:szCs w:val="16"/>
          <w:color w:val="auto"/>
        </w:rPr>
        <w:t>Secure Enterprise Mobility (SEM): SEM extends the power of VMDR for in-depth inventory of mobile devices and their data, real time vulnerability and misconfiguration detection, and built-in remediation with patch orchestration for all Android and iOS/iPadOS devices across the enterprise.</w:t>
      </w:r>
    </w:p>
    <w:p>
      <w:pPr>
        <w:spacing w:after="0" w:line="124" w:lineRule="exact"/>
        <w:rPr>
          <w:sz w:val="20"/>
          <w:szCs w:val="20"/>
          <w:color w:val="auto"/>
        </w:rPr>
      </w:pPr>
    </w:p>
    <w:p>
      <w:pPr>
        <w:ind w:left="10" w:right="40" w:firstLine="405"/>
        <w:spacing w:after="0" w:line="263" w:lineRule="auto"/>
        <w:rPr>
          <w:sz w:val="20"/>
          <w:szCs w:val="20"/>
          <w:color w:val="auto"/>
        </w:rPr>
      </w:pPr>
      <w:r>
        <w:rPr>
          <w:rFonts w:ascii="Arial" w:cs="Arial" w:eastAsia="Arial" w:hAnsi="Arial"/>
          <w:sz w:val="18"/>
          <w:szCs w:val="18"/>
          <w:color w:val="auto"/>
        </w:rPr>
        <w:t>Custom Assessment and Remediation (CAR): Custom Assessment and Remediation opens the Qualys Cloud Platform for security architects allowing the creation of custom scripts in popular scripting languages, user-defined controls and automation, all seamlessly integrated within existing programs to quickly assess, respond to and remediate threats across global hybrid environments.</w:t>
      </w:r>
    </w:p>
    <w:p>
      <w:pPr>
        <w:spacing w:after="0" w:line="184" w:lineRule="exact"/>
        <w:rPr>
          <w:sz w:val="20"/>
          <w:szCs w:val="20"/>
          <w:color w:val="auto"/>
        </w:rPr>
      </w:pPr>
    </w:p>
    <w:p>
      <w:pPr>
        <w:ind w:left="10" w:right="20" w:firstLine="405"/>
        <w:spacing w:after="0" w:line="291" w:lineRule="auto"/>
        <w:rPr>
          <w:sz w:val="20"/>
          <w:szCs w:val="20"/>
          <w:color w:val="auto"/>
        </w:rPr>
      </w:pPr>
      <w:r>
        <w:rPr>
          <w:rFonts w:ascii="Arial" w:cs="Arial" w:eastAsia="Arial" w:hAnsi="Arial"/>
          <w:sz w:val="16"/>
          <w:szCs w:val="16"/>
          <w:color w:val="auto"/>
        </w:rPr>
        <w:t>Context Extended Detection and Response (XDR): XDR provides context and clarity to enterprise security operations through risk-focused, single pane of glass visibility and control to improve enterprise-wide threat detection and incident response. It leverages the Cloud Platform's response capabilities</w:t>
      </w:r>
    </w:p>
    <w:p>
      <w:pPr>
        <w:ind w:left="10" w:right="420" w:hanging="10"/>
        <w:spacing w:after="0" w:line="260" w:lineRule="auto"/>
        <w:tabs>
          <w:tab w:leader="none" w:pos="115" w:val="left"/>
        </w:tabs>
        <w:numPr>
          <w:ilvl w:val="0"/>
          <w:numId w:val="8"/>
        </w:numPr>
        <w:rPr>
          <w:rFonts w:ascii="Arial" w:cs="Arial" w:eastAsia="Arial" w:hAnsi="Arial"/>
          <w:sz w:val="18"/>
          <w:szCs w:val="18"/>
          <w:color w:val="auto"/>
        </w:rPr>
      </w:pPr>
      <w:r>
        <w:rPr>
          <w:rFonts w:ascii="Arial" w:cs="Arial" w:eastAsia="Arial" w:hAnsi="Arial"/>
          <w:sz w:val="18"/>
          <w:szCs w:val="18"/>
          <w:color w:val="auto"/>
        </w:rPr>
        <w:t>patching, fixing misconfigurations, killing processes and network connections, and quarantining hosts - to comprehensively remediate cyber security threats identified by Qualys XDR.</w:t>
      </w:r>
    </w:p>
    <w:p>
      <w:pPr>
        <w:spacing w:after="0" w:line="185" w:lineRule="exact"/>
        <w:rPr>
          <w:sz w:val="20"/>
          <w:szCs w:val="20"/>
          <w:color w:val="auto"/>
        </w:rPr>
      </w:pPr>
    </w:p>
    <w:p>
      <w:pPr>
        <w:ind w:left="10" w:right="20" w:firstLine="405"/>
        <w:spacing w:after="0" w:line="263" w:lineRule="auto"/>
        <w:rPr>
          <w:sz w:val="20"/>
          <w:szCs w:val="20"/>
          <w:color w:val="auto"/>
        </w:rPr>
      </w:pPr>
      <w:r>
        <w:rPr>
          <w:rFonts w:ascii="Arial" w:cs="Arial" w:eastAsia="Arial" w:hAnsi="Arial"/>
          <w:sz w:val="18"/>
          <w:szCs w:val="18"/>
          <w:color w:val="auto"/>
        </w:rPr>
        <w:t>Network Detection and Response (NDR): Network detection and response monitors network traffic and analyzes it using deep learning artificial intelligence (AI) to detect cyber threats in data centers and in the public cloud.  The solution is able to detect both known and publicly undisclosed threats in real time.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
        <w:spacing w:after="0"/>
        <w:rPr>
          <w:sz w:val="20"/>
          <w:szCs w:val="20"/>
          <w:color w:val="auto"/>
        </w:rPr>
      </w:pPr>
      <w:r>
        <w:rPr>
          <w:rFonts w:ascii="Arial" w:cs="Arial" w:eastAsia="Arial" w:hAnsi="Arial"/>
          <w:sz w:val="18"/>
          <w:szCs w:val="18"/>
          <w:i w:val="1"/>
          <w:iCs w:val="1"/>
          <w:color w:val="auto"/>
        </w:rPr>
        <w:t>Compliance</w:t>
      </w:r>
    </w:p>
    <w:p>
      <w:pPr>
        <w:spacing w:after="0" w:line="225" w:lineRule="exact"/>
        <w:rPr>
          <w:sz w:val="20"/>
          <w:szCs w:val="20"/>
          <w:color w:val="auto"/>
        </w:rPr>
      </w:pPr>
    </w:p>
    <w:p>
      <w:pPr>
        <w:jc w:val="both"/>
        <w:ind w:left="10" w:firstLine="405"/>
        <w:spacing w:after="0" w:line="273" w:lineRule="auto"/>
        <w:rPr>
          <w:sz w:val="20"/>
          <w:szCs w:val="20"/>
          <w:color w:val="auto"/>
        </w:rPr>
      </w:pPr>
      <w:r>
        <w:rPr>
          <w:rFonts w:ascii="Arial" w:cs="Arial" w:eastAsia="Arial" w:hAnsi="Arial"/>
          <w:sz w:val="17"/>
          <w:szCs w:val="17"/>
          <w:color w:val="auto"/>
        </w:rPr>
        <w:t>Policy Compliance (PC): PC performs automated security configuration assessments on IT systems throughout a network, helping to reduce risk and continuously ensure compliance with internal policies and external regulations. PC leverages out-of-the-box library content to fast-track compliance assessments using industry-recommended best practices. PC also provides a centralized, interactive console for specifying baseline standards for different hosts. By automating requirement evaluation against multiple standards for operating systems, network devices, databases and server applications, PC enables the quick identification of security issues and works to prevent configuration drift. PC works to prioritize and track remediation and exceptions, while demonstrating a repeatable auditable process for compliance management.</w:t>
      </w:r>
    </w:p>
    <w:p>
      <w:pPr>
        <w:sectPr>
          <w:pgSz w:w="11900" w:h="16838" w:orient="portrait"/>
          <w:cols w:equalWidth="0" w:num="1">
            <w:col w:w="11250"/>
          </w:cols>
          <w:pgMar w:left="310" w:top="125" w:right="339" w:bottom="0" w:gutter="0" w:footer="0" w:header="0"/>
        </w:sectPr>
      </w:pPr>
    </w:p>
    <w:bookmarkStart w:id="9" w:name="page10"/>
    <w:bookmarkEnd w:id="9"/>
    <w:p>
      <w:pPr>
        <w:jc w:val="both"/>
        <w:ind w:firstLine="405"/>
        <w:spacing w:after="0" w:line="257" w:lineRule="auto"/>
        <w:rPr>
          <w:sz w:val="20"/>
          <w:szCs w:val="20"/>
          <w:color w:val="auto"/>
        </w:rPr>
      </w:pPr>
      <w:r>
        <w:rPr>
          <w:rFonts w:ascii="Arial" w:cs="Arial" w:eastAsia="Arial" w:hAnsi="Arial"/>
          <w:sz w:val="18"/>
          <w:szCs w:val="18"/>
          <w:color w:val="auto"/>
        </w:rPr>
        <w:t>Security Configuration Assessment (SCA): SCA provides automatic assessment of IT assets’ configurations using the latest Center for Internet Security (CIS) Benchmarks for operating systems, databases, applications and network devices. SCA provides intuitive workflows for assessing, monitoring, reporting and remediating security-related configuration issues. SCA’s CIS assessments are provided via a web-based user interface and delivered from the Qualys Cloud Platform, enabling centralized management with minimal deployment overhead. SCA users can automatically create downloadable reports and view dashboards.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PCI Compliance (PCI): PCI streamlines and automates compliance with PCI DSS (Payment Card Industry Data Security Standard) requirements for protecting the collection, storage, processing and transmission of cardholder data. As an Approved Scanning Vendor, Qualys has been authorized by the PCI Security Standards Council to conduct the required quarterly scans. PCI scans all Internet-facing networks and systems with Six Sigma (99.9996%) accuracy, generates reports and provides detailed patching instructions. An auto-submission feature completes the compliance process once remediation is completed.</w:t>
      </w:r>
    </w:p>
    <w:p>
      <w:pPr>
        <w:spacing w:after="0" w:line="1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File Integrity Monitoring (FIM): FIM logs and centrally tracks file change events on common enterprise operating systems in organizations of all sizes. FIM provides customers with a simple way to achieve centralized cloud-based visibility of activity resulting from normal patching and administrative tasks, change control exceptions or violations, or malicious activity - then reports on that system activity as part of compliance mandates. FIM collects the critical details needed to quickly identify changes and root out activity that violates policy or is potentially malicious. FIM helps customers to comply with change control policy enforcement and change monitoring requirements.</w:t>
      </w:r>
    </w:p>
    <w:p>
      <w:pPr>
        <w:spacing w:after="0" w:line="18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Security Assessment Questionnaire (SAQ): SAQ automates and streamlines third-party and internal risk assessment processes, obviating the need to perform such processes manually via email and spreadsheets. SAQ easily designs surveys to assess procedural controls of IT and security policies and practices. SAQ automates the launch and monitoring of assessment campaigns, making the process agile, accurate, comprehensive, centralized, scalable and uniform across an organization. SAQ also provides tools for displaying, analyzing and acting on collected data, enabling the assessment of compliance with industry standards, regulations and internal policies of third parties, like vendors and partners, and of employees.</w:t>
      </w:r>
    </w:p>
    <w:p>
      <w:pPr>
        <w:spacing w:after="0" w:line="17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Out-of-Band Configuration Assessment (OCA): The OCA sensor and Cloud App allows customers to achieve complete visibility of all known IT infrastructure by pushing vulnerability and configuration data to the Qualys Cloud Platform from systems that are otherwise difficult to assess, such as highly locked-down systems, systems on disconnected or “air gap” networks, or in environments that are highly sensitive to scans. OCA’s expanded data collection approach significantly broadens the types of technologies supported by the Qualys Cloud Platform and provides deeper assessment of configuration so that customers have better visibility into potentially critical vulnerabilities and misconfigurations across their entire environment.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Web Application Security</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Web Application Scanning (WAS): WAS continuously discovers and catalogs web applications – including new and unknown ones – and detects vulnerabilities and misconfigurations in web apps and APIs. Scaling to thousands of scans, it conducts incisive, thorough and precise testing of browser-based web apps, mobile app backends, and Internet of things (IoT) services. Its seamless integration with the Qualys Web Application Firewall (WAF) enables verification of attack protection, ticket creation and one click mitigation of vulnerabilities. WAS' powerful API enables integration with other systems and allows teams to detect issues within DevOps environments early in the application development process. Bundled malware detection capability with WAS uses reputational, behavioral, antivirus, and heuristic analyses to identify and alert on malware infecting a user's websites. By Integrating WAS with manual testing tools and bug bounty solutions, customers can build a comprehensive web application vulnerability testing program.</w:t>
      </w:r>
    </w:p>
    <w:p>
      <w:pPr>
        <w:spacing w:after="0" w:line="166"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Web Application Firewall (WAF): WAF permits the reduction of application security cost and complexity with a unified platform to prevent any attempt to exploit vulnerabilities. Simple, scalable and adaptive, WAF enables the quick blocking of attacks, prevents disclosure of sensitive information, and controls when and where customer applications are accessed. WAF and WAS work together seamlessly. Customers scan web apps with WAS, deploy one-click virtual patches if needed in WAF, and manage it all from a centralized cloud-based portal. WAF can be deployed in minutes on prem or in the cloud, as a virtual machine or a container, supports load-balancing as well as TLS offloading, and does not require special hardware.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225"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Global AssetView (GAV): GAV constantly gathers information on all assets, including system and hardware details, running services, open ports, installed software and user accounts. Asset discovery and inventory collection is done through a combination of Qualys network scanners, Cloud Agents and passive scanners, which together collect comprehensive data from on-premises or cloud infrastructure as well as remote endpoints. In order to create consistent and uniform asset data, GAV normalizes raw discovery data to standardize every manufacturer name, product name, model and software version using Qualys’ ever-evolving technology catalog as a reference. This catalog automatically extends IT asset inventory with non-discoverable metadata such as hardware and software release dates, end of life dates, and license categories. This new data layer allows teams to detect issues such as unauthorized software, outdated hardware or end-of-life software, which can help properly tag, support, and secure business-critical assets.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Cybersecurity Asset Management (CSAM): CSAM is an all-in-one solution that leverages the power of the Qualys Cloud Platform with its multiple native sensors and CMDB synchronization to continuously inventory known and unknown assets, discover installed applications, and overlay business and risk context to establish asset criticality. It identifies unauthorized or end-of-life and end-of-service software and the absence of required security tools, and assesses the health of the attack surface. Further, CSAM enables response options with threat alerts and software removal and delivers regulatory reporting in support of FedRAMP, PCI-DSS and other mandates. CSAM includes External Attack Surface Management, which allows discovery of internet facing unknown assets.</w:t>
      </w:r>
    </w:p>
    <w:p>
      <w:pPr>
        <w:spacing w:after="0" w:line="19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Certificate Inventory (CRI): CRI continuously scans global IT assets from a single console to discover internal and external certificates issued from any certificate authority across all enterprise IT assets, both on premise and in the cloud. As a result, certificates can be renewed before they expire, which stops certificate-related outages and improves availability. It collects all certificate, vulnerability and configuration data required for certificate inventory and analysis. CRI also reveals how many certificates are out of compliance or do not follow organizational policies for key length, for signature algorithms or for the use of trusted and approved Certificate Authorities through the use of highly customizable dashboards and provides users a comprehensive overview of Qualys SSL Labs-caliber certificate grades for internal and externally facing certificates.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Cloud / Container Security</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Cloud Inventory (CI): CI delivers continuous visibility into public cloud accounts. In one single-pane view, it inventories virtual machines, storage buckets, databases, security groups, Access Control Lists (ACLs), Elastic Load Balancers (ELBs) and users – across all regions, multiple accounts and multiple cloud platforms. CI continuously tracks assets and enables users to quickly understand the topography of their cloud environment and uncover the root cause of incidents.</w:t>
      </w:r>
    </w:p>
    <w:p>
      <w:pPr>
        <w:spacing w:after="0" w:line="18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Cloud Security Assessment (CSA): CSA provides a continuous assessment of the security posture of an organization’s cloud resources against misconfigurations, malicious behavior, and nonstandard deployments. CSA evaluates resources against CIS benchmarks and best practices to identify misconfigured storage buckets, security groups, Relational Database Service, exposing data and the resource for public exploitation. CSA correlates host vulnerabilities and compliance data into intelligent insights which allow users to quickly detect risks throughout their complex cloud environments. With CSA, users gain real-time visibility into their up-to-date security and compliance posture of public clouds in one single-pane view.</w:t>
      </w:r>
    </w:p>
    <w:p>
      <w:pPr>
        <w:spacing w:after="0" w:line="176"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Container Security (CS): CS delivers container-native visibility and protection throughout the entire lifecycle of containerized applications. It incorporates scanning of container images for software composition and enforcement of hardened container stack configurations for continuous policy compliance, whether the images are on the build machines, in the container registries or in the runtime cluster nodes. CS uses a unique 'layered-in' approach to provide deep visibility into all the application activities and automatically creates a behavior profile, which is enforced on each container for runtime protection. By integrating with continuous integration and continuous delivery pipelines and toolchains, CS enables DevSecOps processes and transparent enforcement of security and compliance without compromising the speed and agility of containers and serverless deployment models. This leads to significant cost benefits for enterprises compared to certain legacy security solutions.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Services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also offer organizations of all sizes free security and compliance services based on the Qualys Cloud Platform:</w:t>
      </w:r>
    </w:p>
    <w:p>
      <w:pPr>
        <w:spacing w:after="0" w:line="23" w:lineRule="exact"/>
        <w:rPr>
          <w:sz w:val="20"/>
          <w:szCs w:val="20"/>
          <w:color w:val="auto"/>
        </w:rPr>
      </w:pPr>
    </w:p>
    <w:p>
      <w:pPr>
        <w:jc w:val="both"/>
        <w:ind w:left="820" w:hanging="326"/>
        <w:spacing w:after="0" w:line="252"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Qualys Global AssetView app automatically creates a continuous, real-time inventory of known and unknown assets throughout a user's global IT footprint across on-premises, endpoints, multi-cloud, mobile, containers, operational technology and IoT. The app also automatically normalizes and categorizes assets to ensure clean, reliable, and consistent data. In-depth asset details provide fine-grained visibility on the system, services, installed software, network, and users. It also detects any device that connects to a user's networks, via passive scanning technology. Upon an unknown device detection, users can install a light-weight Qualys self-updating agent (3MB) to turn the device into a managed device or launch a vulnerability scan.</w:t>
      </w:r>
    </w:p>
    <w:p>
      <w:pPr>
        <w:spacing w:after="0" w:line="45" w:lineRule="exact"/>
        <w:rPr>
          <w:rFonts w:ascii="Arial" w:cs="Arial" w:eastAsia="Arial" w:hAnsi="Arial"/>
          <w:sz w:val="18"/>
          <w:szCs w:val="18"/>
          <w:color w:val="auto"/>
        </w:rPr>
      </w:pPr>
    </w:p>
    <w:p>
      <w:pPr>
        <w:jc w:val="both"/>
        <w:ind w:left="820" w:hanging="326"/>
        <w:spacing w:after="0" w:line="259"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Qualys Cloud Inventory continuously discovers and tracks assets and resources across public cloud deployments to provide users both real-time and historical views of cloud inventory. It collects metadata about cloud assets and resources to help users understand the relationships between public cloud assets and resources across different dimensions and then discover their threat posture based on those attributes and relationships. Cloud Inventory is limited to three accounts per public cloud platform.</w:t>
      </w:r>
    </w:p>
    <w:p>
      <w:pPr>
        <w:spacing w:after="0" w:line="38" w:lineRule="exact"/>
        <w:rPr>
          <w:rFonts w:ascii="Arial" w:cs="Arial" w:eastAsia="Arial" w:hAnsi="Arial"/>
          <w:sz w:val="18"/>
          <w:szCs w:val="18"/>
          <w:color w:val="auto"/>
        </w:rPr>
      </w:pPr>
    </w:p>
    <w:p>
      <w:pPr>
        <w:ind w:left="820" w:hanging="326"/>
        <w:spacing w:after="0" w:line="342" w:lineRule="auto"/>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Qualys Certificate Inventory inventories and assesses all Internet-facing certificates to generate SSL/TLS configuration grades, identifies the certificate issuer and tracks certificate expirations to help stop expired and expiring certificates from interrupting critical business functions.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firstLine="405"/>
        <w:spacing w:after="0" w:line="258" w:lineRule="auto"/>
        <w:rPr>
          <w:sz w:val="20"/>
          <w:szCs w:val="20"/>
          <w:color w:val="auto"/>
        </w:rPr>
      </w:pPr>
      <w:r>
        <w:rPr>
          <w:rFonts w:ascii="Arial" w:cs="Arial" w:eastAsia="Arial" w:hAnsi="Arial"/>
          <w:sz w:val="18"/>
          <w:szCs w:val="18"/>
          <w:color w:val="auto"/>
        </w:rPr>
        <w:t>We intend to strengthen our leadership position as a trusted provider of cloud-based IT, security and compliance solutions. The key elements of our growth strategy are:</w:t>
      </w:r>
    </w:p>
    <w:p>
      <w:pPr>
        <w:spacing w:after="0" w:line="1" w:lineRule="exact"/>
        <w:rPr>
          <w:sz w:val="20"/>
          <w:szCs w:val="20"/>
          <w:color w:val="auto"/>
        </w:rPr>
      </w:pPr>
    </w:p>
    <w:p>
      <w:pPr>
        <w:jc w:val="both"/>
        <w:ind w:left="820" w:hanging="326"/>
        <w:spacing w:after="0" w:line="253"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and enhance our cloud platform and suite of solutions. </w:t>
      </w:r>
      <w:r>
        <w:rPr>
          <w:rFonts w:ascii="Arial" w:cs="Arial" w:eastAsia="Arial" w:hAnsi="Arial"/>
          <w:sz w:val="18"/>
          <w:szCs w:val="18"/>
          <w:color w:val="auto"/>
        </w:rPr>
        <w:t>We intend to continue to make significant investments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to extend our cloud platform’s functionality by developing new security solutions and capabilities and further enhancing our existing suite of solutions. From inception through December 31, 2021, we have added the following Cloud Apps: PC, PCI, WAS, WAF, CM, SAQ, TP, FIM, GAV, SCA, CS, CI, CSA, CRI, CRA, OCA, PM, VMDR, EDR, SaaSDR, SEM, and CSAM. In 2022, we introduced CAR, XDR and NDR.</w:t>
      </w:r>
    </w:p>
    <w:p>
      <w:pPr>
        <w:spacing w:after="0" w:line="42" w:lineRule="exact"/>
        <w:rPr>
          <w:rFonts w:ascii="Arial" w:cs="Arial" w:eastAsia="Arial" w:hAnsi="Arial"/>
          <w:sz w:val="18"/>
          <w:szCs w:val="18"/>
          <w:color w:val="auto"/>
        </w:rPr>
      </w:pPr>
    </w:p>
    <w:p>
      <w:pPr>
        <w:jc w:val="both"/>
        <w:ind w:left="820" w:hanging="326"/>
        <w:spacing w:after="0" w:line="273" w:lineRule="auto"/>
        <w:tabs>
          <w:tab w:leader="none" w:pos="820"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the use of our suite of solutions by our large and diverse customer base. </w:t>
      </w:r>
      <w:r>
        <w:rPr>
          <w:rFonts w:ascii="Arial" w:cs="Arial" w:eastAsia="Arial" w:hAnsi="Arial"/>
          <w:sz w:val="17"/>
          <w:szCs w:val="17"/>
          <w:color w:val="auto"/>
        </w:rPr>
        <w:t>With more than 10,000 customers, across many industries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geographies, we believe we have a significant opportunity to sell additional solutions to our customers and expand their use of our suite of solutions. Because our customers typically initially deploy one or two of our solutions in select parts of their IT infrastructures, our existing customers serve as a strong source of new sales as they expand their scope and increase their subscriptions or choose to adopt additional solutions from our integrated suite of IT, security and compliance offerings. In this regard, we continue to expand our sales execution and marketing functions to increase adoption of our newly developed solutions among our existing customers.</w:t>
      </w:r>
    </w:p>
    <w:p>
      <w:pPr>
        <w:spacing w:after="0" w:line="29" w:lineRule="exact"/>
        <w:rPr>
          <w:rFonts w:ascii="Arial" w:cs="Arial" w:eastAsia="Arial" w:hAnsi="Arial"/>
          <w:sz w:val="17"/>
          <w:szCs w:val="17"/>
          <w:color w:val="auto"/>
        </w:rPr>
      </w:pPr>
    </w:p>
    <w:p>
      <w:pPr>
        <w:jc w:val="both"/>
        <w:ind w:left="820" w:hanging="326"/>
        <w:spacing w:after="0" w:line="291" w:lineRule="auto"/>
        <w:tabs>
          <w:tab w:leader="none" w:pos="82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new customer growth and broaden our global reach. </w:t>
      </w:r>
      <w:r>
        <w:rPr>
          <w:rFonts w:ascii="Arial" w:cs="Arial" w:eastAsia="Arial" w:hAnsi="Arial"/>
          <w:sz w:val="16"/>
          <w:szCs w:val="16"/>
          <w:color w:val="auto"/>
        </w:rPr>
        <w:t>We are pursuing new customers by targeting key accounts, releasing free 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security and compliance services and expanding both our sales and marketing organization and network of channel partners. We will continue to seek to make significant investments to encourage organizations to replace their existing security products with our cloud solutions. We intend to expand our relationships with key security consulting organizations, managed security service providers and value-added resellers to accelerate the adoption of our cloud platform. We seek to strengthen existing relationships as well as establish new relationships to increase the distribution and market awareness of our cloud platform and target new geographic regions. We also plan to partner with such security providers that can host our private cloud offering within their shared cloud platforms, helping us expand our reach in new markets and new geographies.</w:t>
      </w:r>
    </w:p>
    <w:p>
      <w:pPr>
        <w:spacing w:after="0" w:line="17" w:lineRule="exact"/>
        <w:rPr>
          <w:rFonts w:ascii="Arial" w:cs="Arial" w:eastAsia="Arial" w:hAnsi="Arial"/>
          <w:sz w:val="16"/>
          <w:szCs w:val="16"/>
          <w:color w:val="auto"/>
        </w:rPr>
      </w:pPr>
    </w:p>
    <w:p>
      <w:pPr>
        <w:jc w:val="both"/>
        <w:ind w:left="820" w:hanging="326"/>
        <w:spacing w:after="0" w:line="289" w:lineRule="auto"/>
        <w:tabs>
          <w:tab w:leader="none" w:pos="820" w:val="left"/>
        </w:tabs>
        <w:numPr>
          <w:ilvl w:val="0"/>
          <w:numId w:val="1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Selectively pursue technology acquisitions to bolster our capabilities and leadership position. </w:t>
      </w:r>
      <w:r>
        <w:rPr>
          <w:rFonts w:ascii="Arial" w:cs="Arial" w:eastAsia="Arial" w:hAnsi="Arial"/>
          <w:sz w:val="16"/>
          <w:szCs w:val="16"/>
          <w:color w:val="auto"/>
        </w:rPr>
        <w:t>We may explore acquisitions that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complementary to and can expand the functionality of our cloud platform. We may also seek to acquire development teams to supplement our own personnel and acquire technology to increase the breadth of our cloud-based IT, security and compliance solutions. In 2022, we acquired certain intangible assets of Blue Hexagon Inc., enabling us to leverage our cloud platform with AI/machine learning to uncover behavior patterns including active vulnerability exploitation, identification of advanced network threats, and adaptive risk mitigation across all assets and applications. In 2021, we acquired certain intangible assets of Kandor Soft Labs Private Ltd. (TotalCloud), strengthening our cloud security solution by allowing customers to build user-defined workflows for custom policies and execute them on-demand for simplified security and compliance. In 2020, we acquired certain intangible assets of Spell Security Private Limited (Spell Security), expanding our endpoint behavior detection, threat hunting, malware research and multi-layered response capabilities for our EDR application.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As of December 31, 2022, we had over 10,000 customers worldwide, including a majority of each of the Forbes Global 100 and Fortune 100. In each of 2022, 2021 and 2020, no one customer accounted for more than 10% of our revenues. In 2022, 2021 and 2020, 60%, 61% and 63%,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market and sell our IT, security and compliance solutions to customers directly through our sales teams as well as indirectly through our network of channel partners.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global sales force is organized into a field sales team, which focuses on enterprises, generally including organizations with more than 5,000 employees, and an inside sales team, which focuses on small to medium-sized businesses, which generally include organizations with less than 5,000 employees. Both our field and inside sales teams are divided into three geographic regions, the Americas; Europe, Middle East and Africa; and Asia-Pacific. We also further assign each of our sales teams into groups that focus on adding new customers or managing relationships with existing customers.</w:t>
      </w:r>
    </w:p>
    <w:p>
      <w:pPr>
        <w:spacing w:after="0" w:line="157"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channel partners maintain relationships with their customers throughout the territories in which they operate and provide their customers with services and third-party solutions to help meet those customers’ evolving security and compliance requirements. As such, these partners offer our IT, security and compliance solutions in conjunction with one or more of their own products or services and act as a conduit through which we can connect with these prospective customers to offer our solutions. Our channel partners include security consulting organizations, managed service providers and resellers, such as Accenture, BT Managed Security, Cognizant Technology Solutions, Deutsche Telekom, DXC Technology, Fujitsu, Hindustan Computers Limited (HCL) Technologies, International Business Machines (IBM), Infosys, Nippon Telegraph and Telephone Corporation (NTT), Optiv, Tata Communications, Verizon, Wipro and TD SYNNEX Corporation (TD SYNNEX). Qualys has also established strategic partnerships with leading cloud providers like Amazon Web Services, Microsoft Azure and the Google Cloud Platform.</w:t>
      </w:r>
    </w:p>
    <w:p>
      <w:pPr>
        <w:spacing w:after="0" w:line="17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For sales involving a channel partner, the channel partner engages with the prospective customer directly and involves our sales team as needed to assist in developing and closing an order. When a channel partner secures a sale, we sell the associated subscription to the channel partner who in turn resells the subscription to the customer, with the channel partner earning a fee based on the total value of the order. Once the order is completed, we provide these customers with direct access to our solutions and other associated back-office applications, enabling us to establish a direct relationship as part of ensuring customer satisfaction with our solutions. At the end of the subscription term, the channel partner engages with the customer to execute a renewal order, with our sales team providing assistance as required. In 2022, 2021 and 2020, 42%, 41% and 42%, respectively, of our revenues were generated by channel partners.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Marketing</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marketing programs include a variety of online marketing, advertising, conferences, events, public relations activities and web-based seminar campaigns targeted at key decision makers within our prospective customers.</w:t>
      </w:r>
    </w:p>
    <w:p>
      <w:pPr>
        <w:spacing w:after="0" w:line="1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a number of marketing initiatives to build awareness and encourage customer adoption of our solutions. We offer free trials and services to allow prospective customers to experience the quality of our solutions, to learn in detail about the features and functionality of our cloud platform, and to quantify the potential benefits of our solutions.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Support</w:t>
      </w:r>
    </w:p>
    <w:p>
      <w:pPr>
        <w:spacing w:after="0" w:line="229" w:lineRule="exact"/>
        <w:rPr>
          <w:sz w:val="20"/>
          <w:szCs w:val="20"/>
          <w:color w:val="auto"/>
        </w:rPr>
      </w:pPr>
    </w:p>
    <w:p>
      <w:pPr>
        <w:jc w:val="both"/>
        <w:ind w:firstLine="391"/>
        <w:spacing w:after="0" w:line="273" w:lineRule="auto"/>
        <w:rPr>
          <w:sz w:val="20"/>
          <w:szCs w:val="20"/>
          <w:color w:val="auto"/>
        </w:rPr>
      </w:pPr>
      <w:r>
        <w:rPr>
          <w:rFonts w:ascii="Arial" w:cs="Arial" w:eastAsia="Arial" w:hAnsi="Arial"/>
          <w:sz w:val="17"/>
          <w:szCs w:val="17"/>
          <w:color w:val="auto"/>
        </w:rPr>
        <w:t>Qualys Support delivers 24x7x365 day customer technical support from global centers located in Foster City, California; Raleigh, North Carolina; and Pune, India. We recruit senior level technical personnel and trained subject matter experts who work closely with engineering and operations personnel to resolve issues quickly. Our IT, security and compliance solutions can be deployed easily and are designed to be implemented and operated without the need for significant professional services. We also offer various training programs as part of our subscriptions to all of our customers. In addition, we leverage the insights drawn from our customers to further improve the functionality of our IT, security and compliance solutions. Our mission is to ensure customer satisfaction and play a critical role in retaining and expanding our customer base.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and Operations</w:t>
      </w:r>
    </w:p>
    <w:p>
      <w:pPr>
        <w:spacing w:after="0" w:line="229" w:lineRule="exact"/>
        <w:rPr>
          <w:sz w:val="20"/>
          <w:szCs w:val="20"/>
          <w:color w:val="auto"/>
        </w:rPr>
      </w:pPr>
    </w:p>
    <w:p>
      <w:pPr>
        <w:jc w:val="both"/>
        <w:ind w:firstLine="391"/>
        <w:spacing w:after="0" w:line="273" w:lineRule="auto"/>
        <w:rPr>
          <w:sz w:val="20"/>
          <w:szCs w:val="20"/>
          <w:color w:val="auto"/>
        </w:rPr>
      </w:pPr>
      <w:r>
        <w:rPr>
          <w:rFonts w:ascii="Arial" w:cs="Arial" w:eastAsia="Arial" w:hAnsi="Arial"/>
          <w:sz w:val="17"/>
          <w:szCs w:val="17"/>
          <w:color w:val="auto"/>
        </w:rPr>
        <w:t>We devote significant resources to maintain, enhance and add new functionality to our Qualys Cloud Platform and the integrated suite of solutions that we offer. Our development organization consists of agile engineering teams with substantial security expertise in specific areas of our solutions. In addition to our development teams, we also built a sophisticated research team focused on identifying threats and developing signatures for vulnerabilities and compliance checks so that we can provide our customers with daily updates and enable them to scan their assets for the latest threats. We conduct our research and development in the United States, France and India, which gives us access to some of the best research and engineering talent in the world. Our focus remains to attract engineering talent as we continue to add new solutions and improve existing ones.</w:t>
      </w:r>
    </w:p>
    <w:p>
      <w:pPr>
        <w:spacing w:after="0" w:line="178" w:lineRule="exact"/>
        <w:rPr>
          <w:sz w:val="20"/>
          <w:szCs w:val="20"/>
          <w:color w:val="auto"/>
        </w:rPr>
      </w:pPr>
    </w:p>
    <w:p>
      <w:pPr>
        <w:jc w:val="both"/>
        <w:ind w:firstLine="391"/>
        <w:spacing w:after="0" w:line="286" w:lineRule="auto"/>
        <w:rPr>
          <w:sz w:val="20"/>
          <w:szCs w:val="20"/>
          <w:color w:val="auto"/>
        </w:rPr>
      </w:pPr>
      <w:r>
        <w:rPr>
          <w:rFonts w:ascii="Arial" w:cs="Arial" w:eastAsia="Arial" w:hAnsi="Arial"/>
          <w:sz w:val="17"/>
          <w:szCs w:val="17"/>
          <w:color w:val="auto"/>
        </w:rPr>
        <w:t>Our development team works closely with our customers and partners to gain valuable insights into their environments and gather feedback for threat research, product development and innovations. We typically release updates to our solutions, including enhancements and new features multiple times a year, and we measure the quality of our scan results on a frequent basis in an effort to maintain the highest level of scan accuracy.</w:t>
      </w:r>
    </w:p>
    <w:p>
      <w:pPr>
        <w:spacing w:after="0" w:line="165"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 modular architecture of our cloud platform enables our engineering teams to simultaneously work on different features, accelerating the delivery of new functionalities to customers. Our research and development team also works collaboratively with our technical support team to ensure customer satisfaction and with our sales team to accelerate the adoption of our solutions.</w:t>
      </w:r>
    </w:p>
    <w:p>
      <w:pPr>
        <w:spacing w:after="0" w:line="18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Shared Cloud Platform Agreements</w:t>
      </w:r>
    </w:p>
    <w:p>
      <w:pPr>
        <w:spacing w:after="0" w:line="22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shared cloud platform operations are provided by large third-party vendors and are located in the United States, Canada, Switzerland, the Netherlands, United Arab Emirates, Australia, United Kingdom and India. Our shared cloud platform agreements have varying terms through 2025.</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391"/>
        <w:spacing w:after="0" w:line="263" w:lineRule="auto"/>
        <w:rPr>
          <w:sz w:val="20"/>
          <w:szCs w:val="20"/>
          <w:color w:val="auto"/>
        </w:rPr>
      </w:pPr>
      <w:r>
        <w:rPr>
          <w:rFonts w:ascii="Arial" w:cs="Arial" w:eastAsia="Arial" w:hAnsi="Arial"/>
          <w:sz w:val="18"/>
          <w:szCs w:val="18"/>
          <w:color w:val="auto"/>
        </w:rPr>
        <w:t>The expanding capabilities of our IT, security and compliance solutions have enabled us to address a growing array of opportunities in the cloud IT, security and compliance market. We compete with a large and broad array of established and emerging vulnerability management vendors, compliance vendors and data security vendors in a highly fragmented and competitive environment.</w:t>
      </w:r>
    </w:p>
    <w:p>
      <w:pPr>
        <w:spacing w:after="0" w:line="184" w:lineRule="exact"/>
        <w:rPr>
          <w:sz w:val="20"/>
          <w:szCs w:val="20"/>
          <w:color w:val="auto"/>
        </w:rPr>
      </w:pPr>
    </w:p>
    <w:p>
      <w:pPr>
        <w:jc w:val="both"/>
        <w:ind w:firstLine="391"/>
        <w:spacing w:after="0" w:line="273" w:lineRule="auto"/>
        <w:rPr>
          <w:sz w:val="20"/>
          <w:szCs w:val="20"/>
          <w:color w:val="auto"/>
        </w:rPr>
      </w:pPr>
      <w:r>
        <w:rPr>
          <w:rFonts w:ascii="Arial" w:cs="Arial" w:eastAsia="Arial" w:hAnsi="Arial"/>
          <w:sz w:val="17"/>
          <w:szCs w:val="17"/>
          <w:color w:val="auto"/>
        </w:rPr>
        <w:t>We compete with large and small public companies, such as Broadcom (Symantec Enterprise Security), CrowdStrike, Palo Alto Networks, Rapid7, and Tenable Holdings, as well as privately held security providers including Axonius, Checkmarx, Flexera, Invicti, Ivanti, Tanium, HelpSystems (Tripwire), Trustwave Holdings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178" w:lineRule="exact"/>
        <w:rPr>
          <w:sz w:val="20"/>
          <w:szCs w:val="20"/>
          <w:color w:val="auto"/>
        </w:rPr>
      </w:pPr>
    </w:p>
    <w:p>
      <w:pPr>
        <w:jc w:val="both"/>
        <w:ind w:firstLine="391"/>
        <w:spacing w:after="0" w:line="301" w:lineRule="auto"/>
        <w:rPr>
          <w:sz w:val="20"/>
          <w:szCs w:val="20"/>
          <w:color w:val="auto"/>
        </w:rPr>
      </w:pPr>
      <w:r>
        <w:rPr>
          <w:rFonts w:ascii="Arial" w:cs="Arial" w:eastAsia="Arial" w:hAnsi="Arial"/>
          <w:sz w:val="16"/>
          <w:szCs w:val="16"/>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We believe that our suite of solutions generally competes favorably with respect to these factors. However, many of our primary competitors have greater name recognition, longer operating histories, more established customer relationships, larger marketing budgets and significantly greater resources than we do.</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391"/>
        <w:spacing w:after="0" w:line="288" w:lineRule="auto"/>
        <w:rPr>
          <w:sz w:val="20"/>
          <w:szCs w:val="20"/>
          <w:color w:val="auto"/>
        </w:rPr>
      </w:pPr>
      <w:r>
        <w:rPr>
          <w:rFonts w:ascii="Arial" w:cs="Arial" w:eastAsia="Arial" w:hAnsi="Arial"/>
          <w:sz w:val="16"/>
          <w:szCs w:val="16"/>
          <w:color w:val="auto"/>
        </w:rPr>
        <w:t>We rely on a combination of trade secrets, copyrights, patents and trademarks, as well as contractual protections, to establish and protect our intellectual property rights and protect our proprietary technology. As of December 31, 2022, we have thirty issued patents, which expire from 2029 to 2040, several pending U.S. patent applications and an exclusive license to four U.S. patents. The inbound license remains in effect until the licensed patents are no longer enforceable, unless the applicable license agreement is first terminated by us or terminated by the licensor for a breach of the agreement or if we undergo certain bankruptcy events. The licenses are currently exclusive and will remain exclusive so long as we make an appropriately-timed written election and pay an annual fixed royalty for ten years thereafter. These exclusive licenses are subject to the licensor’s reservation of certain rights in the patents and subject to the U.S. government’s reserved rights in the technology. We have a number of registered and unregistered trademarks. We require our employees, consultants and other third parties to enter into confidentiality and proprietary rights agreements and control access to software, documentation and other proprietary information. We view our trade secrets and know-how as a significant component of our intellectual property assets, as we have spent years designing and developing the Qualys Cloud Platform, which we believe differentiates us from our competitors.</w:t>
      </w:r>
    </w:p>
    <w:p>
      <w:pPr>
        <w:spacing w:after="0" w:line="168" w:lineRule="exact"/>
        <w:rPr>
          <w:sz w:val="20"/>
          <w:szCs w:val="20"/>
          <w:color w:val="auto"/>
        </w:rPr>
      </w:pPr>
    </w:p>
    <w:p>
      <w:pPr>
        <w:jc w:val="both"/>
        <w:ind w:firstLine="391"/>
        <w:spacing w:after="0" w:line="342" w:lineRule="auto"/>
        <w:rPr>
          <w:sz w:val="20"/>
          <w:szCs w:val="20"/>
          <w:color w:val="auto"/>
        </w:rPr>
      </w:pPr>
      <w:r>
        <w:rPr>
          <w:rFonts w:ascii="Arial" w:cs="Arial" w:eastAsia="Arial" w:hAnsi="Arial"/>
          <w:sz w:val="16"/>
          <w:szCs w:val="16"/>
          <w:color w:val="auto"/>
        </w:rPr>
        <w:t>We expect that software and other solutions in our industry may be subject to third-party infringement claims as the number of competitors grows and the functionality of products in different industry segments overlaps. Any of these third parties might make a claim of infringement against us at any time.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229"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We take a holistic approach to our human capital management strategy, striving to create a culture where talented people want to come to work, develop their careers, become leaders, and make a difference for all our stakeholders and communities. Doing the right thing for our people, our communities and our environment upholds the trust of our customers, partners, employees, and stockholders, enabling us to grow our business profitably and meet the diverse needs of our constituents.</w:t>
      </w:r>
    </w:p>
    <w:p>
      <w:pPr>
        <w:spacing w:after="0" w:line="187" w:lineRule="exact"/>
        <w:rPr>
          <w:sz w:val="20"/>
          <w:szCs w:val="20"/>
          <w:color w:val="auto"/>
        </w:rPr>
      </w:pPr>
    </w:p>
    <w:p>
      <w:pPr>
        <w:jc w:val="both"/>
        <w:ind w:firstLine="391"/>
        <w:spacing w:after="0" w:line="257" w:lineRule="auto"/>
        <w:rPr>
          <w:sz w:val="20"/>
          <w:szCs w:val="20"/>
          <w:color w:val="auto"/>
        </w:rPr>
      </w:pPr>
      <w:r>
        <w:rPr>
          <w:rFonts w:ascii="Arial" w:cs="Arial" w:eastAsia="Arial" w:hAnsi="Arial"/>
          <w:sz w:val="18"/>
          <w:szCs w:val="18"/>
          <w:color w:val="auto"/>
        </w:rPr>
        <w:t>As of December 31, 2022, we had 2,143 full-time employees, including 1,062 in research and development, 376 in sales and marketing, 478 in operations and customer support, and 227 in general and administrative. As of December 31, 2022, approximately 75% of our employees were located outside of the United States, with 66% of our employees located in Pune, India. None of our U.S. employees are covered by collective bargaining agreements. Employees in certain European countries and Brazil have collective bargaining arrangements at the national level. We believe our employee relations are good, and we have not experienced any work stoppages.</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Diversity and Inclusion</w:t>
      </w:r>
    </w:p>
    <w:p>
      <w:pPr>
        <w:spacing w:after="0" w:line="225"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We are proud to be a leader in the promotion and practice of diversity and inclusion. In addition to having offices and employees all over the world, we take pride in our cultural diversity. Qualys searches the globe for top talent in an effort to recruit and hire diverse individuals with a variety of skills, experiences, and backgrounds. Our objective is to continue to improve our hiring, development, advancement, and retention of diverse talent and to foster an inclusive environment.</w:t>
      </w:r>
    </w:p>
    <w:p>
      <w:pPr>
        <w:spacing w:after="0" w:line="187" w:lineRule="exact"/>
        <w:rPr>
          <w:sz w:val="20"/>
          <w:szCs w:val="20"/>
          <w:color w:val="auto"/>
        </w:rPr>
      </w:pPr>
    </w:p>
    <w:p>
      <w:pPr>
        <w:jc w:val="both"/>
        <w:ind w:firstLine="391"/>
        <w:spacing w:after="0" w:line="259" w:lineRule="auto"/>
        <w:rPr>
          <w:sz w:val="20"/>
          <w:szCs w:val="20"/>
          <w:color w:val="auto"/>
        </w:rPr>
      </w:pPr>
      <w:r>
        <w:rPr>
          <w:rFonts w:ascii="Arial" w:cs="Arial" w:eastAsia="Arial" w:hAnsi="Arial"/>
          <w:sz w:val="18"/>
          <w:szCs w:val="18"/>
          <w:color w:val="auto"/>
        </w:rPr>
        <w:t>Our board of directors and executive team are highly diverse. Two out of our current seven member board of directors are women, one is a man from an underrepresented community, and the board of directors seeks to identify strong candidates who provide a wide range of perspectives, competencies, and knowledge to complement the skills, diversity and experiences of the board of directors. Further, our executive team is gender and ethnically diverse, with more than 50% of the executive team from underrepresented communities.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Health and Safety</w:t>
      </w:r>
    </w:p>
    <w:p>
      <w:pPr>
        <w:spacing w:after="0" w:line="225" w:lineRule="exact"/>
        <w:rPr>
          <w:sz w:val="20"/>
          <w:szCs w:val="20"/>
          <w:color w:val="auto"/>
        </w:rPr>
      </w:pPr>
    </w:p>
    <w:p>
      <w:pPr>
        <w:jc w:val="both"/>
        <w:ind w:firstLine="391"/>
        <w:spacing w:after="0" w:line="257" w:lineRule="auto"/>
        <w:rPr>
          <w:sz w:val="20"/>
          <w:szCs w:val="20"/>
          <w:color w:val="auto"/>
        </w:rPr>
      </w:pPr>
      <w:r>
        <w:rPr>
          <w:rFonts w:ascii="Arial" w:cs="Arial" w:eastAsia="Arial" w:hAnsi="Arial"/>
          <w:sz w:val="18"/>
          <w:szCs w:val="18"/>
          <w:color w:val="auto"/>
        </w:rPr>
        <w:t>We recognize that a healthy environment and safe workplaces are critical to our business, strategy, and communities. We address environmental issues in an integrated manner to encompass protection of the environment as well as the health and safety of our workforce. For example, in response to COVID-19 and the significant increases in remote workforces in March 2020, we mandated a work from home policy to protect our employees and our communities. We also released a free cloud-based remote endpoint protection solution for 60 days that allowed IT and security teams to protect the computers of remote employees and support the health and safety of our communities.</w:t>
      </w:r>
    </w:p>
    <w:p>
      <w:pPr>
        <w:spacing w:after="0" w:line="188" w:lineRule="exact"/>
        <w:rPr>
          <w:sz w:val="20"/>
          <w:szCs w:val="20"/>
          <w:color w:val="auto"/>
        </w:rPr>
      </w:pPr>
    </w:p>
    <w:p>
      <w:pPr>
        <w:jc w:val="both"/>
        <w:ind w:firstLine="391"/>
        <w:spacing w:after="0" w:line="279" w:lineRule="auto"/>
        <w:rPr>
          <w:sz w:val="20"/>
          <w:szCs w:val="20"/>
          <w:color w:val="auto"/>
        </w:rPr>
      </w:pPr>
      <w:r>
        <w:rPr>
          <w:rFonts w:ascii="Arial" w:cs="Arial" w:eastAsia="Arial" w:hAnsi="Arial"/>
          <w:sz w:val="17"/>
          <w:szCs w:val="17"/>
          <w:color w:val="auto"/>
        </w:rPr>
        <w:t>During 2022, our workforce gradually transitioned into a hybrid work schedule, which resulted in a significant portion of our workforce working either in-person on a part-time basis, or remotely on a permanent basis. Our top priority remains providing support for our employees, partners, and customers. We are fortunate that the nature of our business allows us to successfully operate in this dynamic hybrid environment. We believe that our hybrid policy will be a key enabler to support the broad needs of critical on-site to remote employees.</w:t>
      </w:r>
    </w:p>
    <w:p>
      <w:pPr>
        <w:spacing w:after="0" w:line="171" w:lineRule="exact"/>
        <w:rPr>
          <w:sz w:val="20"/>
          <w:szCs w:val="20"/>
          <w:color w:val="auto"/>
        </w:rPr>
      </w:pPr>
    </w:p>
    <w:p>
      <w:pPr>
        <w:jc w:val="both"/>
        <w:ind w:firstLine="391"/>
        <w:spacing w:after="0" w:line="255" w:lineRule="auto"/>
        <w:rPr>
          <w:sz w:val="20"/>
          <w:szCs w:val="20"/>
          <w:color w:val="auto"/>
        </w:rPr>
      </w:pPr>
      <w:r>
        <w:rPr>
          <w:rFonts w:ascii="Arial" w:cs="Arial" w:eastAsia="Arial" w:hAnsi="Arial"/>
          <w:sz w:val="18"/>
          <w:szCs w:val="18"/>
          <w:color w:val="auto"/>
        </w:rPr>
        <w:t>We require our employees and managers to participate in myriad training programs directed at maintaining a harassment-free, diverse, and secure workplace. With our diverse employee population, we uphold the rights to work in an environment that promotes equal opportunity and prohibits discriminatory practices against race, color, national origin, ancestry, medical condition, religious creed (including religious dress and grooming practices), marital status, registered domestic partner status, sex, sexual orientation, gender identity and expression, genetic characteristics and information, age, veteran status, or any other protected characteristic. Creating a respectful workplace and preventing harassment to our employees remain our on-going commitment.</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Compensation and Benefits</w:t>
      </w:r>
    </w:p>
    <w:p>
      <w:pPr>
        <w:spacing w:after="0" w:line="225" w:lineRule="exact"/>
        <w:rPr>
          <w:sz w:val="20"/>
          <w:szCs w:val="20"/>
          <w:color w:val="auto"/>
        </w:rPr>
      </w:pPr>
    </w:p>
    <w:p>
      <w:pPr>
        <w:jc w:val="both"/>
        <w:ind w:firstLine="391"/>
        <w:spacing w:after="0" w:line="277" w:lineRule="auto"/>
        <w:rPr>
          <w:sz w:val="20"/>
          <w:szCs w:val="20"/>
          <w:color w:val="auto"/>
        </w:rPr>
      </w:pPr>
      <w:r>
        <w:rPr>
          <w:rFonts w:ascii="Arial" w:cs="Arial" w:eastAsia="Arial" w:hAnsi="Arial"/>
          <w:sz w:val="18"/>
          <w:szCs w:val="18"/>
          <w:color w:val="auto"/>
        </w:rPr>
        <w:t>We provide robust compensation and benefits to our employees. In addition to competitive base salaries, all qualified employees are eligible for variable pay and equity awards.</w:t>
      </w:r>
    </w:p>
    <w:p>
      <w:pPr>
        <w:spacing w:after="0" w:line="170" w:lineRule="exact"/>
        <w:rPr>
          <w:sz w:val="20"/>
          <w:szCs w:val="20"/>
          <w:color w:val="auto"/>
        </w:rPr>
      </w:pPr>
    </w:p>
    <w:p>
      <w:pPr>
        <w:jc w:val="both"/>
        <w:ind w:right="20" w:firstLine="391"/>
        <w:spacing w:after="0" w:line="277" w:lineRule="auto"/>
        <w:rPr>
          <w:sz w:val="20"/>
          <w:szCs w:val="20"/>
          <w:color w:val="auto"/>
        </w:rPr>
      </w:pPr>
      <w:r>
        <w:rPr>
          <w:rFonts w:ascii="Arial" w:cs="Arial" w:eastAsia="Arial" w:hAnsi="Arial"/>
          <w:sz w:val="18"/>
          <w:szCs w:val="18"/>
          <w:color w:val="auto"/>
        </w:rPr>
        <w:t>To support the health and wellness of our workforce, we offer premium health coverage with minimal out-of-pocket contributions for our global employees.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Training and Development</w:t>
      </w:r>
    </w:p>
    <w:p>
      <w:pPr>
        <w:spacing w:after="0" w:line="225" w:lineRule="exact"/>
        <w:rPr>
          <w:sz w:val="20"/>
          <w:szCs w:val="20"/>
          <w:color w:val="auto"/>
        </w:rPr>
      </w:pPr>
    </w:p>
    <w:p>
      <w:pPr>
        <w:jc w:val="both"/>
        <w:ind w:firstLine="391"/>
        <w:spacing w:after="0" w:line="279" w:lineRule="auto"/>
        <w:rPr>
          <w:sz w:val="20"/>
          <w:szCs w:val="20"/>
          <w:color w:val="auto"/>
        </w:rPr>
      </w:pPr>
      <w:r>
        <w:rPr>
          <w:rFonts w:ascii="Arial" w:cs="Arial" w:eastAsia="Arial" w:hAnsi="Arial"/>
          <w:sz w:val="17"/>
          <w:szCs w:val="17"/>
          <w:color w:val="auto"/>
        </w:rPr>
        <w:t>We have experience with managing and developing a rapidly growing employee base. We believe every employee makes a difference, so we empower them in their roles and support them for maximum professional growth. We assist employees in achieving their career goals by helping them improve their skillsets and transition to other challenging roles. To support career growth inside and outside Qualys, we offer free self-paced or instructor-led certified training on core Qualys topics giving employees and non-employees an opportunity to achieve certifications.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Our principal executive offices are located at 919 E. Hillsdale Blvd., 4th Floor, Foster City, California 94404. The telephone number of our principal executive offices is (650) 801-6100, and our main corporate website is </w:t>
      </w:r>
      <w:r>
        <w:rPr>
          <w:rFonts w:ascii="Arial" w:cs="Arial" w:eastAsia="Arial" w:hAnsi="Arial"/>
          <w:sz w:val="18"/>
          <w:szCs w:val="18"/>
          <w:i w:val="1"/>
          <w:iCs w:val="1"/>
          <w:color w:val="auto"/>
        </w:rPr>
        <w:t>www.qualys.com</w:t>
      </w:r>
      <w:r>
        <w:rPr>
          <w:rFonts w:ascii="Arial" w:cs="Arial" w:eastAsia="Arial" w:hAnsi="Arial"/>
          <w:sz w:val="18"/>
          <w:szCs w:val="18"/>
          <w:color w:val="auto"/>
        </w:rPr>
        <w:t>. Information contained on, or that can be accessed through, our website, does not constitute part of this Annual Report on Form 10-K and inclusion of our website address in this Annual Report on Form 10-K is an inactive textual reference only.</w:t>
      </w:r>
    </w:p>
    <w:p>
      <w:pPr>
        <w:spacing w:after="0" w:line="18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make available our Annual Reports on Form 10-K, Quarterly Reports on Form 10-Q, Current Reports on Form 8-K and amendments to those reports filed or furnished pursuant to Section 13(a) or Section 15(d) of the Securities Exchange Act of 1934, as amended, free of charge on our website, </w:t>
      </w:r>
      <w:r>
        <w:rPr>
          <w:rFonts w:ascii="Arial" w:cs="Arial" w:eastAsia="Arial" w:hAnsi="Arial"/>
          <w:sz w:val="18"/>
          <w:szCs w:val="18"/>
          <w:i w:val="1"/>
          <w:iCs w:val="1"/>
          <w:color w:val="auto"/>
        </w:rPr>
        <w:t xml:space="preserve">www.qualys.com </w:t>
      </w:r>
      <w:r>
        <w:rPr>
          <w:rFonts w:ascii="Arial" w:cs="Arial" w:eastAsia="Arial" w:hAnsi="Arial"/>
          <w:sz w:val="18"/>
          <w:szCs w:val="18"/>
          <w:color w:val="auto"/>
        </w:rPr>
        <w:t>as soon as reasonably practicable after they are electronically filed with or furnished to the SEC. Additionally, copies of materials filed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us with the SEC may be accessed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An investment in our common stock involves a high degree of risk. You should carefully consider the risks and uncertainties described below, and all other information contained in this Annual Report on Form 10-K, including our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vary from period to period, which could result in our failure to meet expectations with respect to operating results and cause the trading price of our stock to decline.</w:t>
      </w:r>
    </w:p>
    <w:p>
      <w:pPr>
        <w:spacing w:after="0" w:line="170"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color w:val="auto"/>
        </w:rPr>
        <w:t>Our operating results have historically varied from period to period, and we expect that they will continue to do so as a result of a number of factors, many of which are outside of our control, including:</w:t>
      </w:r>
    </w:p>
    <w:p>
      <w:pPr>
        <w:spacing w:after="0" w:line="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demand for our solutions, from both existing and new customers;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customers subscribe for additional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customer renewals of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timing of deals signed within the applicable fiscal period;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seasonal buying patterns of our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timely invoicing or changes in billing terms of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our sales cycle for our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the timing and success of new product or service introductions by us or our competitors or any other changes in the competitive landscape of our</w:t>
      </w:r>
    </w:p>
    <w:p>
      <w:pPr>
        <w:spacing w:after="0" w:line="46"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4"/>
          <w:szCs w:val="14"/>
          <w:color w:val="auto"/>
        </w:rPr>
        <w:t>industry, including consolidation among our competitors;</w:t>
      </w:r>
    </w:p>
    <w:p>
      <w:pPr>
        <w:spacing w:after="0" w:line="6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introduction or adoption of new technologies that compete with our solutions;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decisions by potential customers to purchase IT, security and compliance products or services from other vendors;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both domestically and in the foreign markets in which we sell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foreign currency exchange rates;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growth rate of the IT, security and compliance market;</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perceived security breaches, technical difficulties or interruptions with our service;</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failure of our products and services to operate as designed;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publicity regarding security breaches generally and the level of perceived threats to IT security;</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announcement or adoption of new regulations and policy mandates or changes to existing regulations and policy mandates;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operating costs and capital expenditures related to the operations and expansion of our business;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pace and cost of hiring employees;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associated with our existing and new products and services;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sales commissions relative to the recognition of revenues;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insolvency or credit difficulties confronting our customers, affecting their ability to purchase or pay for our solutions;</w:t>
      </w:r>
    </w:p>
    <w:p>
      <w:pPr>
        <w:spacing w:after="0" w:line="7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our ability to integrate any products or services that we have acquired or may acquire in the future into our product suite or migrate existing</w:t>
      </w:r>
    </w:p>
    <w:p>
      <w:pPr>
        <w:spacing w:after="0" w:line="34" w:lineRule="exact"/>
        <w:rPr>
          <w:rFonts w:ascii="Arial" w:cs="Arial" w:eastAsia="Arial" w:hAnsi="Arial"/>
          <w:sz w:val="18"/>
          <w:szCs w:val="18"/>
          <w:color w:val="auto"/>
        </w:rPr>
      </w:pPr>
    </w:p>
    <w:p>
      <w:pPr>
        <w:ind w:left="660" w:hanging="328"/>
        <w:spacing w:after="0" w:line="180" w:lineRule="auto"/>
        <w:tabs>
          <w:tab w:leader="none" w:pos="660" w:val="left"/>
        </w:tabs>
        <w:numPr>
          <w:ilvl w:val="0"/>
          <w:numId w:val="11"/>
        </w:numPr>
        <w:rPr>
          <w:rFonts w:ascii="Arial" w:cs="Arial" w:eastAsia="Arial" w:hAnsi="Arial"/>
          <w:sz w:val="25"/>
          <w:szCs w:val="25"/>
          <w:color w:val="auto"/>
          <w:vertAlign w:val="superscript"/>
        </w:rPr>
      </w:pPr>
      <w:r>
        <w:rPr>
          <w:rFonts w:ascii="Arial" w:cs="Arial" w:eastAsia="Arial" w:hAnsi="Arial"/>
          <w:sz w:val="14"/>
          <w:szCs w:val="14"/>
          <w:color w:val="auto"/>
        </w:rPr>
        <w:t>customers of any companies that we have acquired or may acquire in the future to our products and services;</w:t>
      </w:r>
    </w:p>
    <w:p>
      <w:pPr>
        <w:spacing w:after="0" w:line="69" w:lineRule="exact"/>
        <w:rPr>
          <w:rFonts w:ascii="Arial" w:cs="Arial" w:eastAsia="Arial" w:hAnsi="Arial"/>
          <w:sz w:val="25"/>
          <w:szCs w:val="25"/>
          <w:color w:val="auto"/>
          <w:vertAlign w:val="superscript"/>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6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 changes in tax rules, tax effects of infrequent or unusual transactions, and tax audit settlements;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and timing of income tax that we recognize resulting from stock-based compensation;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services or businesses;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goodwill and intangible asset impairment charges associated with acquired businesses.</w:t>
      </w:r>
    </w:p>
    <w:p>
      <w:pPr>
        <w:spacing w:after="0" w:line="293"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 the interpretation and application of international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or to issue rulings that invalidate prior laws or regulations.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Each factor above or discussed elsewhere in this Annual Report on Form 10-K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do not successfully anticipate market needs and opportunities or are unable to enhance our solutions and develop new solutions that meet those needs and opportunities on a timely or cost-effective basis, we may not be able to compete effectively and our business and financial condition may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IT, security and compliance market is characterized by rapid technological advances, customer price sensitivity, short product and service life cycles, intense competition, changes in customer requirements, frequent new product introductions and enhancements and evolving industry standards and regulatory mandates. Any of these factors could create downward pressure on pricing and gross margins, and could adversely affect our renewal rates, as well as our ability to attract new customers. Our future success will depend on our ability to enhance existing solutions, introduce new solutions on a timely and cost-effective basis, meet changing customer needs, extend our core technology into new applications, and anticipate and respond to emerging standards and business models. We must also continually change and improve our solutions in response to changes in operating systems, application software, computer and communications hardware, networking software, shared cloud platform infrastructures, programming tools and computer language technology.</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may not be able to anticipate future market needs and opportunities or develop enhancements or new solutions to meet such needs or opportunities in a timely manner or at all. The market for cloud solutions for IT, security and compliance continues to evolve, and it is uncertain whether our new solutions will gain market acceptance.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solution enhancements or new solutions could fail to attain sufficient market acceptance for many reasons, including:</w:t>
      </w:r>
    </w:p>
    <w:p>
      <w:pPr>
        <w:spacing w:after="0" w:line="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timely meet market demand for product functionality;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identify and provide intelligence regarding the attacks or techniques used by cyber-attackers;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inability to inter-operate effectively with the database technologies, file systems or web applications of our prospective customers;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defects, errors or failures;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delays in releasing our enhancements or new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about their performance or effectiveness;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 or anticipated introduction of products by our competitors;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poor business conditions, causing customers to delay IT, security and compliance purchases;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easing or changing of external regulations related to IT, security and compliance;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reluctance of customers to purchase cloud solutions for IT, security and compliance.</w:t>
      </w:r>
    </w:p>
    <w:p>
      <w:pPr>
        <w:spacing w:after="0" w:line="2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IT, security compliance providers that may be better established or have greater resources than we do, require additional investment of time and resources in the development and training of our channel partners and entail significant risk of failure.</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continue to effectively scale and adapt our platform to meet the performance and other requirements of our customers, our operating results and our business would be harmed.</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future growth depends to a significant extent 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 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renew existing subscriptions for our IT, security and compliance solutions, sell additional subscriptions for our solutions and attract new customers, our operating results would be harmed.</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offer our Qualys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operating results would be harmed.</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operating results would be harmed.</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or enhancements to our platform that result in significant revenue, cost savings or other benefits in the near future.</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must continue to dedicate significant financial and other resources to our research and development efforts if we are to maintain our competitive position. However, developing products and enhancements to our platform is expensive and time consuming, and there is no assurance that such activities will result in significant new marketable products or enhancements to our platform, design improvements, cost savings, revenue or other expected benefits. If we spend significant resources on research and development and are unable to generate an adequate return on our investment, our business and results of operations may be materially and adversely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platform, website and internal systems may be subject to intentional disruption or other security incidents that could result in liability and adversely impact our reputation and future sales.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and our service providers face threats from a variety of sources, including attacks on our networks and systems from numerous sources, including traditional “hackers,” sophisticated nation-state and nation-state supported actors, other sources of malicious code (such as viruses and worms), ransomware, social engineering, denial of service attacks, and phishing attempts. We and our service providers could be a target of cyber-attacks or other malfeasance designed to impede the performance of our solutions, penetrate our network security or the security of our cloud platform or our internal systems, misappropriate proprietary information and/or cause interruptions to our services. We and our service providers have experienced and may continue to experience security incidents and attacks of varying degrees from time to time. For example, in December 2020, we were notified by a service provider, Accellion, of a zero-day vulnerability affecting an Accellion FTA server that we deployed to transfer information as part of our customer support system. In response to this incident, we engaged third-party forensic experts to investigate and determined that attackers illegally obtained certain information from the Accellion FTA server. We notified affected customers, as we deemed was required or appropriate. We have incurred costs to respond to this incident and may continue to incur costs to support our efforts to enhance our security measures. Additionally, due to political uncertainty and military actions associated with Russia’s invasion of Ukraine, we and our service providers are vulnerable to heightened risks of cybersecurity incidents and security and privacy breaches from or affiliated with nation-state actors, including attacks that could materially disrupt our systems, operations and services.</w:t>
      </w:r>
    </w:p>
    <w:p>
      <w:pPr>
        <w:spacing w:after="0" w:line="18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solutions, platforms, and system, and those of our service providers, may also suffer security incidents as a result of non-technical issues, including intentional or inadvertent acts or omissions by our employees or service providers. With the increase in personnel working remotely during the current COVID-19 pandemic, we and our service providers are at increased risk for security breaches. We have taken and intend to continue to take steps to monitor and enhance the security of our solutions, cloud platform, and other relevant systems, IT infrastructure, networks, and data; however, the unprecedented scale of remote work may require additional personnel and resources, which nevertheless cannot be guaranteed to fully safeguard our solutions, our cloud platform, or any systems, IT infrastructure networks, or data upon which we rely. Further, because our operations involve providing IT security solutions to our customers, we may be targeted for cyber-attacks and other security incidents. A breach in our data security or an attack against our service availability, or that of our third-party service providers, could impact our networks or networks secured by our solutions, creating system disruptions or slowdowns and exploiting security vulnerabilities of our solutions, and the information stored on our networks or those of our third-party service providers could be accessed, used, publicly disclosed, altered, lost, or stolen, which could subject us to liability and cause us financial harm. If an actual or perceived disruption in the availability of our solutions or the breach of our security measures or those of our service providers occurs, it could adversely affect the market perception of our solutions, result in a loss of competitive advantage, have a negative impact on our reputation, or result in the loss of customers, channel partners and sales, and it may expose us to the loss or alteration of information, litigation, regulatory actions and investigations and possible liability. Any such actual or perceived security breach or disruption could also divert the efforts of our technical and management personnel. We also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In addition, any such actual or perceived security breach could impair our ability to operate our business and provide solutions to our customers. If this happens, our reputation could be harmed, our revenues could decline and our business could suffer.</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Although we maintain insurance coverage that may be applicable to certain liabilities in the event of a security breach or other security incident,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timing of sales of subscriptions for our solutions can be difficult to forecast because of the length and unpredictability of our sales cycle, particularly with large transactions. We sell subscriptions to our IT,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economic conditions or reduced IT spending may adversely impact our business.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business depends to a significant extent on the overall demand for IT and on the economic health of our current and prospective customers. Economic weakness, customer financial difficulties, supply chain constraints, change in interest rates, inflationary pressures and potential for a recession, and constrained spending on IT security, which factors we have experienced in 2022, have resulted and may in the future result in decreased revenue and earnings. Such factors have made and could in the future make it difficult to accurately forecast our sales and operating results and could negatively affect our ability to provide accurate forecasts to our contract manufacturers. In addition, continued governmental budgetary challenges in the United States and Europe, inflationary pressures and potential for a recession, and geopolitical turmoil in many parts of the world, including the ongoing military conflict between Russia and Ukraine, and other disruptions to global and regional economies and markets in many parts of the world, as well as uncertainties related to changes in public policies such as domestic and international regulations, taxes or international trade agreements, have and may continue to put pressure on global economic conditions and overall spending on IT security and may further increase inflation, both in the U.S. and globally, which could increase our operating costs in the future and reduce overall spending on IT security. General economic weakness may also lead to longer collection cycles for payments due from our customers, an increase in customer bad debt, restructuring initiatives and associated expenses, and impairment of investments. Furthermore, the continued weakness and uncertainty in worldwide credit markets, including the sovereign debt situation in certain countries in the European Union, may adversely impact our European operations, as well as our current and potential customers' available budgetary spending, which could lead to delays or reductions in planned purchases of our solutions.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Uncertainty about future economic conditions also makes it difficult to forecast operating results and to make decisions about future investments. Future or continued economic weakness for us or our customers, failure of our customers and markets to recover from such weakness, customer financial difficulties, and reductions in spending on IT security could have a material adverse effect on demand for our platform and consequently on our business, financial condition and results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IT, security and compliance solutions are delivered from 11 shared cloud platforms, and any disruption of service at these facilities would interrupt or delay our ability to deliver our solutions to our customers which could reduce our revenues and harm our operating results.</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currently host substantially all of our solutions from third-party shared cloud platforms located in the United States, Canada, Switzerland, the Netherlands, United Arab Emirates, Australia, United Kingdom and India.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of our shared cloud platforms are not currently redundant and we may not be able to rapidly move our customers from one shared cloud platform to another, which may increase delays in the restoration of our service for our customers if an adverse event occurs. We have added shared cloud platforms to provide additional capacity and to enable disaster recovery. We continue to build out these facilities; however, these additional facilities may not be operational in the anticipated time-frame and we may incur unplanned expenses.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Additionally, our existing shared cloud platform providers have no obligations to renew their agreements with us on commercially reasonable terms, or at all. If we are unable to renew our agreements with the facilities providers on commercially reasonable terms or if in the future we add additional shared cloud platform providers, we may experience costs or downtime in connection with the loss of an existing facility or the transfer to, or addition of, new facilities.</w:t>
      </w:r>
    </w:p>
    <w:p>
      <w:pPr>
        <w:spacing w:after="0" w:line="18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competition in our markets, and we may lack sufficient financial or other resources to maintain or improve our competitive position.</w:t>
      </w:r>
    </w:p>
    <w:p>
      <w:pPr>
        <w:spacing w:after="0" w:line="2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compete with large and small public companies, such as Broadcom (Symantec Enterprise Security), CrowdStrike, Palo Alto Networks, Rapid7, Tenable Holdings, as well as privately held security providers including Axonius, Checkmarx, Flexera, Invicti, Ivanti, Tanium, HelpSystems (Tripwire), Trustwave Holdings and Veracode. We also seek to replace IT, security and compliance solutions that organizations have developed internally. As we continue to extend our cloud platform’s functionality by further developing IT,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ectPr>
          <w:pgSz w:w="11900" w:h="16838" w:orient="portrait"/>
          <w:cols w:equalWidth="0" w:num="1">
            <w:col w:w="11240"/>
          </w:cols>
          <w:pgMar w:left="320" w:top="125" w:right="33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184"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brand name recognition;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broader distribution networks and more established relationships with distributors and customers;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access to larger customer bases;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make acquisitions;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develop and introduce products that compete with our solutions;</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greater resources to meet relevant regulatory requirements; and</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18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1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 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sales prices of our solutions are subject to competitive pressures and may decrease, which may reduce our gross profits and adversely impact our financial results.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sales prices for our solutions may decline for a variety of reasons, including competitive pricing pressures, discounts, a change in our mix of solutions and subscriptions, anticipation of the introduction of new solutions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Euros, British Pounds, Canadian Dollars, Japanese Yen and Indian Rupee, currency fluctuations in certain countries and regions may negatively impact actual prices that partners and customers are willing to pay in those countries and regions, or the effective prices we realize in our reporting currency. We cannot assure you that we will be successful in developing and introducing new offerings with enhanced functionality on a timely basis, or that our new product and subscription offerings, if introduced, will enable us to maintain our prices and gross profits at levels that will allow us to maintain positive gross margins and profitability.</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help our customers achieve and maintain compliance with regulations and industry standards, our revenues and operating results could be harmed.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generate a portion of our revenues from solutions that help organizations achieve and maintain compliance with regulations and industry standards. For example, many of our customers subscribe to our IT,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19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ectPr>
          <w:pgSz w:w="11900" w:h="16838" w:orient="portrait"/>
          <w:cols w:equalWidth="0" w:num="1">
            <w:col w:w="11240"/>
          </w:cols>
          <w:pgMar w:left="320" w:top="125"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solutions fail to detect vulnerabilities or incorrectly detect vulnerabilities, our brand and reputation could be harmed, which could have an adverse effect on our business and results of operations.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IT,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or usability of our solutions and may therefore adversely impact market acceptance of our solutions and could result in negative publicity, loss of customers and sales, increased costs to remedy any incorrect information or problem, or claims by aggrieved parties. Similar issues may be generated by the misuse of our tools to identify and exploit vulnerabilities.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 our solutions sometimes are tested against other security products, and may fail to perform as effectively, or to be perceived as performing as effectively, as competitive products for any number of reasons, including misconfiguration. To the extent current or potential customers, channel partners, or others believe there has been an occurrence of an actual or perceived failure of our solutions to detect a vulnerability or otherwise to function as effectively as competitive products in any particular test, or indicates our solutions do not provide significant value, our business, competitive position, and reputation could be harmed.</w:t>
      </w:r>
    </w:p>
    <w:p>
      <w:pPr>
        <w:spacing w:after="0" w:line="18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In addition, our solutions do not currently extend to cover all mobile and personal devices that employees may bring into an organization. As such, our solutions would not identify or address vulnerabilities in all mobile and personal devices, and our customers’ IT infrastructures may be compromised by attacks that infiltrate their networks through such devices.</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continue the expansion of our sales force, sales of our solutions and the growth of our business would be harmed.</w:t>
      </w:r>
    </w:p>
    <w:p>
      <w:pPr>
        <w:spacing w:after="0" w:line="23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a significant investment in our sales and marketing activities. Our recent hires and planned hires may not become as productive as quickly as we would like, and we may be unable to hire or retain sufficient numbers of qualified individuals in the future in the competitive markets where we do business. Competition for highly skilled personnel is frequently intense and we may not be able to compete for these employees.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third-party channel partners to generate a substantial amount of our revenues, and if we fail to expand and manage our distribution channels, our revenues could decline and our growth prospects could suffer.</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success significantly depends to a significant extent on establishing and maintaining relationships with a variety of channel partners and we anticipate that we will continue to depend on these partners in order to grow our business. For the years ended December 31, 2022, 2021 and 2020, we derived approximately 42%, 41% and 42%, respectively, of our revenues from sales of subscriptions for our solutions through channel partners, and the percentage of revenues derived from channel partners may increase in future periods. Our agreements with our channel partners are generally non-exclusive and do not 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168"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the financial health of our channel partners and our continuing relationships with them are important to our success. Some of these channel partners may be unable to withstand adverse changes in economic conditions, which could result in insolvency and/or the inability of such distributors to obtain credit to finance purchases of our products and services. In addition, weakness in the end-user market could negatively affect the cash flows of our channel partners who could, in turn, delay paying their obligations to us, which would increase our credit risk exposure. Our business could be harmed if the financial condition of some of these channel partners substantially weakened and we were unable to timely secure replacement channel partners.</w:t>
      </w:r>
    </w:p>
    <w:p>
      <w:pPr>
        <w:sectPr>
          <w:pgSz w:w="11900" w:h="16838" w:orient="portrait"/>
          <w:cols w:equalWidth="0" w:num="1">
            <w:col w:w="11240"/>
          </w:cols>
          <w:pgMar w:left="320" w:top="125" w:right="339" w:bottom="1440" w:gutter="0" w:footer="0" w:header="0"/>
        </w:sectPr>
      </w:pP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significant portion of our customers, channel partners and employees are located outside of the United States, which subjects us to a number of risks associated with conducting international operations, and if we are unable to successfully manage these risks, our business and operating results could be harmed.</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foreign currency exchange fluctuations;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and foreign exchange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economic or political instability in foreign markets, including as a result of increasing tensions between India and China;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greater difficulty in enforcing contracts, accounts receivable collection and longer collection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tax laws (including U.S. taxes on foreign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uncertainty and limitation of protection for intellectual property rights in some countries;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compliance with foreign laws and regulations and the risks and costs of non-compliance with such laws and regulations;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heightened risks of unfair or corrupt business practices in certain geographies and of improper or fraudulent sales arrangements that may impact financial results and result in restatements of, and irregularities in, financial statements;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for political unrest, acts of terrorism, hostilities or war;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differences and geographic dispersion;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multiple and possibly overlapping tax structures.</w:t>
      </w:r>
    </w:p>
    <w:p>
      <w:pPr>
        <w:spacing w:after="0" w:line="211" w:lineRule="exact"/>
        <w:rPr>
          <w:sz w:val="20"/>
          <w:szCs w:val="20"/>
          <w:color w:val="auto"/>
        </w:rPr>
      </w:pPr>
    </w:p>
    <w:p>
      <w:pPr>
        <w:jc w:val="both"/>
        <w:ind w:firstLine="360"/>
        <w:spacing w:after="0" w:line="342" w:lineRule="auto"/>
        <w:rPr>
          <w:sz w:val="20"/>
          <w:szCs w:val="20"/>
          <w:color w:val="auto"/>
        </w:rPr>
      </w:pPr>
      <w:r>
        <w:rPr>
          <w:rFonts w:ascii="Arial" w:cs="Arial" w:eastAsia="Arial" w:hAnsi="Arial"/>
          <w:sz w:val="16"/>
          <w:szCs w:val="16"/>
          <w:color w:val="auto"/>
        </w:rPr>
        <w:t>Some of our business partners also have international operations and are subject to the risks described above. Even if we are able to successfully manage the risks of international operations, our business may be adversely affected if our business partners are not able to successfully manage these risks.</w:t>
      </w:r>
    </w:p>
    <w:p>
      <w:pPr>
        <w:spacing w:after="0" w:line="12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19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addition, as of December 31, 2022, approximately 75% of our employees were located outside of the United States, with 66% of our employees located in Pune, India. Accordingly, we are exposed to changes in laws governing our employee relationships in various U.S. and foreign jurisdictions, including laws and regulations regarding wage and hour requirements, fair labor standards, employee data privacy, unemployment tax rates, workers’ compensation rates, citizenship requirements and payroll and other taxes which may have a direct impact on our operating costs. We may continue to expand our international operations and international sales and marketing activities. Expansion in international markets has required, and will continue to require, significant management attention and resources. We may be unable to scale our infrastructure effectively or as quickly as our competitors in these markets and our revenues may not increase to offset any increased costs and operating expenses, which would cause our results to suffer.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fluctuations in currency exchange rates, which could negatively affect our financial condition and results of operations.</w:t>
      </w:r>
    </w:p>
    <w:p>
      <w:pPr>
        <w:spacing w:after="0" w:line="23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Our reporting currency is the U.S. dollar and we generate a majority of our revenues in U.S. dollars. However, for the year ended December 31, 2022, we incurred approximately 29% of our expenses in foreign currencies, primarily Euros, British Pounds, and Indian Rupee, principally with respect to salaries and related personnel expenses associated with our European and Indian operations. Additionally, for the year ended December 31, 2022, approximately 24%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the Euro, British Pound and Indian Rupee. The result of our operations may be adversely affected by foreign exchange fluctuations.</w:t>
      </w:r>
    </w:p>
    <w:p>
      <w:pPr>
        <w:spacing w:after="0" w:line="19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We use derivative financial instruments to reduce our foreign currency exchange risks. We use foreign currency forward contracts to mitigate the impact of foreign currency fluctuations of certain non-U.S. dollar denominated net asset positions, to date primarily cash, accounts receivable and operating lease liabilities (non-designated), as well as to manage foreign currency fluctuation risk related to forecasted transactions (designated).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cloud solutions for IT, security and compliance does not evolve as we anticipate, our revenues may not grow and our operating results would be harmed.</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success depends to a significant extent on the willingness of organizations to increase their use of cloud solutions for their IT, security and compliance. Some organizations may be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organizations that have invested substantial personnel and financial resources to integrate on-premise software into their businesses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IT, security and compliance solutions in addition to or as a replacement for such products.</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and operations have continued to grow since inception, and if we do not appropriately manage any future growth, or are unable to improve our systems and processes, our operating results may be negatively affected.</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continued to grow over the last several years, with revenues increasing from $363.0 million in 2020 to $489.7 million in 2022, and headcount increasing from 1,498 employees at the beginning of 2020 to 2,143 employees as of December 31, 2022.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19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the continued services and performance of our senior management and other key employees, the loss of any of whom could adversely affect our business, operating results and financial condition.</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future performance depends to a significant extent on the continued services and continuing contributions of our senior management and other key employees, to execute on our business plan and to identify and pursue new opportunities and product innovations. We do not maintain key-man insurance for any member of our senior management team. Our senior management and key employees are generally employed on an at-will basis, which means that they could terminate their employment with us at any time. From time to time, there may be changes in our senior management team resulting from the termination or departure of executives. For example, we recently announced that we and our Chief Revenue Officer mutually agreed to end his employment on March 31, 2023. The loss of the services of our senior management or other key employees for any reason could significantly delay or prevent the achievement of our development and strategic objectives and harm our business,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retain and motivate qualified personnel, our business may suffer.</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within our industry, and we may not be able to compete for such personnel.</w:t>
      </w:r>
    </w:p>
    <w:p>
      <w:pPr>
        <w:sectPr>
          <w:pgSz w:w="11900" w:h="16838" w:orient="portrait"/>
          <w:cols w:equalWidth="0" w:num="1">
            <w:col w:w="11240"/>
          </w:cols>
          <w:pgMar w:left="320" w:top="125" w:right="339" w:bottom="844" w:gutter="0" w:footer="0" w:header="0"/>
        </w:sectPr>
      </w:pP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44"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We are required under accounting principles generally accepted in the United States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thereby potentially harming our ability to attract or retain highly skilled personnel. In addition, to the extent we hire personnel from competitors, we may be subject to allegations that they have been improperly solicited or divulged proprietary or other confidential information, which could result in a diversion of management's time and our resources.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revenues are generated by sales to government entities, which are subject to a number of challenges and risks.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time-consuming, often requiring significant upfront time and expense without any assurance that we will win a sale. We have invested in the creation of a cloud offering certified under the Federal Information Security Management Act for government usage but we cannot be sure that we will continue to sustain or renew this certification, that the government will continue to mandate such certification or that other 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in acquiring and integrating other businesses, products or technologies could impact our financial position.</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remain competitive, we have in the past and may in the future seek to acquire additional businesses, products, services or technologies. For example, we acquired certain intellectual property of Spell Security on July 24, 2020, certain intellectual property of TotalCloud on August 19, 2021 and certain assets of Blue Hexagon on October 4, 2022. The environment for acquisitions in our industry is very competitive and acquisition candidate purchase prices may exceed what we would prefer to pay. Moreover, achieving the anticipated benefits of past and future acquisitions will depend in part upon whether we can integrate acquired operations, products and technology in a timely and cost-effective manner, and even if we achieve benefits from acquisitions, such acquisitions may still be viewed negatively by customers, financial markets or investors. The acquisition and integration process is complex, expensive and time-consuming, and may cause an interruption of, or loss of momentum in, product development and sales activities and operations of both companies, as well as divert the attention of management, and we may incur substantial cost and expense. We may issue equity securities which could dilute current stockholders’ ownership, incur debt, assume contingent or other liabilities and expend cash in acquisitions, which could negatively impact our financial position, stockholder equity and stock price.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rely on software-as-a-service vendors to operate certain functions of our business and any failure of such vendors to provide services to us could adversely impact our business and operations.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rely on third-party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Incorrect or improper implementation or use of our solutions could result in customer dissatisfaction and harm our business and reputation.</w:t>
      </w:r>
    </w:p>
    <w:p>
      <w:pPr>
        <w:spacing w:after="0" w:line="24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If our customers are unable to implement our solutions successfully, customer perceptions of our platform and solutions may be impaired or our reputation and brand may suffer. Our customers have in the past inadvertently misused our solutions, which triggered downtime in their internal infrastructure until the problem was resolved. Additionally, any failure to implement and configure our solutions correctly may result in our solutions failing to detect vulnerabilities or compliance issues, or otherwise to perform effectively, and may result in disruptions to our customers’ IT environments and businesses. Any misuse of our solutions, including any failure to implement and configure them appropriately, could result in disruption to our customers’ businesses, customer dissatisfaction, negative impacts on the perceived reliability or effectiveness of our solutions, and claims and litigation, and may result in negative press coverage, negative effects on our reputation and competitive position, a loss of sales, customers, and channel partners, and harm our financial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recognize revenues from subscriptions over the term of the relevant service period, and therefore any decreases or increases in bookings are not immediately reflected in our operating results.</w:t>
      </w:r>
    </w:p>
    <w:p>
      <w:pPr>
        <w:spacing w:after="0" w:line="17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war, acts of terrorism, pandemics or other health emergencies, or responses to these events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Legal, Tax and Regulatory Matters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Undetected software errors or flaws in our solutions could harm our reputation, decrease market acceptance of our solutions or result in liability.</w:t>
      </w:r>
    </w:p>
    <w:p>
      <w:pPr>
        <w:spacing w:after="0" w:line="24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IT, security and compliance reasons, any errors, defects, disruptions in service or other performance problems with our solutions, or any other failure of our solutions to detect vulnerabilities or compliance problems or otherwise to perform effectively, may result in disruptions or damage to the business of our customers, including security breaches or compliance failures. Additionally, any such issues, or the perception that they have occurred, whether or not relating to any actual or perceived error or defect in our solutions, could hurt our reputation and competitive position and we may incur significant costs, the attention of key personnel could be diverted, our customers may delay or withhold payment to us or elect not to renew, we could face a loss of sales, customers, and channel partners, and other significant problems with our relationships with customers and channel partners may arise. We may also be subject to liability claims for damages related to actual or perceived errors or defects in our solutions. A material liability claim or other occurrence that harms our reputation or decreases market acceptance of our solutions may harm our business, competitive and financial position, and operating results.</w:t>
      </w:r>
    </w:p>
    <w:p>
      <w:pPr>
        <w:spacing w:after="0" w:line="172"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Although we maintain insurance coverage that may be applicable to certain liabilities in connection with these matters, we cannot be certain that our insurance coverage will be adequate for liabilities that actually are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and adverse effect on our business, including our financial condition, operating results and reputation.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could be used to collect and store personal information of our customers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employees or customers, and therefore privacy and other data handling concerns could result in additional cost and liability to us or inhibit sales of our solutions.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collect the names and email addresses of our customers in connection with subscriptions to our solutions. Additionally, the data that our solutions collect to help secure and protect the IT infrastructure of our customers may include additional personal or confidential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the Gramm-Leach-Bliley Act, and state breach notification laws. Internationally, virtually every jurisdiction in which we operate has established its own data security and privacy legal framework with which we or our customers must comply.</w:t>
      </w:r>
    </w:p>
    <w:p>
      <w:pPr>
        <w:spacing w:after="0" w:line="181"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These privacy, data protection and information security laws and regulations may result in ever-increasing regulatory and public scrutiny and escalating levels of enforcement and sanctions. Additionally, new laws and regulations relating to privacy and data protection continue to be proposed and enacted. For example, the European Union has adopted the Global Data Protection Regulation (“GDPR”). This regulation, which took effect in May of 2018, provides for substantial obligations relating to the handling, storage and other processing of data relating to individuals and administrative fines for violations, which can be up to four percent of the previous year’s annual revenue or €20 million, whichever is higher. The GDPR may be subject to new or changing interpretations by courts, and our interpretation of the law and efforts to comply with the rules and regulations of the law may be ruled invalid. Similarly, the California Consumer Privacy Act (“CCPA”) requires covered companies to, among other things, provide new disclosures to California consumers and affords such consumers new rights to opt-out of certain sales of personal information. The CCPA also creates a private right of action for statutory damages for certain breaches of information. Certain aspects of the CCPA and its interpretation remain uncertain and are likely to remain uncertain for an extended period. Additionally, a new privacy law, the California Privacy Rights Act (“CPRA”), was approved by voters in the November 3, 2020 election. The CPRA modifies the CCPA significantly, creating obligations relating to consumer data beginning on January 1, 2022, and enforcement is expected to commence on July 1, 2023. Passage of the CPRA has resulted in further uncertainty and may require us to incur additional costs and expenses in an effort to comply. In addition, other states have enacted or proposed legislation that regulates the collection, use, and sale of personal information, and such regimes might not be compatible with the GDPR, the CCPA or the CPRA or may require us to undertake additional practices. Accordingly, we cannot yet predict the impact of the CCPA, CRPA or other evolving privacy and data protection obligations on our business or operations, but it may require us to modify our data processing practices and policies and incur substantial costs and expenses in an effort to comply.</w:t>
      </w:r>
    </w:p>
    <w:p>
      <w:pPr>
        <w:spacing w:after="0" w:line="176"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privacy, data protection, and information security laws and regulations we must comply with also are subject to change. For example, the United Kingdom enacted a Data Protection Act in May 2018 that substantially implements the GDPR, but the United Kingdom's exit from the European Union, commonly referred to as “Brexit,” could lead to further legislative and regulatory changes. It remains unclear how United Kingdom data protection laws or regulations will develop in the medium to longer term and how data transfers to and from the United Kingdom will be regulated. Additionally, we have joined the EU-U.S. Privacy Shield Framework and a related program, the Swiss-U.S. Privacy Shield Framework, and adopted certain standard contractual clauses approved by the European Commission (“SCCs”) as part of our data processing agreements with regard to certain transfers of personal data from the European Economic Area (“EEA”) to the U.S. to ensure that we work with vendors that have adopted the same, where appropriate. While both the EU-U.S. Privacy Shield Framework and SCCs have been subject to legal challenge, we continue to analyze the July 2020 “Schrems II” decision by the Court of Justice of the European Union (“CJEU”) and its impact on our data transfer mechanisms as well as subsequent guidance from data privacy regulators and new SCCs published by the European Commission in June 2021, and we may find it necessary or appropriate to take different or additional steps with respect to transfers of personal data, which may result in increased costs of compliance and limitations on our customers and us. We may be unsuccessful in maintaining legitimate means for our transfer and receipt of personal data from the EEA or Switzerland. We may experience reluctance or refusal by current or prospective European customers to use our products, and we and our customers may face a risk of enforcement actions by data protection authorities in the EEA relating to personal data transfers to us and by us from the EEA. Any such enforcement actions could result in substantial costs and diversion of resources, distract management and technical personnel and negatively affect our business, operating results and financial condition. Some countries also are considering or have passed legislation requiring local storage and processing of data, or similar requirements, which could increase the cost and complexity of delivering our services.</w:t>
      </w:r>
    </w:p>
    <w:p>
      <w:pPr>
        <w:sectPr>
          <w:pgSz w:w="11900" w:h="16838" w:orient="portrait"/>
          <w:cols w:equalWidth="0" w:num="1">
            <w:col w:w="11240"/>
          </w:cols>
          <w:pgMar w:left="320" w:top="125" w:right="339" w:bottom="412" w:gutter="0" w:footer="0" w:header="0"/>
        </w:sectPr>
      </w:pP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412"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regulations, standards and contractual obligations are uncertain, it is possible that they may be interpreted and applied in a manner that is, or perceived to be, inconsistent with our data management practices or the features of our solutions. If so, in addition to the possibility of regulatory investigations and enforcement actions, fines, lawsuits and other claims, other forms of injunctive or operations-limiting relief, and damage to our reputations and loss of goodwill, we could be required to fundamentally change our business activities and practices or modify our solutions and may face limitations in our ability to develop new solutions and features, any of which could have an adverse effect on our business. Any inability to adequately address privacy concerns, even if unfounded, or any actual or perceived inability to comply with applicable privacy or data protection laws, regulations and privacy standards, could result in cost and liability to us, damage our reputation, inhibit sales of subscriptions and harm our business.</w:t>
      </w:r>
    </w:p>
    <w:p>
      <w:pPr>
        <w:spacing w:after="0" w:line="18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solutions contain third-party open source software components, and our failure to comply with the terms of the underlying open source software licenses could restrict our ability to sell our solutions.</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solutions contain software licensed to us by third-parties under so-called “open source” licenses, including the GNU General Public License, the GNU Lesser General Public License,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8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licenses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use third-party software and data that may be difficult to replace or cause errors or failures of our solutions that could lead to lost customers or harm to our reputation and our operating results.</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 until equivalent technology or data is either developed by us, or, if available, is identified, obtained and integrated, which could harm our business. In addition, any errors or defects in or failures of this third-party software or data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need to maintain our relationships with third-party software and data providers, and to obtain software and data from such providers that do not contain any errors or defects. Any failure to do so could adversely impact our ability to deliver effective solutions to our customers and could harm our operating results.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protect our proprietary technology and intellectual property rights could substantially harm our business and operating results.</w:t>
      </w:r>
    </w:p>
    <w:p>
      <w:pPr>
        <w:spacing w:after="0" w:line="23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18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188"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 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Assertions by third parties of infringement or other violations by us of their intellectual property rights could result in significant costs and harm our business and operating results.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166"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adverse outcome of a dispute may require us to:</w:t>
      </w:r>
    </w:p>
    <w:p>
      <w:pPr>
        <w:spacing w:after="0" w:line="23" w:lineRule="exact"/>
        <w:rPr>
          <w:sz w:val="20"/>
          <w:szCs w:val="20"/>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damages, including treble damages, if we are found to have willfully infringed a third party’s patents or copyrights;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cease making, licensing or using solutions that are alleged to infringe or misappropriate the intellectual property of others;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additional development resources to attempt to redesign our solutions or otherwise develop non-infringing technology, which may not be successful;</w:t>
      </w:r>
    </w:p>
    <w:p>
      <w:pPr>
        <w:ind w:left="460" w:hanging="223"/>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potentially unfavorable royalty or license agreements in order to obtain the right to use necessary technologies or intellectual property rights; and</w:t>
      </w:r>
    </w:p>
    <w:p>
      <w:pPr>
        <w:ind w:left="460" w:hanging="223"/>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indemnify our partners and other third parties.</w:t>
      </w:r>
    </w:p>
    <w:p>
      <w:pPr>
        <w:spacing w:after="0" w:line="211" w:lineRule="exact"/>
        <w:rPr>
          <w:sz w:val="20"/>
          <w:szCs w:val="20"/>
          <w:color w:val="auto"/>
        </w:rPr>
      </w:pPr>
    </w:p>
    <w:p>
      <w:pPr>
        <w:ind w:firstLine="324"/>
        <w:spacing w:after="0" w:line="342" w:lineRule="auto"/>
        <w:rPr>
          <w:sz w:val="20"/>
          <w:szCs w:val="20"/>
          <w:color w:val="auto"/>
        </w:rPr>
      </w:pPr>
      <w:r>
        <w:rPr>
          <w:rFonts w:ascii="Arial" w:cs="Arial" w:eastAsia="Arial" w:hAnsi="Arial"/>
          <w:sz w:val="16"/>
          <w:szCs w:val="16"/>
          <w:color w:val="auto"/>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w:t>
      </w:r>
    </w:p>
    <w:p>
      <w:pPr>
        <w:sectPr>
          <w:pgSz w:w="11900" w:h="16838" w:orient="portrait"/>
          <w:cols w:equalWidth="0" w:num="1">
            <w:col w:w="11240"/>
          </w:cols>
          <w:pgMar w:left="320" w:top="125" w:right="339" w:bottom="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technology licensed to us. Any of the foregoing events could seriously harm our business, financial condition and results of operations.</w:t>
      </w:r>
    </w:p>
    <w:p>
      <w:pPr>
        <w:sectPr>
          <w:pgSz w:w="11900" w:h="16838" w:orient="portrait"/>
          <w:cols w:equalWidth="0" w:num="1">
            <w:col w:w="10139"/>
          </w:cols>
          <w:pgMar w:left="320" w:top="125" w:right="1440" w:bottom="1440" w:gutter="0" w:footer="0" w:header="0"/>
        </w:sectPr>
      </w:pPr>
    </w:p>
    <w:p>
      <w:pPr>
        <w:spacing w:after="0" w:line="248"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export or import controls could subject us to liability if we violate them or limit our ability to compete in foreign markets.</w:t>
      </w:r>
    </w:p>
    <w:p>
      <w:pPr>
        <w:spacing w:after="0" w:line="23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solutions are subject to U.S. export controls, specifically, the Export Administration Regulations and economic sanctions enforced by the Office of Foreign Assets Control.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denial of certain export privileges.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required to collect higher sales and use or other taxes on the solutions we sell, we may be subject to liability for past sales and our future sales may decrease.</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may not have accrued tax liabilities. A 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our income tax provision or adverse outcomes resulting from examination of our income tax returns could adversely affect our operating results. We could be subject to additional taxes.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and excess tax benefits arising from stock-based compensation, other tax benefits and credits, and the valuation of deferred tax assets and liabilities. Increases in our effective tax rate could harm our operating results.</w:t>
      </w:r>
    </w:p>
    <w:p>
      <w:pPr>
        <w:spacing w:after="0" w:line="171"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Additionally, significant judgment is required in evaluating our tax positions and our worldwide tax provisions.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The United States introduced a new 1% excise tax on share repurchases occurring on or after January 1, 2023 as part of the Inflation Reduction Act. The amount of share repurchases subject to the excise tax will be reduced by the fair market value of any shares issued during the taxable year. We do not expect this provision to have a material impact to our results of operations. We may be audited in various jurisdictions, and such jurisdictions may assess additional taxes, sales taxes and value-added taxes against us. Although we believe our tax estimates are reasonable, the final determination of any tax audits or litigation could be materially different from our historical tax provisions and accruals, which could have a material adverse effect on our operating results or cash flows in the period or periods for which a determination is made.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volatility may affect our stock price and the value of an investment in our common stock and could subject us to litigation.</w:t>
      </w:r>
    </w:p>
    <w:p>
      <w:pPr>
        <w:spacing w:after="0" w:line="225" w:lineRule="exact"/>
        <w:rPr>
          <w:sz w:val="20"/>
          <w:szCs w:val="20"/>
          <w:color w:val="auto"/>
        </w:rPr>
      </w:pPr>
    </w:p>
    <w:p>
      <w:pPr>
        <w:ind w:right="20" w:firstLine="324"/>
        <w:spacing w:after="0" w:line="258" w:lineRule="auto"/>
        <w:rPr>
          <w:sz w:val="20"/>
          <w:szCs w:val="20"/>
          <w:color w:val="auto"/>
        </w:rPr>
      </w:pPr>
      <w:r>
        <w:rPr>
          <w:rFonts w:ascii="Arial" w:cs="Arial" w:eastAsia="Arial" w:hAnsi="Arial"/>
          <w:sz w:val="18"/>
          <w:szCs w:val="18"/>
          <w:color w:val="auto"/>
        </w:rPr>
        <w:t>The trading price of our common stock has been, and may continue to be, subject to significant fluctuations in response to a number of factors, most of which we cannot predict or control, including:</w:t>
      </w:r>
    </w:p>
    <w:p>
      <w:pPr>
        <w:spacing w:after="0" w:line="1" w:lineRule="exact"/>
        <w:rPr>
          <w:sz w:val="20"/>
          <w:szCs w:val="20"/>
          <w:color w:val="auto"/>
        </w:rPr>
      </w:pPr>
    </w:p>
    <w:p>
      <w:pPr>
        <w:ind w:left="460" w:hanging="223"/>
        <w:spacing w:after="0"/>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announcements of new solutions, services or technologies, commercial relationships, acquisitions or other events by us or our competitors;</w:t>
      </w:r>
    </w:p>
    <w:p>
      <w:pPr>
        <w:spacing w:after="0" w:line="20" w:lineRule="exact"/>
        <w:rPr>
          <w:rFonts w:ascii="Arial" w:cs="Arial" w:eastAsia="Arial" w:hAnsi="Arial"/>
          <w:sz w:val="17"/>
          <w:szCs w:val="17"/>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stock market prices and trading volumes of securities of similar companies;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market conditions and overall fluctuations in U.S. equity markets;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operating results, or the operating results of our competitors;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our financial guidance or securities analysts’ estimates of our financial performance;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our executive officers, directors and significant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any of our key personnel;</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related to litigation;</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changing legal or regulatory developments in the United States and other countries; and</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discussion of us or our stock price by the financial press and in online investor communities.</w:t>
      </w:r>
    </w:p>
    <w:p>
      <w:pPr>
        <w:spacing w:after="0" w:line="21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have released, and may continue to release, guidance in our quarterly earnings conference calls, quarterly earnings releases, or otherwise, regarding our future performance that represents our management's estimates as of the date of release. This guidance, which includes forward-looking statements, has been and will be based on projections prepared by our 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9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intend to state possible outcomes as high and low ranges which are intended to provide a sensitivity analysis as variables are changed but are not intended to imply that actual results could not fall outside of the suggested ranges. The principal reason that we release guidance is to provide a basis for our management to discuss our business outlook with analysts and investors. We do not accept any responsibility for any projections or reports published by any such third parties.</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underlying the guidance furnished by us will not materialize or will vary significantly from actual results. Accordingly, our guidance is only an estimate of what management believes is realizable as of the date of release. Actual results may vary from our guidance and the variations may be material. In light of the foregoing, investors are urged not to rely upon our guidance in making an investment decision regarding our common stock.</w:t>
      </w:r>
    </w:p>
    <w:p>
      <w:pPr>
        <w:spacing w:after="0" w:line="18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market price of shares of our common stock could decline as a result of substantial sales of our common stock, particularly sales by our directors, executive officers, employees and significant stockholders, a large number of shares of our common stock becoming available for sale, or the perception in the market that holders of a large number of shares intend to sell their shares. As of December 31, 2022, we had approximately 37.4 million shares of our common stock outstanding.</w:t>
      </w:r>
    </w:p>
    <w:p>
      <w:pPr>
        <w:spacing w:after="0" w:line="18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In addition, as of December 31, 2022, there were approximately 1.8 million options and 1.1 million restricted stock units outstanding. If such options are exercised and restricted stock units are released, these additional shares will become available for sale. As of December 31, 2022, we had an aggregate of 2.4 million shares of our common stock reserved for future issuance under our Restated 2012 Equity Incentive Plan and 0.6 million shares reserved for future purchase under our 2021 Employee Stock Purchase Plan, which can be freely sold in the public market upon issuance. If a large number of these shares are sold in the public market, the sales could reduce the trading price of our common stock.</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cannot guarantee that our share repurchase program will be fully consummated or that it will enhance stockholder value, and any share repurchases we make could affect the price of our common stock.</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February 12, 2018, we announced that our board of directors had authorized a $100.0 million repurchase program. On each of October 30, 2018, October 30, 2019, May 7, 2020, February 10, 2021 and February 9, 2023,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$1.0 billion to date ($900.0 million as of December 31, 2022). Although our board of directors authorized the share repurchase program, we are not obligated to repurchase any specific dollar amount or to acquire any specific number of shares. The share repurchase program could affect the price of our common stock, increase volatility and diminish our cash reserves. In addition, it may be suspended or terminated at any time, which may result in a decrease in the price of our common stock. Finally, our share repurchases in 2023 will be subject to a new 1% excise tax introduced in the Inflation Reduction Act. The amount of share repurchases subject to the excise tax will be reduced by the fair market value of any shares issues during the taxable year. We do not expect this provision to have a material impact to our results of operations. During the year ended December 31, 2022, we repurchased 2.5 million shares of our common stock for approximately $317.3 million. As of December 31, 2022, approximately $154.5 million remained available for share repurchases pursuant to our share repurchase program.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and therefore any returns will be limited to the value of our stock.</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4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may delay or prevent an acquisition of us or a change in our management. These provisions include:</w:t>
      </w:r>
    </w:p>
    <w:p>
      <w:pPr>
        <w:spacing w:after="0" w:line="1" w:lineRule="exact"/>
        <w:rPr>
          <w:sz w:val="20"/>
          <w:szCs w:val="20"/>
          <w:color w:val="auto"/>
        </w:rPr>
      </w:pPr>
    </w:p>
    <w:p>
      <w:pPr>
        <w:jc w:val="both"/>
        <w:ind w:left="460" w:hanging="223"/>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our board of directors without stockholder approval and may contain voting, liquidation, dividend and other rights superior to our common stock, which would increase the number of outstanding shares and could thwart a takeover attempt;</w:t>
      </w:r>
    </w:p>
    <w:p>
      <w:pPr>
        <w:spacing w:after="0" w:line="1"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classified board of directors whose members can only be dismissed for cause;</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prohibition on actions by written consent of our stockholders;</w:t>
      </w:r>
    </w:p>
    <w:p>
      <w:pPr>
        <w:spacing w:after="0" w:line="9" w:lineRule="exact"/>
        <w:rPr>
          <w:rFonts w:ascii="Arial" w:cs="Arial" w:eastAsia="Arial" w:hAnsi="Arial"/>
          <w:sz w:val="18"/>
          <w:szCs w:val="18"/>
          <w:color w:val="auto"/>
        </w:rPr>
      </w:pP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limitation on who may call a special meeting of stockholders;</w:t>
      </w:r>
    </w:p>
    <w:p>
      <w:pPr>
        <w:spacing w:after="0" w:line="9" w:lineRule="exact"/>
        <w:rPr>
          <w:rFonts w:ascii="Arial" w:cs="Arial" w:eastAsia="Arial" w:hAnsi="Arial"/>
          <w:sz w:val="18"/>
          <w:szCs w:val="18"/>
          <w:color w:val="auto"/>
        </w:rPr>
      </w:pPr>
    </w:p>
    <w:p>
      <w:pPr>
        <w:ind w:left="460" w:hanging="223"/>
        <w:spacing w:after="0" w:line="250"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establishment of advance notice requirements for nominations for election to our board of directors or for proposing matters that can be acted upon at stockholder meetings; and</w:t>
      </w:r>
    </w:p>
    <w:p>
      <w:pPr>
        <w:ind w:left="460" w:hanging="223"/>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requirement of at least two-thirds of the outstanding capital stock to amend any of the foregoing second through fifth provisions.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of directors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Disruptive technologies could gain wide adoption and supplant our cloud-based IT, security and compliance solutions, thereby weakening our sales and harming our results of operations.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The introduction of products and services embodying new technologies could render our existing solutions obsolete or less attractive to customers. Our business could be harmed if new IT, security and compliance technologies are widely adopted. We may not be able to successfully anticipate or adapt to changing technology or customer requirements on a timely basis, or at all. If we fail to keep up with technological changes or to convince our customers and potential customers of the value of our solutions even in light of new technologies, our business could be harmed and our revenues may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maintain profitability in the future.</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not be able to sustain or increase our growth or maintain profitability in the future. We plan to continue to invest in our infrastructure, new solutions, research and development and sales and marketing, and as a result, we cannot assure you that we will maintain profitability. We may incur losses in the future for a number of reasons, including without limitation, the other risks and uncertainties described in this Annual Report on Form 10-K.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Forecasts of market growth may prove to be inaccurate, and even if the markets in which we compete achieve the forecasted growth, there can be no assurance that our business will grow at similar rates, or at all.</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forecasts of market growth should not be taken as indicative of our future growth.</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“Part I, Item 2 - Management’s 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consolidated financial statements include those related to revenue recognition, accounting for income taxes and stock-based compensation.</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financial accounting standards may cause adverse and unexpected revenue fluctuations and impact our reported results of operations.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prepare our financial statements in accordance with U.S. GAAP. These principles are subject to interpretation by the SEC and various bodies formed to interpret and create appropriate accounting principles. A change in these accounting standards or practices could harm our operating results and could have a significant effect on our reporting of transactions and reported results and may even retroactively affect previously reported transactions. New accounting pronouncements and varying interpretations of accounting pronouncements have occurred and may occur in the future. Changes to existing rules or the questioning of current practices may harm our operating results or require that we make significant changes to our systems, processes and controls or the way we conduct our business.</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our ability to produce timely and accurate financial statements or comply with applicable regulations could be impaired.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public company, we are subject to the reporting requirements of the Securities Exchange Act of 1934, or the Exchange Act, the Sarbanes-Oxley Act of 2002, or the Sarbanes-Oxley Act, and the rules and regulations of the NASDAQ Stock Market. To continue to comply with the requirements of being a public company, we may need to undertake various actions, such as implementing additional internal controls and procedures and hiring additional accounting or internal audit staff.</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internal control over financial reporting is a process designed to provide reasonable assurance regarding the reliability of financial reporting and the preparation of financial statements in accordance with U.S. GAAP. Our current controls and any new controls that we develop may become inadequate because of changes in conditions in our business. Any failure to maintain effective controls, or any difficulties encountered in their improvement, could harm our operating results or cause us to fail to meet our reporting obligations. Any failure to maintain effective internal control over financial reporting also could adversely affect the results of periodic management evaluations regarding the effectiveness of our internal control over financial reporting that we are required to include in our periodic reports we file with the SEC under Section 404 of the Sarbanes-Oxley Act. While we were able to assert in our Annual Report on Form 10-K that our internal control over financial reporting was effective as of December 31, 2022, we cannot predict the outcome of our testing in future periods. If we are unable to assert in any future reporting period that our internal control over financial reporting is effective (or if our independent registered public accounting firm is unable to express an opinion on the effectiveness of our internal controls), investors may lose confidence in our operating results and our stock price could decline. In addition, if we are unable to continue to meet these requirements, we may not be able to remain listed on the NASDAQ Stock Market.</w:t>
      </w:r>
    </w:p>
    <w:p>
      <w:pPr>
        <w:sectPr>
          <w:pgSz w:w="11900" w:h="16838" w:orient="portrait"/>
          <w:cols w:equalWidth="0" w:num="1">
            <w:col w:w="11240"/>
          </w:cols>
          <w:pgMar w:left="320" w:top="125" w:right="339" w:bottom="844"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44"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principal executive offices are located in Foster City, California, where we occupy a 76,922 square-foot facility under a lease expiring on April 30, 2028. We also have 281,787 square feet of office space in Pune, India under a non-cancellable lease expiring in February 2025. We have additional U.S. offices in North Carolina and Washington and other offices in France, Germany, Italy, Japan, the Netherlands, United Arab Emirates and United Kingdom. We believe our facilities are adequate for our current needs and for the foreseeable future.</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operate shared cloud platforms at third-party facilities in Santa Clara, California; Las Vegas, Nevada; Ontario, Canada; Geneva, Switzerland; Pune, India; and Amsterdam, the Netherlands.</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From time to time the Company may become involved in legal proceedings or be subject to claims arising in the ordinary course of our business. As of December 31, 2022, there has not been at least a reasonable possibility that the Company has incurred a material loss from any ongoing legal proceedings, individually or taken together.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 For more information, please refer to Note 9 in the accompanying notes to the consolidated financial statements, which is hereby incorporated by reference.</w:t>
      </w:r>
    </w:p>
    <w:p>
      <w:pPr>
        <w:spacing w:after="0" w:line="16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common stock is listed and traded on the Nasdaq Global Select Market under the symbol “QLYS”.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As of February 14, 2023, there were approximately 52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have never declared or paid any cash dividends on our capital stock. We currently intend to retain any future earnings to fund business development and growth,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information about our equity compensation plans as of December 31, 2022. All outstanding awards relate to our common stock.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 Number of Securities</w:t>
            </w: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(a) Number of</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Future Issuance Under</w:t>
            </w: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Securities to be Issued</w:t>
            </w:r>
          </w:p>
        </w:tc>
        <w:tc>
          <w:tcPr>
            <w:tcW w:w="10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0"/>
              </w:rPr>
              <w:t>(b) Weighted-Average</w:t>
            </w: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Equity Compensation</w:t>
            </w: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Upon Exercise of</w:t>
            </w:r>
          </w:p>
        </w:tc>
        <w:tc>
          <w:tcPr>
            <w:tcW w:w="100" w:type="dxa"/>
            <w:vAlign w:val="bottom"/>
          </w:tcPr>
          <w:p>
            <w:pPr>
              <w:spacing w:after="0"/>
              <w:rPr>
                <w:sz w:val="18"/>
                <w:szCs w:val="18"/>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8"/>
              </w:rPr>
              <w:t>Exercise Price of</w:t>
            </w: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Plans (Excluding</w:t>
            </w:r>
          </w:p>
        </w:tc>
      </w:tr>
      <w:tr>
        <w:trPr>
          <w:trHeight w:val="216"/>
        </w:trPr>
        <w:tc>
          <w:tcPr>
            <w:tcW w:w="4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 Options,</w:t>
            </w:r>
          </w:p>
        </w:tc>
        <w:tc>
          <w:tcPr>
            <w:tcW w:w="100" w:type="dxa"/>
            <w:vAlign w:val="bottom"/>
          </w:tcPr>
          <w:p>
            <w:pPr>
              <w:spacing w:after="0"/>
              <w:rPr>
                <w:sz w:val="18"/>
                <w:szCs w:val="18"/>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Outstanding Options,</w:t>
            </w:r>
          </w:p>
        </w:tc>
        <w:tc>
          <w:tcPr>
            <w:tcW w:w="2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Securities Reflected in</w:t>
            </w:r>
          </w:p>
        </w:tc>
      </w:tr>
      <w:tr>
        <w:trPr>
          <w:trHeight w:val="234"/>
        </w:trPr>
        <w:tc>
          <w:tcPr>
            <w:tcW w:w="464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00" w:type="dxa"/>
            <w:vAlign w:val="bottom"/>
          </w:tcPr>
          <w:p>
            <w:pPr>
              <w:spacing w:after="0"/>
              <w:rPr>
                <w:sz w:val="20"/>
                <w:szCs w:val="20"/>
                <w:color w:val="auto"/>
              </w:rPr>
            </w:pPr>
          </w:p>
        </w:tc>
        <w:tc>
          <w:tcPr>
            <w:tcW w:w="2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Warrants and Rights</w:t>
            </w:r>
          </w:p>
        </w:tc>
        <w:tc>
          <w:tcPr>
            <w:tcW w:w="100" w:type="dxa"/>
            <w:vAlign w:val="bottom"/>
          </w:tcPr>
          <w:p>
            <w:pPr>
              <w:spacing w:after="0"/>
              <w:rPr>
                <w:sz w:val="20"/>
                <w:szCs w:val="20"/>
                <w:color w:val="auto"/>
              </w:rPr>
            </w:pPr>
          </w:p>
        </w:tc>
        <w:tc>
          <w:tcPr>
            <w:tcW w:w="2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Warrants and Rights</w:t>
            </w:r>
          </w:p>
        </w:tc>
        <w:tc>
          <w:tcPr>
            <w:tcW w:w="2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Column (a)</w:t>
            </w:r>
          </w:p>
        </w:tc>
      </w:tr>
      <w:tr>
        <w:trPr>
          <w:trHeight w:val="210"/>
        </w:trPr>
        <w:tc>
          <w:tcPr>
            <w:tcW w:w="4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2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25"/>
                <w:szCs w:val="25"/>
                <w:color w:val="auto"/>
                <w:vertAlign w:val="superscript"/>
              </w:rPr>
              <w:t>(1)</w:t>
            </w:r>
          </w:p>
        </w:tc>
        <w:tc>
          <w:tcPr>
            <w:tcW w:w="2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2,990(2)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87.59(3)</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2,906(4)</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w w:val="96"/>
              </w:rPr>
              <w:t>Equity compensation plans not approved by security holders</w:t>
            </w:r>
          </w:p>
        </w:tc>
        <w:tc>
          <w:tcPr>
            <w:tcW w:w="100" w:type="dxa"/>
            <w:vAlign w:val="bottom"/>
          </w:tcPr>
          <w:p>
            <w:pPr>
              <w:spacing w:after="0"/>
              <w:rPr>
                <w:sz w:val="20"/>
                <w:szCs w:val="20"/>
                <w:color w:val="auto"/>
              </w:rPr>
            </w:pPr>
          </w:p>
        </w:tc>
        <w:tc>
          <w:tcPr>
            <w:tcW w:w="22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8"/>
          <w:szCs w:val="18"/>
          <w:color w:val="auto"/>
        </w:rPr>
        <w:t>Includes our Restated 2012 Equity Incentive Plan (Restated 2012 Plan) and 2021 Employee Stock Purchase Plan (2021 ESPP).</w:t>
      </w:r>
    </w:p>
    <w:p>
      <w:pPr>
        <w:spacing w:after="0" w:line="23"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8"/>
          <w:szCs w:val="18"/>
          <w:color w:val="auto"/>
        </w:rPr>
        <w:t>Consists of 1,183 thousand restricted stock units and 1,807 thousand shares underlying stock options.</w:t>
      </w:r>
    </w:p>
    <w:p>
      <w:pPr>
        <w:spacing w:after="0" w:line="9" w:lineRule="exact"/>
        <w:rPr>
          <w:rFonts w:ascii="Arial" w:cs="Arial" w:eastAsia="Arial" w:hAnsi="Arial"/>
          <w:sz w:val="14"/>
          <w:szCs w:val="14"/>
          <w:color w:val="auto"/>
        </w:rPr>
      </w:pPr>
    </w:p>
    <w:p>
      <w:pPr>
        <w:ind w:left="220" w:hanging="212"/>
        <w:spacing w:after="0"/>
        <w:tabs>
          <w:tab w:leader="none" w:pos="220" w:val="left"/>
        </w:tabs>
        <w:numPr>
          <w:ilvl w:val="0"/>
          <w:numId w:val="18"/>
        </w:numPr>
        <w:rPr>
          <w:rFonts w:ascii="Arial" w:cs="Arial" w:eastAsia="Arial" w:hAnsi="Arial"/>
          <w:sz w:val="14"/>
          <w:szCs w:val="14"/>
          <w:color w:val="auto"/>
        </w:rPr>
      </w:pPr>
      <w:r>
        <w:rPr>
          <w:rFonts w:ascii="Arial" w:cs="Arial" w:eastAsia="Arial" w:hAnsi="Arial"/>
          <w:sz w:val="18"/>
          <w:szCs w:val="18"/>
          <w:color w:val="auto"/>
        </w:rPr>
        <w:t>The weighted average exercise price is calculated based solely on outstanding stock options.</w:t>
      </w:r>
    </w:p>
    <w:p>
      <w:pPr>
        <w:spacing w:after="0" w:line="9" w:lineRule="exact"/>
        <w:rPr>
          <w:rFonts w:ascii="Arial" w:cs="Arial" w:eastAsia="Arial" w:hAnsi="Arial"/>
          <w:sz w:val="14"/>
          <w:szCs w:val="14"/>
          <w:color w:val="auto"/>
        </w:rPr>
      </w:pPr>
    </w:p>
    <w:p>
      <w:pPr>
        <w:ind w:right="20" w:firstLine="8"/>
        <w:spacing w:after="0" w:line="260" w:lineRule="auto"/>
        <w:tabs>
          <w:tab w:leader="none" w:pos="226" w:val="left"/>
        </w:tabs>
        <w:numPr>
          <w:ilvl w:val="0"/>
          <w:numId w:val="18"/>
        </w:numPr>
        <w:rPr>
          <w:rFonts w:ascii="Arial" w:cs="Arial" w:eastAsia="Arial" w:hAnsi="Arial"/>
          <w:sz w:val="14"/>
          <w:szCs w:val="14"/>
          <w:color w:val="auto"/>
        </w:rPr>
      </w:pPr>
      <w:r>
        <w:rPr>
          <w:rFonts w:ascii="Arial" w:cs="Arial" w:eastAsia="Arial" w:hAnsi="Arial"/>
          <w:sz w:val="18"/>
          <w:szCs w:val="18"/>
          <w:color w:val="auto"/>
        </w:rPr>
        <w:t>Consists of 2,351 thousand shares reserved for issuance under our Restated 2012 Plan and 555 thousand shares reserved for issuance under our 2021 ESPP.</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following graph shows a comparison from December 31, 2017 through December 31, 2022 of the cumulative total return for an investment of $100 (and the reinvestment of dividends) in our common stock, the NASDAQ Global Select Market Composite Index and the NASDAQ Computer Index and the S&amp;P 500 Index. Such returns are based on historical results and are not intended to suggest future performance.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COMPARISON OF CUMULATIVE TOTAL RETURN*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Among Qualys, Inc., NASDAQ-Global Select Market Composite Index, and NASDAQ Computer Index and S&amp;P 500 Index</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$100 invested on December 31, 2017 in stock or index, including reinvestment of dividends. Fiscal 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151765</wp:posOffset>
            </wp:positionV>
            <wp:extent cx="5357495" cy="3437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57495" cy="3437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13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34"/>
        </w:trPr>
        <w:tc>
          <w:tcPr>
            <w:tcW w:w="3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Qualys, Inc.</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125.93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140.47</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231.20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189.10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NASDAQ Global Select Market</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96.32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130.62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186.83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230.03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155.00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NASDAQ Computer</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144.80</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217.17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192.28</w:t>
            </w:r>
          </w:p>
        </w:tc>
      </w:t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S&amp;P 500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100.00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95.62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125.72</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148.85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191.58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156.88</w:t>
            </w:r>
          </w:p>
        </w:tc>
      </w:tr>
    </w:tbl>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information on the above Stock Price Performance Graph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repurchases of common stock during the three months ended December 31, 2022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of Shares</w:t>
            </w: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5"/>
              </w:rPr>
              <w:t>Purchased as</w:t>
            </w:r>
          </w:p>
        </w:tc>
        <w:tc>
          <w:tcPr>
            <w:tcW w:w="14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9"/>
              </w:rPr>
              <w:t>of Shares that</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Part of</w:t>
            </w:r>
          </w:p>
        </w:tc>
        <w:tc>
          <w:tcPr>
            <w:tcW w:w="1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Publicly</w:t>
            </w:r>
          </w:p>
        </w:tc>
        <w:tc>
          <w:tcPr>
            <w:tcW w:w="1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Purchased</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Total Number</w:t>
            </w:r>
          </w:p>
        </w:tc>
        <w:tc>
          <w:tcPr>
            <w:tcW w:w="132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under the</w:t>
            </w:r>
          </w:p>
        </w:tc>
      </w:tr>
      <w:tr>
        <w:trPr>
          <w:trHeight w:val="216"/>
        </w:trPr>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Paid per</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Plan or</w:t>
            </w:r>
          </w:p>
        </w:tc>
        <w:tc>
          <w:tcPr>
            <w:tcW w:w="1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Plan or</w:t>
            </w:r>
          </w:p>
        </w:tc>
      </w:tr>
      <w:tr>
        <w:trPr>
          <w:trHeight w:val="234"/>
        </w:trPr>
        <w:tc>
          <w:tcPr>
            <w:tcW w:w="5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Share</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Program (1)</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Program</w:t>
            </w:r>
          </w:p>
        </w:tc>
        <w:tc>
          <w:tcPr>
            <w:tcW w:w="320" w:type="dxa"/>
            <w:vAlign w:val="bottom"/>
          </w:tcPr>
          <w:p>
            <w:pPr>
              <w:spacing w:after="0"/>
              <w:rPr>
                <w:sz w:val="20"/>
                <w:szCs w:val="20"/>
                <w:color w:val="auto"/>
              </w:rPr>
            </w:pPr>
          </w:p>
        </w:tc>
      </w:tr>
      <w:tr>
        <w:trPr>
          <w:trHeight w:val="209"/>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October 1, 2022 - October 31, 2022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231,057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136.68</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227,405,137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November 1, 2022 - November 30, 2022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285,100</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121.98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285,100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192,628,215</w:t>
            </w:r>
          </w:p>
        </w:tc>
      </w:tr>
      <w:tr>
        <w:trPr>
          <w:trHeight w:val="216"/>
        </w:trPr>
        <w:tc>
          <w:tcPr>
            <w:tcW w:w="5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1, 2022 - December 31, 2022</w:t>
            </w:r>
          </w:p>
        </w:tc>
        <w:tc>
          <w:tcPr>
            <w:tcW w:w="1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331,441</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115.09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331,441</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4"/>
              </w:rPr>
              <w:t xml:space="preserve">154,481,340 </w:t>
            </w:r>
            <w:r>
              <w:rPr>
                <w:rFonts w:ascii="Arial" w:cs="Arial" w:eastAsia="Arial" w:hAnsi="Arial"/>
                <w:sz w:val="18"/>
                <w:szCs w:val="18"/>
                <w:b w:val="1"/>
                <w:bCs w:val="1"/>
                <w:color w:val="auto"/>
                <w:w w:val="94"/>
              </w:rPr>
              <w:t>(2)</w:t>
            </w:r>
          </w:p>
        </w:tc>
      </w:tr>
      <w:tr>
        <w:trPr>
          <w:trHeight w:val="209"/>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847,598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847,598</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13"/>
        <w:spacing w:after="0" w:line="267" w:lineRule="auto"/>
        <w:tabs>
          <w:tab w:leader="none" w:pos="667"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February 5, 2018, our board of directors authorized a $100.0 million share repurchase program, which was announced on February 12, 2018. On each of October 30, 2018, October 30, 2019, May 7, 2020 and February 10, 2021, we announced that our board of directors had authorized an increase of $100.0 million, and on each of November 3, 2021 and May 4, 2022, we announced that our board of directors had authorized an increase of $200.0 million to the share repurchase program, resulting in an aggregate authorization of $900.0 million as of December 31, 2022. Shares may be repurchased from time to time on the open market in accordance with Rule 10b-18 of the Exchange Act of 1934. We have entered into a pre-set trading plan adopted in accordance with Rule 10b5-1 under the Exchange Act to effect repurchases under our share repurchase program. All share repurchases have been made using cash resources. Our share repurchase program does not have an expiration date.</w:t>
      </w:r>
    </w:p>
    <w:p>
      <w:pPr>
        <w:spacing w:after="0" w:line="4" w:lineRule="exact"/>
        <w:rPr>
          <w:rFonts w:ascii="Arial" w:cs="Arial" w:eastAsia="Arial" w:hAnsi="Arial"/>
          <w:sz w:val="17"/>
          <w:szCs w:val="17"/>
          <w:color w:val="auto"/>
        </w:rPr>
      </w:pPr>
    </w:p>
    <w:p>
      <w:pPr>
        <w:ind w:left="660" w:hanging="247"/>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Does not reflect the $100.0 million increase to our share repurchase program announced on February 9, 2023.</w:t>
      </w: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i w:val="1"/>
          <w:iCs w:val="1"/>
          <w:color w:val="auto"/>
        </w:rPr>
        <w:t>You should read the following discussion in conjunction with our consolidated financial statements and the related notes included elsewhere in this Annual Report on Form 10-K. You should carefully review and consider the information regarding our financial condition and results of operations set forth under Part I-Item 7 (Management’s Discussion and Analysis of Financial Condition and Results of Operations) in our Annual Report on Form 10-K for the fiscal year ended December 31, 2021, filed with the SEC on February 22, 2022, for an understanding of our results of operations and liquidity discussions and analysis comparing fiscal year 2021 to fiscal year 2020, which information is hereby incorporated by reference. In addition to historical information, this discussion contains forward-looking statements that involve risks and uncertainties that could cause our actual results to differ materially from our expectations, as discussed in "Forward-Looking Statements" in Part I of this Annual Report on Form 10-K. Factors that could cause such differences include, but are not limited to, those described in the section titled "Risk Factors" and elsewhere in this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We are a pioneer and leading provider of a cloud-based platform delivering IT, security and compliance solutions that enable organizations to identify security risks to their IT infrastructures, help protect their IT systems and applications from ever-evolving cyber-attacks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containers and serverless IT models, and the proliferation of geographically dispersed IT assets. Our integrated suite of IT, security and compliance solutions delivered on our Qualys Cloud Platform enables our customers to identify and manage their IT assets, collect and analyze large amounts of IT security data, discover and prioritize vulnerabilities, recommend and implement remediation actions and verify the implementation of such actions. Organizations use our integrated suite of solutions to cost-effectively obtain a unified view of their IT asset inventory as well as security and compliance posture across globally-distributed IT infrastructures as our solution offers a single platform for information technology, information security, application security, endpoint, developer security and cloud teams.</w:t>
      </w:r>
    </w:p>
    <w:p>
      <w:pPr>
        <w:spacing w:after="0" w:line="18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were founded and incorporated in December 1999 with a vision of transforming the way organizations secure and protect their IT infrastructure and applications and initially launched our first cloud solution, Vulnerability Management (VM), in 2000. As VM gained acceptance, we introduced additional solutions to help customers manage increasing IT, security and compliance requirements. Today, the suite of solutions that we offer on our cloud platform and refer to as the Qualys Cloud Apps helps our customers protect a range of assets across on-premises, endpoints, cloud, containers, and mobile environments. These Cloud Apps address and include:</w:t>
      </w:r>
    </w:p>
    <w:p>
      <w:pPr>
        <w:spacing w:after="0" w:line="188" w:lineRule="exact"/>
        <w:rPr>
          <w:sz w:val="20"/>
          <w:szCs w:val="20"/>
          <w:color w:val="auto"/>
        </w:rPr>
      </w:pPr>
    </w:p>
    <w:p>
      <w:pPr>
        <w:ind w:left="1140" w:right="20" w:hanging="322"/>
        <w:spacing w:after="0" w:line="269" w:lineRule="auto"/>
        <w:tabs>
          <w:tab w:leader="none" w:pos="1140"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 xml:space="preserve">IT Security: </w:t>
      </w:r>
      <w:r>
        <w:rPr>
          <w:rFonts w:ascii="Arial" w:cs="Arial" w:eastAsia="Arial" w:hAnsi="Arial"/>
          <w:sz w:val="17"/>
          <w:szCs w:val="17"/>
          <w:color w:val="auto"/>
        </w:rPr>
        <w:t>Vulnerability Management (VM), Vulnerability Management, Detection and Response (VMDR), Threat Protection (TP),</w:t>
      </w:r>
      <w:r>
        <w:rPr>
          <w:rFonts w:ascii="Arial" w:cs="Arial" w:eastAsia="Arial" w:hAnsi="Arial"/>
          <w:sz w:val="17"/>
          <w:szCs w:val="17"/>
          <w:i w:val="1"/>
          <w:iCs w:val="1"/>
          <w:color w:val="auto"/>
        </w:rPr>
        <w:t xml:space="preserve"> </w:t>
      </w:r>
      <w:r>
        <w:rPr>
          <w:rFonts w:ascii="Arial" w:cs="Arial" w:eastAsia="Arial" w:hAnsi="Arial"/>
          <w:sz w:val="17"/>
          <w:szCs w:val="17"/>
          <w:color w:val="auto"/>
        </w:rPr>
        <w:t>Continuous Monitoring (CM), Patch Management (PM), Multi-Vector Endpoint Detection and Response (EDR), Certificate Assessment (CRA), SaaS Detection and Response (SaaSDR), Secure Enterprise Mobility (SEM), Custom Assessment and Remediation (CAR), Context Extended Detection and Response (XDR), Network Detection and Response (NDR);</w:t>
      </w:r>
    </w:p>
    <w:p>
      <w:pPr>
        <w:spacing w:after="0" w:line="1" w:lineRule="exact"/>
        <w:rPr>
          <w:rFonts w:ascii="Arial" w:cs="Arial" w:eastAsia="Arial" w:hAnsi="Arial"/>
          <w:sz w:val="17"/>
          <w:szCs w:val="17"/>
          <w:color w:val="auto"/>
        </w:rPr>
      </w:pPr>
    </w:p>
    <w:p>
      <w:pPr>
        <w:ind w:left="1140" w:right="60" w:hanging="322"/>
        <w:spacing w:after="0" w:line="250" w:lineRule="auto"/>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Compliance: </w:t>
      </w:r>
      <w:r>
        <w:rPr>
          <w:rFonts w:ascii="Arial" w:cs="Arial" w:eastAsia="Arial" w:hAnsi="Arial"/>
          <w:sz w:val="18"/>
          <w:szCs w:val="18"/>
          <w:color w:val="auto"/>
        </w:rPr>
        <w:t>Policy Compliance (PC), Security Configuration Assessment (SCA), PCI Compliance (PCI), File Integrity Monitoring (FIM),</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 Assessment Questionnaire (SAQ), Out of-Band Configuration Assessment (OCA);</w:t>
      </w: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Web Application Security: </w:t>
      </w:r>
      <w:r>
        <w:rPr>
          <w:rFonts w:ascii="Arial" w:cs="Arial" w:eastAsia="Arial" w:hAnsi="Arial"/>
          <w:sz w:val="18"/>
          <w:szCs w:val="18"/>
          <w:color w:val="auto"/>
        </w:rPr>
        <w:t>Web Application Scanning (WAS), Web Application Firewall (WAF);</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Asset Management: </w:t>
      </w:r>
      <w:r>
        <w:rPr>
          <w:rFonts w:ascii="Arial" w:cs="Arial" w:eastAsia="Arial" w:hAnsi="Arial"/>
          <w:sz w:val="18"/>
          <w:szCs w:val="18"/>
          <w:color w:val="auto"/>
        </w:rPr>
        <w:t>Global AssetView (GAV), Cybersecurity Asset Management (CSAM), Certificate Inventory (CRI); and</w:t>
      </w:r>
    </w:p>
    <w:p>
      <w:pPr>
        <w:spacing w:after="0" w:line="9" w:lineRule="exact"/>
        <w:rPr>
          <w:rFonts w:ascii="Arial" w:cs="Arial" w:eastAsia="Arial" w:hAnsi="Arial"/>
          <w:sz w:val="18"/>
          <w:szCs w:val="18"/>
          <w:color w:val="auto"/>
        </w:rPr>
      </w:pPr>
    </w:p>
    <w:p>
      <w:pPr>
        <w:ind w:left="1140" w:hanging="322"/>
        <w:spacing w:after="0"/>
        <w:tabs>
          <w:tab w:leader="none" w:pos="114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Cloud/Container Security: </w:t>
      </w:r>
      <w:r>
        <w:rPr>
          <w:rFonts w:ascii="Arial" w:cs="Arial" w:eastAsia="Arial" w:hAnsi="Arial"/>
          <w:sz w:val="18"/>
          <w:szCs w:val="18"/>
          <w:color w:val="auto"/>
        </w:rPr>
        <w:t>Cloud Inventory (CI), Cloud Security Assessment (CSA), Container Security (CS).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provide our solutions through a software-as-a-service model, primarily with renewable annual subscriptions. These subscriptions require customers to pay a fee in order to access each of our cloud solutions. We generally invoice our customers for the entire subscription amount at the start of the subscription term, and the invoiced amounts are treated as deferred revenues and are recognized ratably over the term of each subscription. We continue to experience revenue growth from our existing customers as they renew and purchase additional subscriptions, as well as from the addition of new customers to our cloud platform.</w:t>
      </w:r>
    </w:p>
    <w:p>
      <w:pPr>
        <w:spacing w:after="0" w:line="18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market and sell our solutions to enterprises, government entities and small and medium-sized businesses across a broad range of industries, including education, financial services, government, healthcare, insurance, manufacturing, media, retail, technology and utilities. In 2022, 2021 and 2020, 60%, 61% and 63%, respectively, of our revenues were derived from customers in the United States based on our customers' billing addresses. We sell our solutions to enterprises and government entities primarily through our field sales force and to small and medium-sized businesses through our inside sales force. We generate a significant portion of sales through our channel partners, including managed security service providers, value-added resellers and consulting firms in the United States and internationally.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Impacts of Current Macroeconomic Environment</w:t>
      </w:r>
    </w:p>
    <w:p>
      <w:pPr>
        <w:spacing w:after="0" w:line="200" w:lineRule="exact"/>
        <w:rPr>
          <w:sz w:val="20"/>
          <w:szCs w:val="20"/>
          <w:color w:val="auto"/>
        </w:rPr>
      </w:pPr>
    </w:p>
    <w:p>
      <w:pPr>
        <w:spacing w:after="0" w:line="241" w:lineRule="exact"/>
        <w:rPr>
          <w:sz w:val="20"/>
          <w:szCs w:val="20"/>
          <w:color w:val="auto"/>
        </w:rPr>
      </w:pPr>
    </w:p>
    <w:p>
      <w:pPr>
        <w:ind w:right="40" w:firstLine="450"/>
        <w:spacing w:after="0" w:line="257" w:lineRule="auto"/>
        <w:rPr>
          <w:sz w:val="20"/>
          <w:szCs w:val="20"/>
          <w:color w:val="auto"/>
        </w:rPr>
      </w:pPr>
      <w:r>
        <w:rPr>
          <w:rFonts w:ascii="Arial" w:cs="Arial" w:eastAsia="Arial" w:hAnsi="Arial"/>
          <w:sz w:val="18"/>
          <w:szCs w:val="18"/>
          <w:color w:val="auto"/>
        </w:rPr>
        <w:t>The uncertainty surrounding macroeconomic factors in the U.S. and globally characterized by COVID-19, the supply chain environment, inflationary pressure, rising interest rates, labor shortages, significant volatility of global markets and geopolitical conflicts have had and could in the future have a material adverse effect on our long-term business and could lead to further economic disruption and expose us to greater risk as our current and potential customers may reduce or eliminate their overall spending on IT security. We will continue to evaluate the nature and extent of the impact to our business, financial position, results of operations and 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derive revenues from the sale of subscriptions to our IT, security and compliance solutions, which are delivered on our cloud platform. Subscriptions to our solutions allow customers to access our cloud-based IT, security and compliance solutions through a unified, web-based interface. Customers generally enter into one-year renewable subscriptions. The subscription fee entitles the customer to an unlimited number of scans for a specified number of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In some cases, we also provide certain computer equipment used to extend our Qualys Cloud Platform into our customers' private cloud environment. Customers are required to return physical scanner appliances and computer equipment if they do not renew their subscriptions.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typically invoice our customers for the entire subscription amount at the start of the subscription term. Invoiced amounts are reflected on our consolidated balance sheets as accounts receivable or as cash when collected, and as deferred revenues until earned and recognized ratably over the subscription period. Accordingly, deferred revenues represent the amount billed to customers that has not yet been earned or recognized as revenues, pursuant to subscriptions entered into in current and prior periods.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Cost of revenues consists primarily of personnel expenses, comprised of salaries, benefits, performance-based compensation and stock-based compensation, for employees who operate our shared cloud platforms and provide support services to our customers. Other expenses include depreciation of shared cloud platform equipment, physical scanner appliances and computer hardware provided to certain customers as part of their subscriptions, expenses related to the use of third-party shared cloud platforms and cloud infrastructures, amortization of software and license fees, amortization of intangibles related to acquisitions, maintenance support, fees paid to contractors who supplement or support our operations center personnel and overhead allocations. We expect to continue to make capital investments to expand and support our shared cloud platform and cloud infrastructure operations, which will increase the cost of revenues in absolute dollars.</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Research and development expenses consist primarily of personnel expenses, comprised of salaries, benefits, performance-based compensation and stock-based compensation, for our research and development teams. Other expenses include third-party contractor fees, software and license fees, amortization of intangibles related to acquisitions and overhead allocations. We expect to continue to devote resources to research and development in an effort to continuously improve our existing solutions as well as develop new solutions and capabilities and expect that research and development expenses will increase in absolute dollars.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software licenses and overhead allocations. Sales commissions related to new business and upsells are capitalized as an asset. We amortize the capitalized commission cost as a selling expense on a straight-line basis over a period of five years. We expense sales commissions related to contract renewals as incurred.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or the participation in new marketing events or programs, and the rate at which these generate incremental revenues, may affect our future operating results. We expect to continue to invest in additional sales personnel worldwide and also in more marketing programs to support new solutions on our platform, which will increase sales and marketing expenses in absolute dollars.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General and administrative expenses consist primarily of personnel expenses, comprised of salaries, benefits, performance-based compensation and stock-based compensation for our executive, finance and accounting, IT, legal and human resources teams, as well as professional services, fees, software licenses and overhead allocations. We expect that general and administrative expenses will increase in absolute dollars, as we continue to add personnel and incur professional services to support our growth and compliance with legal requirements.</w:t>
      </w:r>
    </w:p>
    <w:p>
      <w:pPr>
        <w:spacing w:after="0" w:line="1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other income (expense), net consists primarily of interest and investment income from our short-term and long-term marketable securities and foreign exchange gains and losses, the majority of which result from fluctuations between the U.S. Dollar and the Euro, British Pound ("GBP") and Indian Rupee ("INR").</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subject to federal, state and foreign income taxes for jurisdictions in which we operate, and we use estimates in determining our income tax provision and deferred tax assets. Earnings from our non-U.S. activities are subject to income taxes in the local countries at rates which were generally similar to the U.S. statutory tax 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sets forth selected consolidated statements of operations data for each of the periods presented as a percentage of revenues: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0" w:type="dxa"/>
            <w:vAlign w:val="bottom"/>
            <w:gridSpan w:val="9"/>
          </w:tcPr>
          <w:p>
            <w:pPr>
              <w:jc w:val="right"/>
              <w:ind w:right="7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w w:val="89"/>
              </w:rPr>
              <w:t>2022</w:t>
            </w:r>
          </w:p>
        </w:tc>
        <w:tc>
          <w:tcPr>
            <w:tcW w:w="4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c>
          <w:tcPr>
            <w:tcW w:w="16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other income, net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gridSpan w:val="2"/>
          </w:tcPr>
          <w:p>
            <w:pPr>
              <w:jc w:val="right"/>
              <w:ind w:right="19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0"/>
        </w:trPr>
        <w:tc>
          <w:tcPr>
            <w:tcW w:w="5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r>
      <w:tr>
        <w:trPr>
          <w:trHeight w:val="413"/>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Comparison of Years Ended December 31, 2022 and 2021</w:t>
            </w:r>
          </w:p>
        </w:tc>
        <w:tc>
          <w:tcPr>
            <w:tcW w:w="240" w:type="dxa"/>
            <w:vAlign w:val="bottom"/>
            <w:tcBorders>
              <w:top w:val="single" w:sz="8" w:color="CCEEFF"/>
            </w:tcBorders>
          </w:tcPr>
          <w:p>
            <w:pPr>
              <w:spacing w:after="0"/>
              <w:rPr>
                <w:sz w:val="24"/>
                <w:szCs w:val="24"/>
                <w:color w:val="auto"/>
              </w:rPr>
            </w:pPr>
          </w:p>
        </w:tc>
        <w:tc>
          <w:tcPr>
            <w:tcW w:w="88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32"/>
        </w:trPr>
        <w:tc>
          <w:tcPr>
            <w:tcW w:w="59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8"/>
              </w:rPr>
              <w:t>December 31,</w:t>
            </w:r>
          </w:p>
        </w:tc>
        <w:tc>
          <w:tcPr>
            <w:tcW w:w="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w w:val="87"/>
              </w:rPr>
              <w:t>Change</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5"/>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489,723</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411,172</w:t>
            </w:r>
          </w:p>
        </w:tc>
        <w:tc>
          <w:tcPr>
            <w:tcW w:w="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78,551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20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Revenues increased by $78.6 million in 2022 compared to 2021, driven by increased demand for our subscription services by our end customers. Of the total increase of $78.6 million in revenue from 2021 to 2022, 80% was from revenues from customers existing at or prior to December 31, 2021, and the remaining 20% was from new customers added in 2022. Of the total increase of $78.6 million, 51% was from customers in the United States and the remaining 49% was from customers in foreign countries. In 2022, 58% of total revenue was direct and 42% of total revenue was through partners. Of the total increase of $78.6 million, 53% was direct and the remaining 47% was from partners. With our strong market position driving further demand for our solutions, we expect revenue growth from new and existing customers to continue.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5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53"/>
        </w:trPr>
        <w:tc>
          <w:tcPr>
            <w:tcW w:w="598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Cost of 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102,788</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89,439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Cost of revenues increased by $13.3 million in 2022 compared to 2021, due to an increase in personnel costs of $9.5 million driven by additional employees hired to support the growth of our business, an increase in shared cloud platform and cloud costs of $2.0 million to meet growing demand and an increase in software license cost of $1.8 million.</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Research and Development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101,186</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81,289</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19,897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Research and development expenses increased by $19.9 million in 2022 compared to 2021, due to an increase in personnel costs of $18.3 million primarily driven by additional employees hired to support the growth of our business, an increase in software license cost of $1.0 million and an increase in travel and entertainment expense of $0.6 million due to easing of COVID-19 related travel restrictions.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Sales and Marketing Expenses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10"/>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97,221</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76,487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20,734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Sales and marketing expenses increased by $20.7 million in 2022 compared to 2021, due to an increase in personnel costs of $9.9 million driven by additional employees hired to support the growth of our business, an increase in trade show and other advertising related costs of $5.7 million, an increase of consulting expense of $2.3 million, an increase of travel and entertainment expense of $1.8 million associated with the easing of COVID-19 related travel restrictions and an increase in software license cost of $1.0 million.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453"/>
        </w:trPr>
        <w:tc>
          <w:tcPr>
            <w:tcW w:w="594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General and Administrative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14"/>
        </w:trPr>
        <w:tc>
          <w:tcPr>
            <w:tcW w:w="12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gridSpan w:val="4"/>
          </w:tcPr>
          <w:p>
            <w:pPr>
              <w:jc w:val="center"/>
              <w:ind w:left="45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4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57,981</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76,274</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(18,293)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General and administrative expenses decreased by $18.3 million in 2022 compared to 2021, due to a decrease in stock-based compensation expense of $27.3 million related to accelerated vesting of our former chief executive officer's grants upon termination due to disability in 2021, offset by an increase in personnel costs of $3.8 million driven by additional employees hired to support the growth of our business, an increase in software license cost of $1.0 million, an increase in consulting expense of $1.9 million, an increase in legal accrual of $1.5 million and an increase of travel and entertainment expense of $0.8 million associated with the easing of COVID-19 related travel restrictions.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Total other income, net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income, net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3,153</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1,714</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1,439</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w:t>
            </w: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Total other income, net increased by $1.4 million in 2022 compared to 2021, due to an increase in interest income of $2.9 million driven by continued interest rate increase in 2022, offset by an increase in foreign exchange loss of $1.5 million.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Income tax provision</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4"/>
          </w:tcPr>
          <w:p>
            <w:pPr>
              <w:jc w:val="center"/>
              <w:ind w:left="43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20" w:type="dxa"/>
            <w:vAlign w:val="bottom"/>
            <w:gridSpan w:val="6"/>
          </w:tcPr>
          <w:p>
            <w:pPr>
              <w:jc w:val="center"/>
              <w:ind w:right="370"/>
              <w:spacing w:after="0"/>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20"/>
                <w:szCs w:val="20"/>
                <w:color w:val="auto"/>
              </w:rPr>
            </w:pPr>
          </w:p>
        </w:tc>
        <w:tc>
          <w:tcPr>
            <w:tcW w:w="1360" w:type="dxa"/>
            <w:vAlign w:val="bottom"/>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w w:val="91"/>
              </w:rPr>
              <w:t>(in thousands,</w:t>
            </w: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w w:val="74"/>
              </w:rPr>
              <w:t>except percentages)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25,708</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18,437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7,271</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Income tax provision increased by $7.3 million in 2022 compared to 2021, primarily due to an increase in pre-tax income and the effects of a tax law change related to mandatory capitalization of research and development expenses starting January 1, 2022, offset by an increase in excess tax benefits arising from stock-based compensation.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Key Operating and Non-GAAP Financial Performance Metrics</w:t>
      </w:r>
    </w:p>
    <w:p>
      <w:pPr>
        <w:spacing w:after="0" w:line="229" w:lineRule="exact"/>
        <w:rPr>
          <w:sz w:val="20"/>
          <w:szCs w:val="20"/>
          <w:color w:val="auto"/>
        </w:rPr>
      </w:pPr>
    </w:p>
    <w:p>
      <w:pPr>
        <w:ind w:left="40" w:firstLine="405"/>
        <w:spacing w:after="0" w:line="342" w:lineRule="auto"/>
        <w:rPr>
          <w:sz w:val="20"/>
          <w:szCs w:val="20"/>
          <w:color w:val="auto"/>
        </w:rPr>
      </w:pPr>
      <w:r>
        <w:rPr>
          <w:rFonts w:ascii="Arial" w:cs="Arial" w:eastAsia="Arial" w:hAnsi="Arial"/>
          <w:sz w:val="16"/>
          <w:szCs w:val="16"/>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Net Dollar Expansion Rate</w:t>
      </w:r>
    </w:p>
    <w:p>
      <w:pPr>
        <w:spacing w:after="0" w:line="225" w:lineRule="exact"/>
        <w:rPr>
          <w:sz w:val="20"/>
          <w:szCs w:val="20"/>
          <w:color w:val="auto"/>
        </w:rPr>
      </w:pPr>
    </w:p>
    <w:p>
      <w:pPr>
        <w:jc w:val="both"/>
        <w:ind w:left="40" w:right="200" w:firstLine="324"/>
        <w:spacing w:after="0" w:line="263" w:lineRule="auto"/>
        <w:rPr>
          <w:sz w:val="20"/>
          <w:szCs w:val="20"/>
          <w:color w:val="auto"/>
        </w:rPr>
      </w:pPr>
      <w:r>
        <w:rPr>
          <w:rFonts w:ascii="Arial" w:cs="Arial" w:eastAsia="Arial" w:hAnsi="Arial"/>
          <w:sz w:val="18"/>
          <w:szCs w:val="18"/>
          <w:color w:val="auto"/>
        </w:rPr>
        <w:t>We evaluate our ability to retain and grow existing customers by assessing our net dollar expansion rate on a last twelve months, or LTM, basis. This metric is used to appropriately manage resources and customer retention and expansion. We calculate the net dollar expansion rate on a foreign exchange neutral basis by dividing a numerator by a denominator, each defined as follows:</w:t>
      </w:r>
    </w:p>
    <w:p>
      <w:pPr>
        <w:spacing w:after="0" w:line="184" w:lineRule="exact"/>
        <w:rPr>
          <w:sz w:val="20"/>
          <w:szCs w:val="20"/>
          <w:color w:val="auto"/>
        </w:rPr>
      </w:pPr>
    </w:p>
    <w:p>
      <w:pPr>
        <w:jc w:val="both"/>
        <w:ind w:firstLine="414"/>
        <w:spacing w:after="0" w:line="286" w:lineRule="auto"/>
        <w:rPr>
          <w:sz w:val="20"/>
          <w:szCs w:val="20"/>
          <w:color w:val="auto"/>
        </w:rPr>
      </w:pPr>
      <w:r>
        <w:rPr>
          <w:rFonts w:ascii="Arial" w:cs="Arial" w:eastAsia="Arial" w:hAnsi="Arial"/>
          <w:sz w:val="17"/>
          <w:szCs w:val="17"/>
          <w:color w:val="auto"/>
        </w:rPr>
        <w:t>Denominator: To calculate our net dollar expansion rate as of the end of a reporting period, we first determine the annual recurring revenue, or ARR, from all active subscriptions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165" w:lineRule="exact"/>
        <w:rPr>
          <w:sz w:val="20"/>
          <w:szCs w:val="20"/>
          <w:color w:val="auto"/>
        </w:rPr>
      </w:pPr>
    </w:p>
    <w:p>
      <w:pPr>
        <w:ind w:left="320" w:firstLine="90"/>
        <w:spacing w:after="0" w:line="277" w:lineRule="auto"/>
        <w:rPr>
          <w:sz w:val="20"/>
          <w:szCs w:val="20"/>
          <w:color w:val="auto"/>
        </w:rPr>
      </w:pPr>
      <w:r>
        <w:rPr>
          <w:rFonts w:ascii="Arial" w:cs="Arial" w:eastAsia="Arial" w:hAnsi="Arial"/>
          <w:sz w:val="18"/>
          <w:szCs w:val="18"/>
          <w:color w:val="auto"/>
        </w:rPr>
        <w:t>Numerator: We measure the ARR for that same cohort of customers representing all active subscriptions as of the end of the reporting period, using the same foreign exchange rate from the prior year.</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net dollar expansion rates were 109% and 108% for the years ended December 31, 2022 and 2021,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jc w:val="both"/>
        <w:ind w:left="40" w:firstLine="405"/>
        <w:spacing w:after="0" w:line="273" w:lineRule="auto"/>
        <w:rPr>
          <w:sz w:val="20"/>
          <w:szCs w:val="20"/>
          <w:color w:val="auto"/>
        </w:rPr>
      </w:pPr>
      <w:r>
        <w:rPr>
          <w:rFonts w:ascii="Arial" w:cs="Arial" w:eastAsia="Arial" w:hAnsi="Arial"/>
          <w:sz w:val="17"/>
          <w:szCs w:val="17"/>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78" w:lineRule="exact"/>
        <w:rPr>
          <w:sz w:val="20"/>
          <w:szCs w:val="20"/>
          <w:color w:val="auto"/>
        </w:rPr>
      </w:pPr>
    </w:p>
    <w:p>
      <w:pPr>
        <w:jc w:val="both"/>
        <w:ind w:left="40" w:firstLine="405"/>
        <w:spacing w:after="0" w:line="279" w:lineRule="auto"/>
        <w:rPr>
          <w:sz w:val="20"/>
          <w:szCs w:val="20"/>
          <w:color w:val="auto"/>
        </w:rPr>
      </w:pPr>
      <w:r>
        <w:rPr>
          <w:rFonts w:ascii="Arial" w:cs="Arial" w:eastAsia="Arial" w:hAnsi="Arial"/>
          <w:sz w:val="17"/>
          <w:szCs w:val="17"/>
          <w:color w:val="auto"/>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income tax provision (benefit), (3) depreciation and amortization of property and equipment, (4) amortization of intangible assets, (5) stock-based compensation and (6) non-recurring expenses that do not reflect ongoing costs of operating the business.</w:t>
      </w:r>
    </w:p>
    <w:p>
      <w:pPr>
        <w:spacing w:after="0" w:line="171" w:lineRule="exact"/>
        <w:rPr>
          <w:sz w:val="20"/>
          <w:szCs w:val="20"/>
          <w:color w:val="auto"/>
        </w:rPr>
      </w:pPr>
    </w:p>
    <w:p>
      <w:pPr>
        <w:jc w:val="both"/>
        <w:ind w:left="40" w:firstLine="405"/>
        <w:spacing w:after="0" w:line="258" w:lineRule="auto"/>
        <w:rPr>
          <w:sz w:val="20"/>
          <w:szCs w:val="20"/>
          <w:color w:val="auto"/>
        </w:rPr>
      </w:pPr>
      <w:r>
        <w:rPr>
          <w:rFonts w:ascii="Arial" w:cs="Arial" w:eastAsia="Arial" w:hAnsi="Arial"/>
          <w:sz w:val="18"/>
          <w:szCs w:val="18"/>
          <w:color w:val="auto"/>
        </w:rPr>
        <w:t>Adjusted EBITDA has limitations as an analytical tool and should not be considered in isolation from or as a substitute for the measures presented in accordance with U.S. GAAP. Some of these limitations are:</w:t>
      </w:r>
    </w:p>
    <w:p>
      <w:pPr>
        <w:spacing w:after="0" w:line="1" w:lineRule="exact"/>
        <w:rPr>
          <w:sz w:val="20"/>
          <w:szCs w:val="20"/>
          <w:color w:val="auto"/>
        </w:rPr>
      </w:pPr>
    </w:p>
    <w:p>
      <w:pPr>
        <w:ind w:left="1180" w:hanging="322"/>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certain cash and non-cash charges that are recurring;</w:t>
      </w:r>
    </w:p>
    <w:p>
      <w:pPr>
        <w:spacing w:after="0" w:line="21" w:lineRule="exact"/>
        <w:rPr>
          <w:rFonts w:ascii="Arial" w:cs="Arial" w:eastAsia="Arial" w:hAnsi="Arial"/>
          <w:sz w:val="18"/>
          <w:szCs w:val="18"/>
          <w:color w:val="auto"/>
        </w:rPr>
      </w:pPr>
    </w:p>
    <w:p>
      <w:pPr>
        <w:ind w:left="1180" w:hanging="322"/>
        <w:spacing w:after="0"/>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does not reflect income tax payments that reduce cash available to us;</w:t>
      </w:r>
    </w:p>
    <w:p>
      <w:pPr>
        <w:spacing w:after="0" w:line="36" w:lineRule="exact"/>
        <w:rPr>
          <w:rFonts w:ascii="Arial" w:cs="Arial" w:eastAsia="Arial" w:hAnsi="Arial"/>
          <w:sz w:val="18"/>
          <w:szCs w:val="18"/>
          <w:color w:val="auto"/>
        </w:rPr>
      </w:pPr>
    </w:p>
    <w:p>
      <w:pPr>
        <w:ind w:left="1180" w:hanging="322"/>
        <w:spacing w:after="0" w:line="258"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 excludes depreciation and amortization of property and equipment and amortization of intangible assets, although these are non-cash charges, the assets being depreciated and amortized may have to be replaced in the future; and</w:t>
      </w:r>
    </w:p>
    <w:p>
      <w:pPr>
        <w:spacing w:after="0" w:line="1" w:lineRule="exact"/>
        <w:rPr>
          <w:rFonts w:ascii="Arial" w:cs="Arial" w:eastAsia="Arial" w:hAnsi="Arial"/>
          <w:sz w:val="18"/>
          <w:szCs w:val="18"/>
          <w:color w:val="auto"/>
        </w:rPr>
      </w:pPr>
    </w:p>
    <w:p>
      <w:pPr>
        <w:ind w:left="1180" w:hanging="322"/>
        <w:spacing w:after="0" w:line="260" w:lineRule="auto"/>
        <w:tabs>
          <w:tab w:leader="none" w:pos="11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or not at all, which reduces its usefulness as a comparative measure.</w:t>
      </w:r>
    </w:p>
    <w:p>
      <w:pPr>
        <w:spacing w:after="0" w:line="185" w:lineRule="exact"/>
        <w:rPr>
          <w:sz w:val="20"/>
          <w:szCs w:val="20"/>
          <w:color w:val="auto"/>
        </w:rPr>
      </w:pPr>
    </w:p>
    <w:p>
      <w:pPr>
        <w:ind w:left="40" w:right="540" w:firstLine="405"/>
        <w:spacing w:after="0" w:line="277" w:lineRule="auto"/>
        <w:rPr>
          <w:sz w:val="20"/>
          <w:szCs w:val="20"/>
          <w:color w:val="auto"/>
        </w:rPr>
      </w:pPr>
      <w:r>
        <w:rPr>
          <w:rFonts w:ascii="Arial" w:cs="Arial" w:eastAsia="Arial" w:hAnsi="Arial"/>
          <w:sz w:val="18"/>
          <w:szCs w:val="18"/>
          <w:color w:val="auto"/>
        </w:rPr>
        <w:t>Because of these limitations, Adjusted EBITDA should be considered alongside other financial performance measures, including revenues, net income, cash flows from operating activities and our financial results presented in accordance with U.S. GAAP.</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unaudited table presents the reconciliation of net income to Adjusted EBITDA for the years ended December 31, 2022 and 2021.</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79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8"/>
                <w:szCs w:val="18"/>
                <w:color w:val="auto"/>
              </w:rPr>
            </w:pPr>
          </w:p>
        </w:tc>
      </w:tr>
      <w:tr>
        <w:trPr>
          <w:trHeight w:val="209"/>
        </w:trPr>
        <w:tc>
          <w:tcPr>
            <w:tcW w:w="7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b w:val="1"/>
                <w:bCs w:val="1"/>
                <w:color w:val="auto"/>
              </w:rPr>
              <w:t>(in</w:t>
            </w:r>
          </w:p>
        </w:tc>
        <w:tc>
          <w:tcPr>
            <w:tcW w:w="760" w:type="dxa"/>
            <w:vAlign w:val="bottom"/>
            <w:gridSpan w:val="2"/>
          </w:tcPr>
          <w:p>
            <w:pPr>
              <w:jc w:val="right"/>
              <w:ind w:right="7"/>
              <w:spacing w:after="0"/>
              <w:rPr>
                <w:sz w:val="20"/>
                <w:szCs w:val="20"/>
                <w:color w:val="auto"/>
              </w:rPr>
            </w:pPr>
            <w:r>
              <w:rPr>
                <w:rFonts w:ascii="Arial" w:cs="Arial" w:eastAsia="Arial" w:hAnsi="Arial"/>
                <w:sz w:val="17"/>
                <w:szCs w:val="17"/>
                <w:b w:val="1"/>
                <w:bCs w:val="1"/>
                <w:color w:val="auto"/>
                <w:w w:val="71"/>
              </w:rPr>
              <w:t>thousands)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107,992</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70,960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Net income as a percentage of revenues</w:t>
            </w:r>
          </w:p>
        </w:tc>
        <w:tc>
          <w:tcPr>
            <w:tcW w:w="320" w:type="dxa"/>
            <w:vAlign w:val="bottom"/>
          </w:tcPr>
          <w:p>
            <w:pPr>
              <w:spacing w:after="0"/>
              <w:rPr>
                <w:sz w:val="18"/>
                <w:szCs w:val="18"/>
                <w:color w:val="auto"/>
              </w:rPr>
            </w:pPr>
          </w:p>
        </w:tc>
        <w:tc>
          <w:tcPr>
            <w:tcW w:w="1400" w:type="dxa"/>
            <w:vAlign w:val="bottom"/>
            <w:gridSpan w:val="2"/>
          </w:tcPr>
          <w:p>
            <w:pPr>
              <w:jc w:val="right"/>
              <w:ind w:right="36"/>
              <w:spacing w:after="0"/>
              <w:rPr>
                <w:sz w:val="20"/>
                <w:szCs w:val="20"/>
                <w:color w:val="auto"/>
              </w:rPr>
            </w:pPr>
            <w:r>
              <w:rPr>
                <w:rFonts w:ascii="Arial" w:cs="Arial" w:eastAsia="Arial" w:hAnsi="Arial"/>
                <w:sz w:val="18"/>
                <w:szCs w:val="18"/>
                <w:color w:val="auto"/>
              </w:rPr>
              <w:t>22%</w:t>
            </w:r>
          </w:p>
        </w:tc>
        <w:tc>
          <w:tcPr>
            <w:tcW w:w="4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28,936</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29,236</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20" w:type="dxa"/>
            <w:vAlign w:val="bottom"/>
          </w:tcPr>
          <w:p>
            <w:pPr>
              <w:spacing w:after="0"/>
              <w:rPr>
                <w:sz w:val="18"/>
                <w:szCs w:val="18"/>
                <w:color w:val="auto"/>
              </w:rPr>
            </w:pPr>
          </w:p>
        </w:tc>
        <w:tc>
          <w:tcPr>
            <w:tcW w:w="1400" w:type="dxa"/>
            <w:vAlign w:val="bottom"/>
            <w:gridSpan w:val="2"/>
          </w:tcPr>
          <w:p>
            <w:pPr>
              <w:jc w:val="right"/>
              <w:ind w:right="196"/>
              <w:spacing w:after="0"/>
              <w:rPr>
                <w:sz w:val="20"/>
                <w:szCs w:val="20"/>
                <w:color w:val="auto"/>
              </w:rPr>
            </w:pPr>
            <w:r>
              <w:rPr>
                <w:rFonts w:ascii="Arial" w:cs="Arial" w:eastAsia="Arial" w:hAnsi="Arial"/>
                <w:sz w:val="18"/>
                <w:szCs w:val="18"/>
                <w:color w:val="auto"/>
              </w:rPr>
              <w:t>5,686</w:t>
            </w: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6,661</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provision</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96"/>
              <w:spacing w:after="0"/>
              <w:rPr>
                <w:sz w:val="20"/>
                <w:szCs w:val="20"/>
                <w:color w:val="auto"/>
              </w:rPr>
            </w:pPr>
            <w:r>
              <w:rPr>
                <w:rFonts w:ascii="Arial" w:cs="Arial" w:eastAsia="Arial" w:hAnsi="Arial"/>
                <w:sz w:val="18"/>
                <w:szCs w:val="18"/>
                <w:color w:val="auto"/>
              </w:rPr>
              <w:t>25,708</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18,437</w:t>
            </w:r>
          </w:p>
        </w:tc>
      </w:tr>
      <w:tr>
        <w:trPr>
          <w:trHeight w:val="216"/>
        </w:trPr>
        <w:tc>
          <w:tcPr>
            <w:tcW w:w="79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8"/>
                <w:szCs w:val="18"/>
                <w:color w:val="auto"/>
              </w:rPr>
            </w:pPr>
          </w:p>
        </w:tc>
        <w:tc>
          <w:tcPr>
            <w:tcW w:w="1400" w:type="dxa"/>
            <w:vAlign w:val="bottom"/>
            <w:gridSpan w:val="2"/>
          </w:tcPr>
          <w:p>
            <w:pPr>
              <w:jc w:val="right"/>
              <w:ind w:right="196"/>
              <w:spacing w:after="0"/>
              <w:rPr>
                <w:sz w:val="20"/>
                <w:szCs w:val="20"/>
                <w:color w:val="auto"/>
              </w:rPr>
            </w:pPr>
            <w:r>
              <w:rPr>
                <w:rFonts w:ascii="Arial" w:cs="Arial" w:eastAsia="Arial" w:hAnsi="Arial"/>
                <w:sz w:val="18"/>
                <w:szCs w:val="18"/>
                <w:color w:val="auto"/>
              </w:rPr>
              <w:t>53,408</w:t>
            </w:r>
          </w:p>
        </w:tc>
        <w:tc>
          <w:tcPr>
            <w:tcW w:w="4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67,579</w:t>
            </w:r>
          </w:p>
        </w:tc>
      </w:tr>
      <w:tr>
        <w:trPr>
          <w:trHeight w:val="216"/>
        </w:trPr>
        <w:tc>
          <w:tcPr>
            <w:tcW w:w="7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income, net</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rPr>
              <w:t>(3,153)</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(1,714)</w:t>
            </w:r>
          </w:p>
        </w:tc>
      </w:tr>
      <w:tr>
        <w:trPr>
          <w:trHeight w:val="20"/>
        </w:trPr>
        <w:tc>
          <w:tcPr>
            <w:tcW w:w="79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7920" w:type="dxa"/>
            <w:vAlign w:val="bottom"/>
          </w:tcPr>
          <w:p>
            <w:pPr>
              <w:spacing w:after="0"/>
              <w:rPr>
                <w:sz w:val="20"/>
                <w:szCs w:val="20"/>
                <w:color w:val="auto"/>
              </w:rPr>
            </w:pPr>
            <w:r>
              <w:rPr>
                <w:rFonts w:ascii="Arial" w:cs="Arial" w:eastAsia="Arial" w:hAnsi="Arial"/>
                <w:sz w:val="18"/>
                <w:szCs w:val="18"/>
                <w:color w:val="auto"/>
              </w:rPr>
              <w:t>Adjusted EBITDA</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196"/>
              <w:spacing w:after="0"/>
              <w:rPr>
                <w:sz w:val="20"/>
                <w:szCs w:val="20"/>
                <w:color w:val="auto"/>
              </w:rPr>
            </w:pPr>
            <w:r>
              <w:rPr>
                <w:rFonts w:ascii="Arial" w:cs="Arial" w:eastAsia="Arial" w:hAnsi="Arial"/>
                <w:sz w:val="18"/>
                <w:szCs w:val="18"/>
                <w:color w:val="auto"/>
              </w:rPr>
              <w:t>218,577</w:t>
            </w:r>
          </w:p>
        </w:tc>
        <w:tc>
          <w:tcPr>
            <w:tcW w:w="480" w:type="dxa"/>
            <w:vAlign w:val="bottom"/>
          </w:tcPr>
          <w:p>
            <w:pPr>
              <w:jc w:val="right"/>
              <w:ind w:right="3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191,159</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as a percentage of revenues</w:t>
            </w:r>
          </w:p>
        </w:tc>
        <w:tc>
          <w:tcPr>
            <w:tcW w:w="32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45%</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ectPr>
          <w:pgSz w:w="11900" w:h="16838" w:orient="portrait"/>
          <w:cols w:equalWidth="0" w:num="1">
            <w:col w:w="11280"/>
          </w:cols>
          <w:pgMar w:left="280" w:top="125" w:right="339" w:bottom="1440" w:gutter="0" w:footer="0" w:header="0"/>
        </w:sectPr>
      </w:pPr>
    </w:p>
    <w:p>
      <w:pPr>
        <w:spacing w:after="0" w:line="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97790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5" w:right="339" w:bottom="1440" w:gutter="0" w:footer="0" w:header="0"/>
          <w:type w:val="continuous"/>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December 31, 2022, our principal source of liquidity was cash, cash equivalents and marketable securities of $380.5 million, including $52.7 million of cash held outside of the United States. The following summary of cash flows for the periods indicated has been derived from our consolidated financial statements included elsewhere in this report: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92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80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198,854</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200,616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145,068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(29,532)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(306,031)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(107,888)</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37,891</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63,196</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2022, we generated $177.2 million of cash from our net income, as adjusted for non-cash items mainly related to stock-based compensation expense, depreciation and amortization expense and deferred taxes, as compared to $169.6 million in 2021. In addition, we also generated $21.7 million of cash from working capital change in 2022, of which $11.8 million was related to net increase in deferred revenue and accounts receivable as a result of our continued growth in billing and collection, and $9.9 million was due to lower prepaid expenses and an increase in payables and accrued liabilities in line with our business. In 2021, we generated $31.0 million of cash from working capital change, of which $37.4 million was related to net increase in deferred revenue and accounts receivable as a result of our continued growth in billing and collection, partially offset by higher prepaid income taxes of $6.9 million.</w:t>
      </w:r>
    </w:p>
    <w:p>
      <w:pPr>
        <w:spacing w:after="0" w:line="195" w:lineRule="exact"/>
        <w:rPr>
          <w:sz w:val="20"/>
          <w:szCs w:val="20"/>
          <w:color w:val="auto"/>
        </w:rPr>
      </w:pPr>
    </w:p>
    <w:p>
      <w:pPr>
        <w:ind w:right="260" w:firstLine="405"/>
        <w:spacing w:after="0" w:line="291" w:lineRule="auto"/>
        <w:rPr>
          <w:sz w:val="20"/>
          <w:szCs w:val="20"/>
          <w:color w:val="auto"/>
        </w:rPr>
      </w:pPr>
      <w:r>
        <w:rPr>
          <w:rFonts w:ascii="Arial" w:cs="Arial" w:eastAsia="Arial" w:hAnsi="Arial"/>
          <w:sz w:val="16"/>
          <w:szCs w:val="16"/>
          <w:color w:val="auto"/>
        </w:rPr>
        <w:t>Net cash taxes paid, excluding prepaid income taxes, during 2022 were approximately $20.0 million higher compared to 2021, primarily due to the new tax law requiring mandatory capitalization and amortization of research and development expenses effective January 1, 2022. Previously,</w:t>
      </w:r>
    </w:p>
    <w:p>
      <w:pPr>
        <w:ind w:right="340"/>
        <w:spacing w:after="0" w:line="260" w:lineRule="auto"/>
        <w:rPr>
          <w:sz w:val="20"/>
          <w:szCs w:val="20"/>
          <w:color w:val="auto"/>
        </w:rPr>
      </w:pPr>
      <w:r>
        <w:rPr>
          <w:rFonts w:ascii="Arial" w:cs="Arial" w:eastAsia="Arial" w:hAnsi="Arial"/>
          <w:sz w:val="18"/>
          <w:szCs w:val="18"/>
          <w:color w:val="auto"/>
        </w:rPr>
        <w:t>these expenses could be deducted in the year incurred. The near term increase in cash tax will be offset by a decrease in cash taxes in future years when the capitalized expenses are amortized for tax purposes.</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2022, we generated $169.0 million of cash in marketable securities investment, used $15.4 million of cash in capital expenditures mainly related to computer equipment to support our growth and development and $8.6 million of cash to acquire certain technology assets, as compared to $4.5 million of cash used in marketable securities investment, $24.4 million of cash used in capital expenditures and $1.1 million of cash used for acquisition of technology assets in 2021.</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2022, we used $317.3 million of cash for share repurchase and $17.6 million of cash in payment of employee withholding taxes upon vesting of restricted stock units and received $24.5 million of proceeds from employee exercise of stock options, as compared to $130.0 million of cash used for share repurchase, $27.8 million of cash used in payment of employee withholding taxes upon vesting of restricted stock units and $50.0 million of cash received from employee exercise of stock options in 2021. Net cash used in financing activities are expected to be lower in 2023 due to expected lower volume of share repurchase.</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believe our existing cash and cash equivalents, marketable securities and our expected cash flow generated from operations will be sufficient to fund our operations for the next twelve months and beyond. We do not anticipate that we will need funds generated from foreign operations to fund our domestic operations. However, if we repatriate these funds, we could be subject to foreign withholding taxes.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material cash requirements mainly include the following contractual and other obligations:</w:t>
      </w:r>
    </w:p>
    <w:p>
      <w:pPr>
        <w:spacing w:after="0" w:line="225" w:lineRule="exact"/>
        <w:rPr>
          <w:sz w:val="20"/>
          <w:szCs w:val="20"/>
          <w:color w:val="auto"/>
        </w:rPr>
      </w:pPr>
    </w:p>
    <w:p>
      <w:pPr>
        <w:ind w:left="680" w:right="200" w:hanging="213"/>
        <w:spacing w:after="0" w:line="255"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operating lease obligations to make payments under our non-cancelable lease agreements for our facilities and shared cloud platforms. We had fixed operating lease payment obligations of $46.4 million as of December 31, 2022, with $14.9 million expected to be paid within the next 12 months.</w:t>
      </w:r>
    </w:p>
    <w:p>
      <w:pPr>
        <w:spacing w:after="0" w:line="2" w:lineRule="exact"/>
        <w:rPr>
          <w:rFonts w:ascii="Arial" w:cs="Arial" w:eastAsia="Arial" w:hAnsi="Arial"/>
          <w:sz w:val="18"/>
          <w:szCs w:val="18"/>
          <w:color w:val="auto"/>
        </w:rPr>
      </w:pPr>
    </w:p>
    <w:p>
      <w:pPr>
        <w:ind w:left="680" w:right="20" w:hanging="213"/>
        <w:spacing w:after="0" w:line="25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outflow for capital expenditures in 2023 is expected to be in a range of $18.0 million to $25.0 million. Our future capital requirements will depend on many factors, including our rate of revenue growth, the expansion of our sales and marketing activities, the timing, type and extent of our spending on research and development efforts, international expansion and investment in shared cloud platforms and cloud infrastructures. We may also seek to invest in or acquire complementary businesses or technologies.</w:t>
      </w:r>
    </w:p>
    <w:p>
      <w:pPr>
        <w:spacing w:after="0" w:line="1" w:lineRule="exact"/>
        <w:rPr>
          <w:rFonts w:ascii="Arial" w:cs="Arial" w:eastAsia="Arial" w:hAnsi="Arial"/>
          <w:sz w:val="18"/>
          <w:szCs w:val="18"/>
          <w:color w:val="auto"/>
        </w:rPr>
      </w:pPr>
    </w:p>
    <w:p>
      <w:pPr>
        <w:ind w:left="680" w:right="960" w:hanging="213"/>
        <w:spacing w:after="0" w:line="260" w:lineRule="auto"/>
        <w:tabs>
          <w:tab w:leader="none" w:pos="6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non-cancelable purchase obligations related to cloud infrastructures and other service providers totaled $77.1 million, of which $25.6 million is expected to be paid within the next 12 months.</w:t>
      </w:r>
    </w:p>
    <w:p>
      <w:pPr>
        <w:spacing w:after="0" w:line="18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We expect to continue to use cash to repurchase shares in 2023 under our share repurchase program authorized by our board of directors on February 5, 2018. As of December 31, 2022, our board of directors had authorized an aggregate amount of $900.0 million for repurchases under our share repurchase program, of which approximately $154.5 million remained available. Shares will be repurchased from time to time on the open market in accordance with Rule 10b-18 of the Exchange Act of 1934, including pursuant to a pre-set trading plan adopted in accordance with Rule 10b5-1 under the Exchange Act.</w:t>
      </w:r>
    </w:p>
    <w:p>
      <w:pPr>
        <w:spacing w:after="0" w:line="15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February 9, 2023</w:t>
      </w:r>
      <w:r>
        <w:rPr>
          <w:rFonts w:ascii="Arial" w:cs="Arial" w:eastAsia="Arial" w:hAnsi="Arial"/>
          <w:sz w:val="18"/>
          <w:szCs w:val="18"/>
          <w:i w:val="1"/>
          <w:iCs w:val="1"/>
          <w:color w:val="auto"/>
        </w:rPr>
        <w:t>,</w:t>
      </w:r>
      <w:r>
        <w:rPr>
          <w:rFonts w:ascii="Arial" w:cs="Arial" w:eastAsia="Arial" w:hAnsi="Arial"/>
          <w:sz w:val="18"/>
          <w:szCs w:val="18"/>
          <w:color w:val="auto"/>
        </w:rPr>
        <w:t xml:space="preserve"> we announced that its Board of Directors authorized the repurchase of an additional $100.0 million under our share repurchase program, increasing the total amount of authorized repurchase to $1.0 billion.</w:t>
      </w:r>
    </w:p>
    <w:p>
      <w:pPr>
        <w:sectPr>
          <w:pgSz w:w="11900" w:h="16838" w:orient="portrait"/>
          <w:cols w:equalWidth="0" w:num="1">
            <w:col w:w="11240"/>
          </w:cols>
          <w:pgMar w:left="320" w:top="125" w:right="339" w:bottom="763"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763"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preparation of our consolidated financial statements in accordance with U.S. GAAP requires us to make estimates and assumptions that affect the reported amounts of assets, liabilities, revenues, expenses and related disclosures. Our significant accounting policies are described in Note 1 - The Company and Summary of Significant Accounting Policies in the accompanying notes to the consolidated financial statements included in Part II, Item 8, "Financial Statements and Supplementary Data" of this Annual Report on Form 10-K. On an ongoing basis, we evaluate our estimates and assumptions based on historical and anticipated results and trends that we believe represent our best estimate under the circumstances. However, as accounting estimates are subject to inherent uncertainty, our actual results may differ from these estimates under different assumptions or conditions.</w:t>
      </w:r>
    </w:p>
    <w:p>
      <w:pPr>
        <w:spacing w:after="0" w:line="16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Significant assumptions, judgments and estimates are involved in determining our provision for (benefit from) income taxes, our deferred tax assets and liabilities, and any valuation allowance to be recorded against our deferred tax assets. Our judgments, assumptions and estimates relating to the current provision for income taxes include the geographic mix and amount of income (loss), expectations of future income, our interpretation of current tax laws, our business, and possible outcomes of current and future audits conducted by foreign and domestic tax authorities. Our judgments also include anticipating the tax positions we will record in the financial statements before preparing and filing the tax returns. Our estimates and assumptions may differ from the actual results as reflected in our income tax returns and we record the required adjustments when they are identified or resolved. Changes in our business and tax laws or our interpretation of those, and developments in current and future tax audits, could significantly impact the amounts provided for income taxes in our results of operations, financial position, or cash flows.</w:t>
      </w:r>
    </w:p>
    <w:p>
      <w:pPr>
        <w:spacing w:after="0" w:line="178"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assessment of tax effects of our uncertain tax positions in our financial statements involves significant judgment in interpreting complex and ambiguous tax laws, regulations, and administrative practices, determining the probability of various possible settlement outcomes, evaluating the litigation process based on tax authority behaviors in similar cases, and estimating the likelihood that another taxing authority could review the respective tax position. These judgments are inherently challenging and subjective because a taxing authority may change its behavior at any time. We must also determine when it is reasonably possible that the amount of unrecognized tax benefits will significantly increase or decrease in the 12 months after each fiscal year-end. We reevaluate our income tax positions on a quarterly basis to consider factors such as changes in facts or circumstances, changes in tax laws, effectively settled issues under audit, the potential for interest and penalties, and new audit activity. Such a change in recognition or measurement would result in recognition of a tax benefit or an additional charge to the tax provision that could be material in the future.</w:t>
      </w:r>
    </w:p>
    <w:p>
      <w:pPr>
        <w:spacing w:after="0" w:line="16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recognize the fair value of our employee stock options and restricted stock units, including performance-based restricted stock units, over the requisite service period. The fair value of each stock option is estimated on date of grant using the Black-Scholes-Merton option pricing model. Determining the appropriate fair value model and calculating the fair value of employee stock options requires the use of subjective assumptions, including the expected life of the stock option and stock price volatility. The recognition of expenses for performance based restricted stock units requires us to estimate the probability that the performance condition will be achieved and the number of awards that will vest are adjusted accordingly at each reporting period. The assumptions used in calculating the fair value of employee stock options and estimating the probability of achievement of performance metrics represent management’s best estimates, which require significant judgment and involve inherent uncertainties. If factors change and we use different assumptions, our stock-based compensation expense could be materially different in the future.</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results of operations and cash flows have been and will continue to be subject to fluctuations because of changes in foreign currency exchange rates, particularly changes in exchange rates between the U.S. Dollar and the Euro, GBP, INR and Canadian Dollar ("C$"), the currencies of countries where we currently have our most significant international operations. We enter into foreign currency forward contracts to reduce our exposure to foreign currency exchange rate fluctuations related to forecasted subscription revenue, operating expenses and foreign currency denominated assets or liabilities. As of December 31, 2022, we had designated cash flow hedge forward contracts with notional amounts of €37.4 million, £10.4 million and Rs.3,411.0 million and non-designated forward contracts with notional amounts of €40.2 million, £16.2 million, Rs.484.0 million and C$3.8 million. With our hedging strategy applied, the effect of an immediate 10% adverse change in foreign exchange rates would not be material to our financial condition, operating results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229"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had $380.5 million in cash, cash equivalents and short-term and long-term marketable securities as of December 31, 2022. Cash and cash equivalents include cash held in banks, highly liquid money market funds and commercial paper. Marketable securities consist of fixed-income U.S. Treasury and government agency securities, commercial paper corporate bonds, asset-backed securities and foreign government securities. The primary objectives of our investment activities are the preservation of principal and support of our liquidity requirements. We do not invest for trading or speculative purposes. Our marketable securities are subject to market risk due to changes in interest rates, which may affect the interest income we earn and the fair market value. As of December 31, 2022, a hypothetical 100 basis point increase in interest rate would result in a decrease in the fair value of our marketable securities by $1.0 million.</w:t>
      </w:r>
    </w:p>
    <w:p>
      <w:pPr>
        <w:sectPr>
          <w:pgSz w:w="11900" w:h="16838" w:orient="portrait"/>
          <w:cols w:equalWidth="0" w:num="1">
            <w:col w:w="11240"/>
          </w:cols>
          <w:pgMar w:left="320" w:top="125" w:right="339" w:bottom="844" w:gutter="0" w:footer="0" w:header="0"/>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844"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840" w:type="dxa"/>
            <w:vAlign w:val="bottom"/>
            <w:gridSpan w:val="8"/>
          </w:tcPr>
          <w:p>
            <w:pPr>
              <w:ind w:left="300"/>
              <w:spacing w:after="0"/>
              <w:rPr>
                <w:sz w:val="20"/>
                <w:szCs w:val="20"/>
                <w:color w:val="auto"/>
              </w:rPr>
            </w:pPr>
            <w:r>
              <w:rPr>
                <w:rFonts w:ascii="Arial" w:cs="Arial" w:eastAsia="Arial" w:hAnsi="Arial"/>
                <w:sz w:val="18"/>
                <w:szCs w:val="18"/>
                <w:b w:val="1"/>
                <w:bCs w:val="1"/>
                <w:color w:val="auto"/>
              </w:rPr>
              <w:t>Financial Statements and Supplementary Data</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90"/>
              </w:rPr>
              <w:t>Qualys, Inc.</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520" w:type="dxa"/>
            <w:vAlign w:val="bottom"/>
            <w:gridSpan w:val="4"/>
          </w:tcPr>
          <w:p>
            <w:pPr>
              <w:jc w:val="center"/>
              <w:ind w:right="1600"/>
              <w:spacing w:after="0"/>
              <w:rPr>
                <w:sz w:val="20"/>
                <w:szCs w:val="20"/>
                <w:color w:val="auto"/>
              </w:rPr>
            </w:pPr>
            <w:r>
              <w:rPr>
                <w:rFonts w:ascii="Arial" w:cs="Arial" w:eastAsia="Arial" w:hAnsi="Arial"/>
                <w:sz w:val="18"/>
                <w:szCs w:val="18"/>
                <w:b w:val="1"/>
                <w:bCs w:val="1"/>
                <w:color w:val="auto"/>
              </w:rPr>
              <w:t>INDEX TO CONSOLIDATED FINANCIAL STATEMENTS</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2"/>
          </w:tcPr>
          <w:p>
            <w:pPr>
              <w:jc w:val="center"/>
              <w:ind w:right="2180"/>
              <w:spacing w:after="0"/>
              <w:rPr>
                <w:sz w:val="20"/>
                <w:szCs w:val="20"/>
                <w:color w:val="auto"/>
              </w:rPr>
            </w:pPr>
            <w:r>
              <w:rPr>
                <w:rFonts w:ascii="Arial" w:cs="Arial" w:eastAsia="Arial" w:hAnsi="Arial"/>
                <w:sz w:val="18"/>
                <w:szCs w:val="18"/>
                <w:b w:val="1"/>
                <w:bCs w:val="1"/>
                <w:color w:val="auto"/>
                <w:w w:val="89"/>
              </w:rPr>
              <w:t>Table of Contents</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80" w:type="dxa"/>
            <w:vAlign w:val="bottom"/>
            <w:gridSpan w:val="9"/>
            <w:vMerge w:val="restart"/>
          </w:tcPr>
          <w:p>
            <w:pPr>
              <w:spacing w:after="0"/>
              <w:rPr>
                <w:sz w:val="20"/>
                <w:szCs w:val="20"/>
                <w:color w:val="auto"/>
              </w:rPr>
            </w:pPr>
            <w:r>
              <w:rPr>
                <w:rFonts w:ascii="Arial" w:cs="Arial" w:eastAsia="Arial" w:hAnsi="Arial"/>
                <w:sz w:val="18"/>
                <w:szCs w:val="18"/>
                <w:color w:val="0000EE"/>
              </w:rPr>
              <w:t>Reports of Independent Registered Public Accounting Firm (PCAOB ID Number 248)</w:t>
            </w: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5"/>
              </w:rPr>
              <w:t>Page</w:t>
            </w:r>
          </w:p>
        </w:tc>
        <w:tc>
          <w:tcPr>
            <w:tcW w:w="0" w:type="dxa"/>
            <w:vAlign w:val="bottom"/>
          </w:tcPr>
          <w:p>
            <w:pPr>
              <w:spacing w:after="0"/>
              <w:rPr>
                <w:sz w:val="1"/>
                <w:szCs w:val="1"/>
                <w:color w:val="auto"/>
              </w:rPr>
            </w:pPr>
          </w:p>
        </w:tc>
      </w:tr>
      <w:tr>
        <w:trPr>
          <w:trHeight w:val="169"/>
        </w:trPr>
        <w:tc>
          <w:tcPr>
            <w:tcW w:w="9680" w:type="dxa"/>
            <w:vAlign w:val="bottom"/>
            <w:gridSpan w:val="9"/>
            <w:vMerge w:val="continue"/>
          </w:tcPr>
          <w:p>
            <w:pPr>
              <w:spacing w:after="0"/>
              <w:rPr>
                <w:sz w:val="14"/>
                <w:szCs w:val="14"/>
                <w:color w:val="auto"/>
              </w:rPr>
            </w:pPr>
          </w:p>
        </w:tc>
        <w:tc>
          <w:tcPr>
            <w:tcW w:w="860" w:type="dxa"/>
            <w:vAlign w:val="bottom"/>
            <w:gridSpan w:val="2"/>
          </w:tcPr>
          <w:p>
            <w:pPr>
              <w:jc w:val="center"/>
              <w:ind w:left="590"/>
              <w:spacing w:after="0" w:line="169" w:lineRule="exact"/>
              <w:rPr>
                <w:sz w:val="20"/>
                <w:szCs w:val="20"/>
                <w:color w:val="auto"/>
              </w:rPr>
            </w:pPr>
            <w:r>
              <w:rPr>
                <w:rFonts w:ascii="Arial" w:cs="Arial" w:eastAsia="Arial" w:hAnsi="Arial"/>
                <w:sz w:val="18"/>
                <w:szCs w:val="18"/>
                <w:color w:val="0000EE"/>
                <w:w w:val="89"/>
              </w:rPr>
              <w:t>50</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Consolidated Balance Sheets</w:t>
            </w:r>
          </w:p>
        </w:tc>
        <w:tc>
          <w:tcPr>
            <w:tcW w:w="4140" w:type="dxa"/>
            <w:vAlign w:val="bottom"/>
            <w:tcBorders>
              <w:top w:val="single" w:sz="8" w:color="0000EE"/>
            </w:tcBorders>
            <w:gridSpan w:val="6"/>
          </w:tcPr>
          <w:p>
            <w:pPr>
              <w:spacing w:after="0"/>
              <w:rPr>
                <w:sz w:val="17"/>
                <w:szCs w:val="17"/>
                <w:color w:val="auto"/>
              </w:rPr>
            </w:pPr>
          </w:p>
        </w:tc>
        <w:tc>
          <w:tcPr>
            <w:tcW w:w="3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89"/>
              </w:rPr>
              <w:t>52</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80" w:type="dxa"/>
            <w:vAlign w:val="bottom"/>
            <w:gridSpan w:val="9"/>
          </w:tcPr>
          <w:p>
            <w:pPr>
              <w:spacing w:after="0" w:line="196" w:lineRule="exact"/>
              <w:rPr>
                <w:sz w:val="20"/>
                <w:szCs w:val="20"/>
                <w:color w:val="auto"/>
              </w:rPr>
            </w:pPr>
            <w:r>
              <w:rPr>
                <w:rFonts w:ascii="Arial" w:cs="Arial" w:eastAsia="Arial" w:hAnsi="Arial"/>
                <w:sz w:val="18"/>
                <w:szCs w:val="18"/>
                <w:color w:val="0000EE"/>
              </w:rPr>
              <w:t>Consolidated Statements of Operations</w:t>
            </w:r>
          </w:p>
        </w:tc>
        <w:tc>
          <w:tcPr>
            <w:tcW w:w="860" w:type="dxa"/>
            <w:vAlign w:val="bottom"/>
            <w:gridSpan w:val="2"/>
          </w:tcPr>
          <w:p>
            <w:pPr>
              <w:jc w:val="center"/>
              <w:ind w:left="590"/>
              <w:spacing w:after="0" w:line="196" w:lineRule="exact"/>
              <w:rPr>
                <w:sz w:val="20"/>
                <w:szCs w:val="20"/>
                <w:color w:val="auto"/>
              </w:rPr>
            </w:pPr>
            <w:r>
              <w:rPr>
                <w:rFonts w:ascii="Arial" w:cs="Arial" w:eastAsia="Arial" w:hAnsi="Arial"/>
                <w:sz w:val="18"/>
                <w:szCs w:val="18"/>
                <w:color w:val="0000EE"/>
                <w:w w:val="89"/>
              </w:rPr>
              <w:t>53</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9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80" w:type="dxa"/>
            <w:vAlign w:val="bottom"/>
            <w:gridSpan w:val="9"/>
          </w:tcPr>
          <w:p>
            <w:pPr>
              <w:spacing w:after="0" w:line="196" w:lineRule="exact"/>
              <w:rPr>
                <w:sz w:val="20"/>
                <w:szCs w:val="20"/>
                <w:color w:val="auto"/>
              </w:rPr>
            </w:pPr>
            <w:r>
              <w:rPr>
                <w:rFonts w:ascii="Arial" w:cs="Arial" w:eastAsia="Arial" w:hAnsi="Arial"/>
                <w:sz w:val="18"/>
                <w:szCs w:val="18"/>
                <w:color w:val="0000EE"/>
              </w:rPr>
              <w:t>Consolidated Statements of Comprehensive Income</w:t>
            </w:r>
          </w:p>
        </w:tc>
        <w:tc>
          <w:tcPr>
            <w:tcW w:w="860" w:type="dxa"/>
            <w:vAlign w:val="bottom"/>
            <w:gridSpan w:val="2"/>
          </w:tcPr>
          <w:p>
            <w:pPr>
              <w:jc w:val="center"/>
              <w:ind w:left="590"/>
              <w:spacing w:after="0" w:line="196" w:lineRule="exact"/>
              <w:rPr>
                <w:sz w:val="20"/>
                <w:szCs w:val="20"/>
                <w:color w:val="auto"/>
              </w:rPr>
            </w:pPr>
            <w:r>
              <w:rPr>
                <w:rFonts w:ascii="Arial" w:cs="Arial" w:eastAsia="Arial" w:hAnsi="Arial"/>
                <w:sz w:val="18"/>
                <w:szCs w:val="18"/>
                <w:color w:val="0000EE"/>
                <w:w w:val="89"/>
              </w:rPr>
              <w:t>54</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89"/>
              </w:rPr>
              <w:t>Consolidated Statements of Cash Flows</w:t>
            </w:r>
          </w:p>
        </w:tc>
        <w:tc>
          <w:tcPr>
            <w:tcW w:w="860" w:type="dxa"/>
            <w:vAlign w:val="bottom"/>
            <w:tcBorders>
              <w:top w:val="single" w:sz="8" w:color="0000EE"/>
            </w:tcBorders>
            <w:gridSpan w:val="3"/>
          </w:tcPr>
          <w:p>
            <w:pPr>
              <w:spacing w:after="0"/>
              <w:rPr>
                <w:sz w:val="17"/>
                <w:szCs w:val="17"/>
                <w:color w:val="auto"/>
              </w:rPr>
            </w:pPr>
          </w:p>
        </w:tc>
        <w:tc>
          <w:tcPr>
            <w:tcW w:w="594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89"/>
              </w:rPr>
              <w:t>55</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680" w:type="dxa"/>
            <w:vAlign w:val="bottom"/>
            <w:gridSpan w:val="9"/>
          </w:tcPr>
          <w:p>
            <w:pPr>
              <w:spacing w:after="0" w:line="196" w:lineRule="exact"/>
              <w:rPr>
                <w:sz w:val="20"/>
                <w:szCs w:val="20"/>
                <w:color w:val="auto"/>
              </w:rPr>
            </w:pPr>
            <w:r>
              <w:rPr>
                <w:rFonts w:ascii="Arial" w:cs="Arial" w:eastAsia="Arial" w:hAnsi="Arial"/>
                <w:sz w:val="18"/>
                <w:szCs w:val="18"/>
                <w:color w:val="0000EE"/>
              </w:rPr>
              <w:t>Consolidated Statements of Stockholders' Equity</w:t>
            </w:r>
          </w:p>
        </w:tc>
        <w:tc>
          <w:tcPr>
            <w:tcW w:w="860" w:type="dxa"/>
            <w:vAlign w:val="bottom"/>
            <w:gridSpan w:val="2"/>
          </w:tcPr>
          <w:p>
            <w:pPr>
              <w:jc w:val="center"/>
              <w:ind w:left="590"/>
              <w:spacing w:after="0" w:line="196" w:lineRule="exact"/>
              <w:rPr>
                <w:sz w:val="20"/>
                <w:szCs w:val="20"/>
                <w:color w:val="auto"/>
              </w:rPr>
            </w:pPr>
            <w:r>
              <w:rPr>
                <w:rFonts w:ascii="Arial" w:cs="Arial" w:eastAsia="Arial" w:hAnsi="Arial"/>
                <w:sz w:val="18"/>
                <w:szCs w:val="18"/>
                <w:color w:val="0000EE"/>
                <w:w w:val="89"/>
              </w:rPr>
              <w:t>56</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Notes to Consolidated Financial Statements</w:t>
            </w:r>
          </w:p>
        </w:tc>
        <w:tc>
          <w:tcPr>
            <w:tcW w:w="360" w:type="dxa"/>
            <w:vAlign w:val="bottom"/>
            <w:tcBorders>
              <w:top w:val="single" w:sz="8" w:color="0000EE"/>
            </w:tcBorders>
          </w:tcPr>
          <w:p>
            <w:pPr>
              <w:spacing w:after="0"/>
              <w:rPr>
                <w:sz w:val="17"/>
                <w:szCs w:val="17"/>
                <w:color w:val="auto"/>
              </w:rPr>
            </w:pPr>
          </w:p>
        </w:tc>
        <w:tc>
          <w:tcPr>
            <w:tcW w:w="616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center"/>
              <w:spacing w:after="0" w:line="196" w:lineRule="exact"/>
              <w:rPr>
                <w:sz w:val="20"/>
                <w:szCs w:val="20"/>
                <w:color w:val="auto"/>
              </w:rPr>
            </w:pPr>
            <w:r>
              <w:rPr>
                <w:rFonts w:ascii="Arial" w:cs="Arial" w:eastAsia="Arial" w:hAnsi="Arial"/>
                <w:sz w:val="18"/>
                <w:szCs w:val="18"/>
                <w:color w:val="0000EE"/>
                <w:w w:val="89"/>
              </w:rPr>
              <w:t>57</w:t>
            </w: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40" w:type="dxa"/>
            <w:vAlign w:val="bottom"/>
          </w:tcPr>
          <w:p>
            <w:pPr>
              <w:spacing w:after="0"/>
              <w:rPr>
                <w:sz w:val="24"/>
                <w:szCs w:val="24"/>
                <w:color w:val="auto"/>
              </w:rPr>
            </w:pPr>
          </w:p>
        </w:tc>
        <w:tc>
          <w:tcPr>
            <w:tcW w:w="5400" w:type="dxa"/>
            <w:vAlign w:val="bottom"/>
            <w:gridSpan w:val="7"/>
          </w:tcPr>
          <w:p>
            <w:pPr>
              <w:jc w:val="center"/>
              <w:ind w:left="4090"/>
              <w:spacing w:after="0"/>
              <w:rPr>
                <w:sz w:val="20"/>
                <w:szCs w:val="20"/>
                <w:color w:val="auto"/>
              </w:rPr>
            </w:pPr>
            <w:r>
              <w:rPr>
                <w:rFonts w:ascii="Arial" w:cs="Arial" w:eastAsia="Arial" w:hAnsi="Arial"/>
                <w:sz w:val="18"/>
                <w:szCs w:val="18"/>
                <w:color w:val="auto"/>
                <w:w w:val="89"/>
              </w:rPr>
              <w:t>49</w:t>
            </w:r>
          </w:p>
        </w:tc>
        <w:tc>
          <w:tcPr>
            <w:tcW w:w="3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34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have audited the accompanying consolidated balance sheets of Qualys, Inc. (a Delaware corporation) and subsidiaries (the “Company”) as of December 31, 2022 and 2021, the related consolidated statements of operations, comprehensive income, cash flows, and stockholders’ equity for each of the three years in the period ended December 31, 2022, and the related notes (collectively referred to as the “financial statements”). In our opinion, the financial statements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w:t>
      </w:r>
    </w:p>
    <w:p>
      <w:pPr>
        <w:spacing w:after="0" w:line="19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2022, based on criteria established in the 2013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w:t>
      </w:r>
      <w:r>
        <w:rPr>
          <w:rFonts w:ascii="Arial" w:cs="Arial" w:eastAsia="Arial" w:hAnsi="Arial"/>
          <w:sz w:val="18"/>
          <w:szCs w:val="18"/>
          <w:color w:val="auto"/>
        </w:rPr>
        <w:t xml:space="preserve"> issued by the Committee of Sponsoring Organizations of the Treadway Commission ("COSO"), and our report dated February 23, 2023 expressed an unqualified opinion.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7"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financial statements that was communicated or required to be communicated to the audit and risk committee and that: (1) relates to accounts or disclosures that are material to the financial statements and</w:t>
      </w:r>
    </w:p>
    <w:p>
      <w:pPr>
        <w:spacing w:after="0" w:line="1" w:lineRule="exact"/>
        <w:rPr>
          <w:sz w:val="20"/>
          <w:szCs w:val="20"/>
          <w:color w:val="auto"/>
        </w:rPr>
      </w:pPr>
    </w:p>
    <w:p>
      <w:pPr>
        <w:ind w:firstLine="8"/>
        <w:spacing w:after="0" w:line="255"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described further in Note 12 to the financial statements, the Company records income taxes using the asset and liability method, under which deferred tax assets and liabilities are determined based on the difference between the financial statement and tax bases of assets and liabilities using enacted tax rates in effect for the year in which the differences are expected to affect taxable income. We identified the tax effects of temporary and permanent differences related to stock-based compensation as a critical audit matter.</w:t>
      </w:r>
    </w:p>
    <w:p>
      <w:pPr>
        <w:spacing w:after="0" w:line="193"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principal considerations for our determination that the tax effects of temporary and permanent differences are a critical audit matter are that auditing the application of executive compensation rules requires significant technical expertise, the Company is generating excess tax deductions as a result of stock-based compensation and the stock-based compensation calculation is complex due to the required recordkeeping. Our audit procedures related to the tax effects of temporary and permanent differences related to stock-based compensation included the following, among others.</w:t>
      </w:r>
    </w:p>
    <w:p>
      <w:pPr>
        <w:spacing w:after="0" w:line="157" w:lineRule="exact"/>
        <w:rPr>
          <w:sz w:val="20"/>
          <w:szCs w:val="20"/>
          <w:color w:val="auto"/>
        </w:rPr>
      </w:pPr>
    </w:p>
    <w:p>
      <w:pPr>
        <w:ind w:left="340" w:hanging="201"/>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Involved an employee compensation specialist to assess the application of stock-based compensation tax rules.</w:t>
      </w:r>
    </w:p>
    <w:p>
      <w:pPr>
        <w:spacing w:after="0" w:line="23" w:lineRule="exact"/>
        <w:rPr>
          <w:rFonts w:ascii="Arial" w:cs="Arial" w:eastAsia="Arial" w:hAnsi="Arial"/>
          <w:sz w:val="18"/>
          <w:szCs w:val="18"/>
          <w:color w:val="auto"/>
        </w:rPr>
      </w:pPr>
    </w:p>
    <w:p>
      <w:pPr>
        <w:ind w:left="340" w:hanging="201"/>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Obtained management’s permanent and temporary provision calculation and tied out inputs to supporting equity documentation.</w:t>
      </w:r>
    </w:p>
    <w:p>
      <w:pPr>
        <w:spacing w:after="0" w:line="9" w:lineRule="exact"/>
        <w:rPr>
          <w:rFonts w:ascii="Arial" w:cs="Arial" w:eastAsia="Arial" w:hAnsi="Arial"/>
          <w:sz w:val="18"/>
          <w:szCs w:val="18"/>
          <w:color w:val="auto"/>
        </w:rPr>
      </w:pPr>
    </w:p>
    <w:p>
      <w:pPr>
        <w:ind w:left="340" w:hanging="201"/>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Tested the completeness and accuracy of the calculation of permanent and temporary differences.</w:t>
      </w:r>
    </w:p>
    <w:p>
      <w:pPr>
        <w:spacing w:after="0" w:line="9" w:lineRule="exact"/>
        <w:rPr>
          <w:rFonts w:ascii="Arial" w:cs="Arial" w:eastAsia="Arial" w:hAnsi="Arial"/>
          <w:sz w:val="18"/>
          <w:szCs w:val="18"/>
          <w:color w:val="auto"/>
        </w:rPr>
      </w:pPr>
    </w:p>
    <w:p>
      <w:pPr>
        <w:ind w:left="340" w:hanging="201"/>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Determined that the ending gross temporary difference agreed to the supporting equity documentation.</w:t>
      </w:r>
    </w:p>
    <w:p>
      <w:pPr>
        <w:spacing w:after="0" w:line="9" w:lineRule="exact"/>
        <w:rPr>
          <w:rFonts w:ascii="Arial" w:cs="Arial" w:eastAsia="Arial" w:hAnsi="Arial"/>
          <w:sz w:val="18"/>
          <w:szCs w:val="18"/>
          <w:color w:val="auto"/>
        </w:rPr>
      </w:pPr>
    </w:p>
    <w:p>
      <w:pPr>
        <w:ind w:left="340" w:right="240" w:hanging="198"/>
        <w:spacing w:after="0" w:line="180" w:lineRule="auto"/>
        <w:tabs>
          <w:tab w:leader="none" w:pos="340" w:val="left"/>
        </w:tabs>
        <w:numPr>
          <w:ilvl w:val="0"/>
          <w:numId w:val="24"/>
        </w:numPr>
        <w:rPr>
          <w:rFonts w:ascii="Arial" w:cs="Arial" w:eastAsia="Arial" w:hAnsi="Arial"/>
          <w:sz w:val="32"/>
          <w:szCs w:val="32"/>
          <w:color w:val="auto"/>
          <w:vertAlign w:val="subscript"/>
        </w:rPr>
      </w:pPr>
      <w:r>
        <w:rPr>
          <w:rFonts w:ascii="Arial" w:cs="Arial" w:eastAsia="Arial" w:hAnsi="Arial"/>
          <w:sz w:val="18"/>
          <w:szCs w:val="18"/>
          <w:color w:val="auto"/>
        </w:rPr>
        <w:t>We tested the design and operating effectiveness of internal controls over the Company’s calculation of the tax effects covering the validation of the completeness and accuracy of underlying data used in the analysis.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20"/>
          </w:cols>
          <w:pgMar w:left="320" w:top="125" w:right="359" w:bottom="1440" w:gutter="0" w:footer="0" w:header="0"/>
        </w:sect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Qualys,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have audited the internal control over financial reporting of Qualys, Inc. (a Delaware corporation) and subsidiaries (the “Company”) as of December 31, 2022, based on criteria established in the 2013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the 2013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COSO.</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financial statements of the Company as of and for the year ended December 31, 2022, and our report dated February 23, 2023 expressed an unqualified opinion on those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7160" w:type="dxa"/>
            <w:vAlign w:val="bottom"/>
          </w:tcPr>
          <w:p>
            <w:pPr>
              <w:jc w:val="center"/>
              <w:ind w:left="1430"/>
              <w:spacing w:after="0"/>
              <w:rPr>
                <w:sz w:val="20"/>
                <w:szCs w:val="20"/>
                <w:color w:val="auto"/>
              </w:rPr>
            </w:pPr>
            <w:r>
              <w:rPr>
                <w:rFonts w:ascii="Arial" w:cs="Arial" w:eastAsia="Arial" w:hAnsi="Arial"/>
                <w:sz w:val="18"/>
                <w:szCs w:val="18"/>
                <w:b w:val="1"/>
                <w:bCs w:val="1"/>
                <w:color w:val="auto"/>
                <w:w w:val="90"/>
              </w:rPr>
              <w:t>Qualys, Inc.</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60" w:type="dxa"/>
            <w:vAlign w:val="bottom"/>
          </w:tcPr>
          <w:p>
            <w:pPr>
              <w:jc w:val="center"/>
              <w:ind w:left="143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7160" w:type="dxa"/>
            <w:vAlign w:val="bottom"/>
          </w:tcPr>
          <w:p>
            <w:pPr>
              <w:jc w:val="center"/>
              <w:ind w:left="14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18"/>
                <w:szCs w:val="18"/>
                <w:color w:val="auto"/>
              </w:rPr>
            </w:pPr>
          </w:p>
        </w:tc>
      </w:tr>
      <w:tr>
        <w:trPr>
          <w:trHeight w:val="209"/>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173,719</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137,328</w:t>
            </w: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Short-term marketable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147,608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267,960</w:t>
            </w: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8"/>
              </w:rPr>
              <w:t>Accounts receivable, net of allowance of $736 and $793 as of December 31, 2022 and 2021, respectively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108,998</w:t>
            </w: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32,112</w:t>
            </w:r>
          </w:p>
        </w:tc>
        <w:tc>
          <w:tcPr>
            <w:tcW w:w="100" w:type="dxa"/>
            <w:vAlign w:val="bottom"/>
          </w:tcPr>
          <w:p>
            <w:pPr>
              <w:spacing w:after="0"/>
              <w:rPr>
                <w:sz w:val="18"/>
                <w:szCs w:val="18"/>
                <w:color w:val="auto"/>
              </w:rPr>
            </w:pPr>
          </w:p>
        </w:tc>
      </w:tr>
      <w:tr>
        <w:trPr>
          <w:trHeight w:val="209"/>
        </w:trPr>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473,338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546,398</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Long-term marketable securities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59,206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111,198</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61,854</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Operating leases - right of use asset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37,016</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25,087</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6,545</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7,447</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r>
      <w:tr>
        <w:trPr>
          <w:trHeight w:val="216"/>
        </w:trPr>
        <w:tc>
          <w:tcPr>
            <w:tcW w:w="8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18,857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700,941</w:t>
            </w:r>
          </w:p>
        </w:tc>
        <w:tc>
          <w:tcPr>
            <w:tcW w:w="14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814,559</w:t>
            </w:r>
          </w:p>
        </w:tc>
      </w:tr>
      <w:tr>
        <w:trPr>
          <w:trHeight w:val="20"/>
        </w:trPr>
        <w:tc>
          <w:tcPr>
            <w:tcW w:w="1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1,296</w:t>
            </w: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42,592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32,504</w:t>
            </w: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Deferred revenues, current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257,872</w:t>
            </w: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 current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12,608</w:t>
            </w:r>
          </w:p>
        </w:tc>
        <w:tc>
          <w:tcPr>
            <w:tcW w:w="100" w:type="dxa"/>
            <w:vAlign w:val="bottom"/>
          </w:tcPr>
          <w:p>
            <w:pPr>
              <w:spacing w:after="0"/>
              <w:rPr>
                <w:sz w:val="18"/>
                <w:szCs w:val="18"/>
                <w:color w:val="auto"/>
              </w:rPr>
            </w:pPr>
          </w:p>
        </w:tc>
      </w:tr>
      <w:tr>
        <w:trPr>
          <w:trHeight w:val="210"/>
        </w:trPr>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304,280</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Deferred revenues, noncurrent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23,490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32,753</w:t>
            </w: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35,914</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4,898</w:t>
            </w:r>
          </w:p>
        </w:tc>
        <w:tc>
          <w:tcPr>
            <w:tcW w:w="100" w:type="dxa"/>
            <w:vAlign w:val="bottom"/>
          </w:tcPr>
          <w:p>
            <w:pPr>
              <w:spacing w:after="0"/>
              <w:rPr>
                <w:sz w:val="18"/>
                <w:szCs w:val="18"/>
                <w:color w:val="auto"/>
              </w:rPr>
            </w:pPr>
          </w:p>
        </w:tc>
      </w:tr>
      <w:tr>
        <w:trPr>
          <w:trHeight w:val="210"/>
        </w:trPr>
        <w:tc>
          <w:tcPr>
            <w:tcW w:w="8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411,812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377,845</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44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2"/>
              </w:rPr>
              <w:t>Preferred stock: $0.001 par value; 20,000 shares authorized, no shares issued and outstanding as of December</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31, 2022 and 2021</w:t>
            </w:r>
          </w:p>
        </w:tc>
        <w:tc>
          <w:tcPr>
            <w:tcW w:w="2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4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Common stock: $0.001 par value; 1,000,000 shares authorized, 37,362 and 39,112 shares issued and outstanding</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as of December 31, 2022 and 2021, respectively</w:t>
            </w: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512,486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477,323</w:t>
            </w:r>
          </w:p>
        </w:tc>
      </w:tr>
      <w:tr>
        <w:trPr>
          <w:trHeight w:val="216"/>
        </w:trPr>
        <w:tc>
          <w:tcPr>
            <w:tcW w:w="8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r>
      <w:tr>
        <w:trPr>
          <w:trHeight w:val="216"/>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(221,447)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(41,655)</w:t>
            </w:r>
          </w:p>
        </w:tc>
      </w:tr>
      <w:tr>
        <w:trPr>
          <w:trHeight w:val="210"/>
        </w:trPr>
        <w:tc>
          <w:tcPr>
            <w:tcW w:w="84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436,714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700,941</w:t>
            </w:r>
          </w:p>
        </w:tc>
        <w:tc>
          <w:tcPr>
            <w:tcW w:w="14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814,559</w:t>
            </w:r>
          </w:p>
        </w:tc>
      </w:tr>
      <w:tr>
        <w:trPr>
          <w:trHeight w:val="20"/>
        </w:trPr>
        <w:tc>
          <w:tcPr>
            <w:tcW w:w="128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28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4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1580" w:type="dxa"/>
            <w:vAlign w:val="bottom"/>
          </w:tcPr>
          <w:p>
            <w:pPr>
              <w:spacing w:after="0"/>
              <w:rPr>
                <w:sz w:val="24"/>
                <w:szCs w:val="24"/>
                <w:color w:val="auto"/>
              </w:rPr>
            </w:pPr>
          </w:p>
        </w:tc>
        <w:tc>
          <w:tcPr>
            <w:tcW w:w="440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0"/>
              </w:rPr>
              <w:t>Qualys, Inc.</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560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8"/>
              </w:rPr>
              <w:t>CONSOLIDATED STATEMENTS OF OPERATIONS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88"/>
              </w:rPr>
              <w:t>(in thousands, except per share data)</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489,723</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411,172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362,963</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102,788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89,439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79,226</w:t>
            </w: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386,935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321,733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283,737</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101,186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81,289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72,548</w:t>
            </w:r>
          </w:p>
        </w:tc>
      </w:tr>
      <w:tr>
        <w:trPr>
          <w:trHeight w:val="216"/>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97,221</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76,487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67,965</w:t>
            </w:r>
          </w:p>
        </w:tc>
      </w:tr>
      <w:tr>
        <w:trPr>
          <w:trHeight w:val="216"/>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57,981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76,274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46,570</w:t>
            </w:r>
          </w:p>
        </w:tc>
      </w:tr>
      <w:tr>
        <w:trPr>
          <w:trHeight w:val="20"/>
        </w:trPr>
        <w:tc>
          <w:tcPr>
            <w:tcW w:w="12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86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256,388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234,050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187,083</w:t>
            </w: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130,547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87,683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96,654</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Interest income</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5,191</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5,385</w:t>
            </w:r>
          </w:p>
        </w:tc>
      </w:tr>
      <w:tr>
        <w:trPr>
          <w:trHeight w:val="216"/>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0"/>
        </w:trPr>
        <w:tc>
          <w:tcPr>
            <w:tcW w:w="128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860" w:type="dxa"/>
            <w:vAlign w:val="bottom"/>
            <w:gridSpan w:val="2"/>
          </w:tcPr>
          <w:p>
            <w:pPr>
              <w:ind w:left="340"/>
              <w:spacing w:after="0"/>
              <w:rPr>
                <w:sz w:val="20"/>
                <w:szCs w:val="20"/>
                <w:color w:val="auto"/>
              </w:rPr>
            </w:pPr>
            <w:r>
              <w:rPr>
                <w:rFonts w:ascii="Arial" w:cs="Arial" w:eastAsia="Arial" w:hAnsi="Arial"/>
                <w:sz w:val="18"/>
                <w:szCs w:val="18"/>
                <w:color w:val="auto"/>
              </w:rPr>
              <w:t>Total other income, net</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3,153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1,714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5,383</w:t>
            </w: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133,700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89,397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102,037</w:t>
            </w: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25,708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18,437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10,465</w:t>
            </w: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4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107,992</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70,960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91,572</w:t>
            </w:r>
          </w:p>
        </w:tc>
      </w:tr>
      <w:tr>
        <w:trPr>
          <w:trHeight w:val="197"/>
        </w:trPr>
        <w:tc>
          <w:tcPr>
            <w:tcW w:w="286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Net income per share:</w:t>
            </w:r>
          </w:p>
        </w:tc>
        <w:tc>
          <w:tcPr>
            <w:tcW w:w="4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36"/>
        </w:trPr>
        <w:tc>
          <w:tcPr>
            <w:tcW w:w="2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1.82</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286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Diluted</w:t>
            </w:r>
          </w:p>
        </w:tc>
        <w:tc>
          <w:tcPr>
            <w:tcW w:w="4120" w:type="dxa"/>
            <w:vAlign w:val="bottom"/>
          </w:tcPr>
          <w:p>
            <w:pPr>
              <w:spacing w:after="0"/>
              <w:rPr>
                <w:sz w:val="17"/>
                <w:szCs w:val="17"/>
                <w:color w:val="auto"/>
              </w:rPr>
            </w:pP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2.74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1.77</w:t>
            </w:r>
          </w:p>
        </w:tc>
        <w:tc>
          <w:tcPr>
            <w:tcW w:w="3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2.25</w:t>
            </w: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260" w:type="dxa"/>
            <w:vAlign w:val="bottom"/>
            <w:gridSpan w:val="4"/>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used in computing net income per share:</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86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38,453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39,030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39,167</w:t>
            </w:r>
          </w:p>
        </w:tc>
      </w:tr>
      <w:tr>
        <w:trPr>
          <w:trHeight w:val="20"/>
        </w:trPr>
        <w:tc>
          <w:tcPr>
            <w:tcW w:w="1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286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4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39,344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40,118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40,740</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4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698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700" w:type="dxa"/>
            <w:vAlign w:val="bottom"/>
          </w:tcPr>
          <w:p>
            <w:pPr>
              <w:jc w:val="center"/>
              <w:ind w:left="2890"/>
              <w:spacing w:after="0"/>
              <w:rPr>
                <w:sz w:val="20"/>
                <w:szCs w:val="20"/>
                <w:color w:val="auto"/>
              </w:rPr>
            </w:pPr>
            <w:r>
              <w:rPr>
                <w:rFonts w:ascii="Arial" w:cs="Arial" w:eastAsia="Arial" w:hAnsi="Arial"/>
                <w:sz w:val="18"/>
                <w:szCs w:val="18"/>
                <w:b w:val="1"/>
                <w:bCs w:val="1"/>
                <w:color w:val="auto"/>
                <w:w w:val="90"/>
              </w:rPr>
              <w:t>Qualys, Inc.</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80" w:type="dxa"/>
            <w:vAlign w:val="bottom"/>
            <w:gridSpan w:val="4"/>
          </w:tcPr>
          <w:p>
            <w:pPr>
              <w:jc w:val="center"/>
              <w:ind w:left="1410"/>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700" w:type="dxa"/>
            <w:vAlign w:val="bottom"/>
          </w:tcPr>
          <w:p>
            <w:pPr>
              <w:jc w:val="center"/>
              <w:ind w:left="2910"/>
              <w:spacing w:after="0"/>
              <w:rPr>
                <w:sz w:val="20"/>
                <w:szCs w:val="20"/>
                <w:color w:val="auto"/>
              </w:rPr>
            </w:pPr>
            <w:r>
              <w:rPr>
                <w:rFonts w:ascii="Arial" w:cs="Arial" w:eastAsia="Arial" w:hAnsi="Arial"/>
                <w:sz w:val="18"/>
                <w:szCs w:val="18"/>
                <w:b w:val="1"/>
                <w:bCs w:val="1"/>
                <w:color w:val="auto"/>
                <w:w w:val="88"/>
              </w:rPr>
              <w:t>(in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70,960</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91,572</w:t>
            </w:r>
          </w:p>
        </w:tc>
      </w:tr>
      <w:tr>
        <w:trPr>
          <w:trHeight w:val="216"/>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6"/>
              </w:rPr>
              <w:t>Net change in unrealized gains (losses) on available-for-sale debt securities, net of tax</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6980" w:type="dxa"/>
            <w:vAlign w:val="bottom"/>
            <w:gridSpan w:val="2"/>
          </w:tcPr>
          <w:p>
            <w:pPr>
              <w:ind w:left="340"/>
              <w:spacing w:after="0"/>
              <w:rPr>
                <w:sz w:val="20"/>
                <w:szCs w:val="20"/>
                <w:color w:val="auto"/>
              </w:rPr>
            </w:pPr>
            <w:r>
              <w:rPr>
                <w:rFonts w:ascii="Arial" w:cs="Arial" w:eastAsia="Arial" w:hAnsi="Arial"/>
                <w:sz w:val="18"/>
                <w:szCs w:val="18"/>
                <w:color w:val="auto"/>
              </w:rPr>
              <w:t>Net change in unrealized gains (losses) on cash flow hedges, net of tax</w:t>
            </w: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(434)</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2,900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(2,048)</w:t>
            </w: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(2,954)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(1,646)</w:t>
            </w:r>
          </w:p>
        </w:tc>
      </w:tr>
      <w:tr>
        <w:trPr>
          <w:trHeight w:val="20"/>
        </w:trPr>
        <w:tc>
          <w:tcPr>
            <w:tcW w:w="1280" w:type="dxa"/>
            <w:vAlign w:val="bottom"/>
            <w:shd w:val="clear" w:color="auto" w:fill="CCEEFF"/>
          </w:tcPr>
          <w:p>
            <w:pPr>
              <w:spacing w:after="0" w:line="20" w:lineRule="exact"/>
              <w:rPr>
                <w:sz w:val="1"/>
                <w:szCs w:val="1"/>
                <w:color w:val="auto"/>
              </w:rPr>
            </w:pPr>
          </w:p>
        </w:tc>
        <w:tc>
          <w:tcPr>
            <w:tcW w:w="57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98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105,038</w:t>
            </w:r>
          </w:p>
        </w:tc>
        <w:tc>
          <w:tcPr>
            <w:tcW w:w="2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72,451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89,926</w:t>
            </w:r>
          </w:p>
        </w:tc>
      </w:tr>
      <w:tr>
        <w:trPr>
          <w:trHeight w:val="20"/>
        </w:trPr>
        <w:tc>
          <w:tcPr>
            <w:tcW w:w="12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686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5580" w:type="dxa"/>
            <w:vAlign w:val="bottom"/>
          </w:tcPr>
          <w:p>
            <w:pPr>
              <w:jc w:val="center"/>
              <w:ind w:left="3010"/>
              <w:spacing w:after="0"/>
              <w:rPr>
                <w:sz w:val="20"/>
                <w:szCs w:val="20"/>
                <w:color w:val="auto"/>
              </w:rPr>
            </w:pPr>
            <w:r>
              <w:rPr>
                <w:rFonts w:ascii="Arial" w:cs="Arial" w:eastAsia="Arial" w:hAnsi="Arial"/>
                <w:sz w:val="18"/>
                <w:szCs w:val="18"/>
                <w:b w:val="1"/>
                <w:bCs w:val="1"/>
                <w:color w:val="auto"/>
                <w:w w:val="90"/>
              </w:rPr>
              <w:t>Qualys, Inc.</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80" w:type="dxa"/>
            <w:vAlign w:val="bottom"/>
            <w:gridSpan w:val="5"/>
          </w:tcPr>
          <w:p>
            <w:pPr>
              <w:jc w:val="center"/>
              <w:ind w:left="1410"/>
              <w:spacing w:after="0"/>
              <w:rPr>
                <w:sz w:val="20"/>
                <w:szCs w:val="20"/>
                <w:color w:val="auto"/>
              </w:rPr>
            </w:pPr>
            <w:r>
              <w:rPr>
                <w:rFonts w:ascii="Arial" w:cs="Arial" w:eastAsia="Arial" w:hAnsi="Arial"/>
                <w:sz w:val="18"/>
                <w:szCs w:val="18"/>
                <w:b w:val="1"/>
                <w:bCs w:val="1"/>
                <w:color w:val="auto"/>
                <w:w w:val="99"/>
              </w:rPr>
              <w:t>CONSOLIDATED STATEMENTS OF CASH FLOWS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5580" w:type="dxa"/>
            <w:vAlign w:val="bottom"/>
          </w:tcPr>
          <w:p>
            <w:pPr>
              <w:jc w:val="center"/>
              <w:ind w:left="303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107,992</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70,960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91,572</w:t>
            </w: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 expense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34,622</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35,897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32,845</w:t>
            </w:r>
          </w:p>
        </w:tc>
      </w:tr>
      <w:tr>
        <w:trPr>
          <w:trHeight w:val="216"/>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Write off of noncurrent asset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Provision for credit losses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486</w:t>
            </w:r>
          </w:p>
        </w:tc>
      </w:tr>
      <w:tr>
        <w:trPr>
          <w:trHeight w:val="216"/>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disposal of 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r>
      <w:tr>
        <w:trPr>
          <w:trHeight w:val="216"/>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53,408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67,579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40,035</w:t>
            </w:r>
          </w:p>
        </w:tc>
      </w:tr>
      <w:tr>
        <w:trPr>
          <w:trHeight w:val="216"/>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premiums on marketable securities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w:t>
            </w:r>
          </w:p>
        </w:tc>
      </w:tr>
      <w:tr>
        <w:trPr>
          <w:trHeight w:val="216"/>
        </w:trPr>
        <w:tc>
          <w:tcPr>
            <w:tcW w:w="6860" w:type="dxa"/>
            <w:vAlign w:val="bottom"/>
            <w:gridSpan w:val="2"/>
          </w:tcPr>
          <w:p>
            <w:pPr>
              <w:ind w:left="3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(20,251)</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(9,723)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3,512</w:t>
            </w:r>
          </w:p>
        </w:tc>
      </w:tr>
      <w:tr>
        <w:trPr>
          <w:trHeight w:val="216"/>
        </w:trPr>
        <w:tc>
          <w:tcPr>
            <w:tcW w:w="6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500"/>
              <w:spacing w:after="0"/>
              <w:rPr>
                <w:sz w:val="20"/>
                <w:szCs w:val="20"/>
                <w:color w:val="auto"/>
              </w:rPr>
            </w:pPr>
            <w:r>
              <w:rPr>
                <w:rFonts w:ascii="Arial" w:cs="Arial" w:eastAsia="Arial" w:hAnsi="Arial"/>
                <w:sz w:val="18"/>
                <w:szCs w:val="18"/>
                <w:color w:val="auto"/>
              </w:rPr>
              <w:t>Accounts receivable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(13,387)</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(9,221)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(22,631)</w:t>
            </w:r>
          </w:p>
        </w:tc>
      </w:tr>
      <w:tr>
        <w:trPr>
          <w:trHeight w:val="216"/>
        </w:trPr>
        <w:tc>
          <w:tcPr>
            <w:tcW w:w="6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(15,665)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(2,329)</w:t>
            </w:r>
          </w:p>
        </w:tc>
      </w:tr>
      <w:tr>
        <w:trPr>
          <w:trHeight w:val="216"/>
        </w:trPr>
        <w:tc>
          <w:tcPr>
            <w:tcW w:w="6860" w:type="dxa"/>
            <w:vAlign w:val="bottom"/>
            <w:gridSpan w:val="2"/>
          </w:tcPr>
          <w:p>
            <w:pPr>
              <w:ind w:left="50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2,107</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r>
      <w:tr>
        <w:trPr>
          <w:trHeight w:val="216"/>
        </w:trPr>
        <w:tc>
          <w:tcPr>
            <w:tcW w:w="6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Accrued liabilities and other noncurrent liabilities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5,126</w:t>
            </w:r>
          </w:p>
        </w:tc>
      </w:tr>
      <w:tr>
        <w:trPr>
          <w:trHeight w:val="216"/>
        </w:trPr>
        <w:tc>
          <w:tcPr>
            <w:tcW w:w="6860" w:type="dxa"/>
            <w:vAlign w:val="bottom"/>
            <w:gridSpan w:val="2"/>
          </w:tcPr>
          <w:p>
            <w:pPr>
              <w:ind w:left="50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25,189</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46,591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30,927</w:t>
            </w:r>
          </w:p>
        </w:tc>
      </w:tr>
      <w:tr>
        <w:trPr>
          <w:trHeight w:val="209"/>
        </w:trPr>
        <w:tc>
          <w:tcPr>
            <w:tcW w:w="686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200,616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180,086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6860" w:type="dxa"/>
            <w:vAlign w:val="bottom"/>
            <w:gridSpan w:val="2"/>
          </w:tcPr>
          <w:p>
            <w:pPr>
              <w:spacing w:after="0"/>
              <w:rPr>
                <w:sz w:val="20"/>
                <w:szCs w:val="20"/>
                <w:color w:val="auto"/>
              </w:rPr>
            </w:pPr>
            <w:r>
              <w:rPr>
                <w:rFonts w:ascii="Arial" w:cs="Arial" w:eastAsia="Arial" w:hAnsi="Arial"/>
                <w:sz w:val="18"/>
                <w:szCs w:val="18"/>
                <w:color w:val="auto"/>
              </w:rPr>
              <w:t>Cash flow from investing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marketable securities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(178,788)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(368,450)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(391,693)</w:t>
            </w: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347,837</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363,941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341,879</w:t>
            </w: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(15,361)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(30,037)</w:t>
            </w: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Proceeds from disposal of property and equipment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419</w:t>
            </w: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Purchases of intangible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(8,620)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Maturity of note receivable</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6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Net cash provided by (used in) investing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145,068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(80,932)</w:t>
            </w:r>
          </w:p>
        </w:tc>
      </w:tr>
      <w:tr>
        <w:trPr>
          <w:trHeight w:val="210"/>
        </w:trPr>
        <w:tc>
          <w:tcPr>
            <w:tcW w:w="686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Cash flow from financing activities:</w:t>
            </w: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(317,344)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(129,977)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(126,729)</w:t>
            </w: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Proceeds from exercise of stock options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24,483</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49,994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34,461</w:t>
            </w: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(17,615)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(20,199)</w:t>
            </w: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common stock through employee stock purchase plan</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4,445</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Principal payments under finance lease obligations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
        </w:trPr>
        <w:tc>
          <w:tcPr>
            <w:tcW w:w="1280" w:type="dxa"/>
            <w:vAlign w:val="bottom"/>
            <w:shd w:val="clear" w:color="auto" w:fill="CCEEFF"/>
          </w:tcPr>
          <w:p>
            <w:pPr>
              <w:spacing w:after="0" w:line="20" w:lineRule="exact"/>
              <w:rPr>
                <w:sz w:val="1"/>
                <w:szCs w:val="1"/>
                <w:color w:val="auto"/>
              </w:rPr>
            </w:pPr>
          </w:p>
        </w:tc>
        <w:tc>
          <w:tcPr>
            <w:tcW w:w="5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860" w:type="dxa"/>
            <w:vAlign w:val="bottom"/>
            <w:gridSpan w:val="2"/>
          </w:tcPr>
          <w:p>
            <w:pPr>
              <w:ind w:left="660"/>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(306,031)</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(107,888)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(112,581)</w:t>
            </w: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37,891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63,196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(13,427)</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138,528</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75,332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88,759</w:t>
            </w:r>
          </w:p>
        </w:tc>
      </w:tr>
      <w:tr>
        <w:trPr>
          <w:trHeight w:val="20"/>
        </w:trPr>
        <w:tc>
          <w:tcPr>
            <w:tcW w:w="12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176,419</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138,528</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75,332</w:t>
            </w:r>
          </w:p>
        </w:tc>
      </w:tr>
      <w:tr>
        <w:trPr>
          <w:trHeight w:val="196"/>
        </w:trPr>
        <w:tc>
          <w:tcPr>
            <w:tcW w:w="6860" w:type="dxa"/>
            <w:vAlign w:val="bottom"/>
            <w:tcBorders>
              <w:top w:val="single" w:sz="8" w:color="CCEEFF"/>
            </w:tcBorders>
            <w:gridSpan w:val="2"/>
          </w:tcPr>
          <w:p>
            <w:pPr>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1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paid for interest expense</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rPr>
              <w:t>Cash paid for income taxes, net of refunds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39,739</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35,080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8,058</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gridSpan w:val="2"/>
          </w:tcPr>
          <w:p>
            <w:pPr>
              <w:ind w:left="180"/>
              <w:spacing w:after="0"/>
              <w:rPr>
                <w:sz w:val="20"/>
                <w:szCs w:val="20"/>
                <w:color w:val="auto"/>
              </w:rPr>
            </w:pPr>
            <w:r>
              <w:rPr>
                <w:rFonts w:ascii="Arial" w:cs="Arial" w:eastAsia="Arial" w:hAnsi="Arial"/>
                <w:sz w:val="18"/>
                <w:szCs w:val="18"/>
                <w:color w:val="auto"/>
                <w:w w:val="91"/>
              </w:rPr>
              <w:t>Purchases of intangible assets recorded in accrued liabilities and other noncurrent liabilities</w:t>
            </w:r>
          </w:p>
        </w:tc>
        <w:tc>
          <w:tcPr>
            <w:tcW w:w="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2,110</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68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2"/>
              </w:rPr>
              <w:t>Purchases of property and equipment recorded in accounts payable and accrued liabilities</w:t>
            </w:r>
          </w:p>
        </w:tc>
        <w:tc>
          <w:tcPr>
            <w:tcW w:w="4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2,086</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3340" w:type="dxa"/>
            <w:vAlign w:val="bottom"/>
          </w:tcPr>
          <w:p>
            <w:pPr>
              <w:spacing w:after="0"/>
              <w:rPr>
                <w:sz w:val="24"/>
                <w:szCs w:val="24"/>
                <w:color w:val="auto"/>
              </w:rPr>
            </w:pPr>
          </w:p>
        </w:tc>
        <w:tc>
          <w:tcPr>
            <w:tcW w:w="1660" w:type="dxa"/>
            <w:vAlign w:val="bottom"/>
            <w:gridSpan w:val="5"/>
          </w:tcPr>
          <w:p>
            <w:pPr>
              <w:jc w:val="center"/>
              <w:ind w:left="250"/>
              <w:spacing w:after="0"/>
              <w:rPr>
                <w:sz w:val="20"/>
                <w:szCs w:val="20"/>
                <w:color w:val="auto"/>
              </w:rPr>
            </w:pPr>
            <w:r>
              <w:rPr>
                <w:rFonts w:ascii="Arial" w:cs="Arial" w:eastAsia="Arial" w:hAnsi="Arial"/>
                <w:sz w:val="18"/>
                <w:szCs w:val="18"/>
                <w:b w:val="1"/>
                <w:bCs w:val="1"/>
                <w:color w:val="auto"/>
                <w:w w:val="90"/>
              </w:rPr>
              <w:t>Qualys, Inc.</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440" w:type="dxa"/>
            <w:vAlign w:val="bottom"/>
            <w:gridSpan w:val="14"/>
          </w:tcPr>
          <w:p>
            <w:pPr>
              <w:jc w:val="center"/>
              <w:ind w:left="1110"/>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660" w:type="dxa"/>
            <w:vAlign w:val="bottom"/>
            <w:gridSpan w:val="5"/>
          </w:tcPr>
          <w:p>
            <w:pPr>
              <w:jc w:val="center"/>
              <w:ind w:left="27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2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60" w:type="dxa"/>
            <w:vAlign w:val="bottom"/>
            <w:gridSpan w:val="5"/>
            <w:vMerge w:val="restart"/>
          </w:tcPr>
          <w:p>
            <w:pPr>
              <w:jc w:val="right"/>
              <w:ind w:right="30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Retained</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660" w:type="dxa"/>
            <w:vAlign w:val="bottom"/>
            <w:gridSpan w:val="5"/>
            <w:vMerge w:val="continue"/>
          </w:tcPr>
          <w:p>
            <w:pPr>
              <w:spacing w:after="0"/>
              <w:rPr>
                <w:sz w:val="19"/>
                <w:szCs w:val="19"/>
                <w:color w:val="auto"/>
              </w:rPr>
            </w:pPr>
          </w:p>
        </w:tc>
        <w:tc>
          <w:tcPr>
            <w:tcW w:w="1040" w:type="dxa"/>
            <w:vAlign w:val="bottom"/>
            <w:gridSpan w:val="4"/>
          </w:tcPr>
          <w:p>
            <w:pPr>
              <w:ind w:left="80"/>
              <w:spacing w:after="0"/>
              <w:rPr>
                <w:sz w:val="20"/>
                <w:szCs w:val="20"/>
                <w:color w:val="auto"/>
              </w:rPr>
            </w:pPr>
            <w:r>
              <w:rPr>
                <w:rFonts w:ascii="Arial" w:cs="Arial" w:eastAsia="Arial" w:hAnsi="Arial"/>
                <w:sz w:val="18"/>
                <w:szCs w:val="18"/>
                <w:b w:val="1"/>
                <w:bCs w:val="1"/>
                <w:color w:val="auto"/>
              </w:rPr>
              <w:t>Additional</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Earnings</w:t>
            </w:r>
          </w:p>
        </w:tc>
        <w:tc>
          <w:tcPr>
            <w:tcW w:w="18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1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2"/>
          </w:tcPr>
          <w:p>
            <w:pPr>
              <w:jc w:val="right"/>
              <w:ind w:right="260"/>
              <w:spacing w:after="0" w:line="191" w:lineRule="exact"/>
              <w:rPr>
                <w:sz w:val="20"/>
                <w:szCs w:val="20"/>
                <w:color w:val="auto"/>
              </w:rPr>
            </w:pPr>
            <w:r>
              <w:rPr>
                <w:rFonts w:ascii="Arial" w:cs="Arial" w:eastAsia="Arial" w:hAnsi="Arial"/>
                <w:sz w:val="18"/>
                <w:szCs w:val="18"/>
                <w:b w:val="1"/>
                <w:bCs w:val="1"/>
                <w:color w:val="auto"/>
                <w:w w:val="96"/>
              </w:rPr>
              <w:t>Paid-In</w:t>
            </w:r>
          </w:p>
        </w:tc>
        <w:tc>
          <w:tcPr>
            <w:tcW w:w="1400" w:type="dxa"/>
            <w:vAlign w:val="bottom"/>
            <w:gridSpan w:val="4"/>
          </w:tcPr>
          <w:p>
            <w:pPr>
              <w:jc w:val="center"/>
              <w:ind w:right="60"/>
              <w:spacing w:after="0" w:line="191" w:lineRule="exact"/>
              <w:rPr>
                <w:sz w:val="20"/>
                <w:szCs w:val="20"/>
                <w:color w:val="auto"/>
              </w:rPr>
            </w:pPr>
            <w:r>
              <w:rPr>
                <w:rFonts w:ascii="Arial" w:cs="Arial" w:eastAsia="Arial" w:hAnsi="Arial"/>
                <w:sz w:val="18"/>
                <w:szCs w:val="18"/>
                <w:b w:val="1"/>
                <w:bCs w:val="1"/>
                <w:color w:val="auto"/>
                <w:w w:val="87"/>
              </w:rPr>
              <w:t>Comprehensive</w:t>
            </w:r>
          </w:p>
        </w:tc>
        <w:tc>
          <w:tcPr>
            <w:tcW w:w="1360" w:type="dxa"/>
            <w:vAlign w:val="bottom"/>
            <w:gridSpan w:val="4"/>
          </w:tcPr>
          <w:p>
            <w:pPr>
              <w:jc w:val="center"/>
              <w:ind w:right="12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5"/>
              </w:rPr>
              <w:t>Stockholders’</w:t>
            </w: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Shares</w:t>
            </w:r>
          </w:p>
        </w:tc>
        <w:tc>
          <w:tcPr>
            <w:tcW w:w="200" w:type="dxa"/>
            <w:vAlign w:val="bottom"/>
          </w:tcPr>
          <w:p>
            <w:pPr>
              <w:spacing w:after="0"/>
              <w:rPr>
                <w:sz w:val="20"/>
                <w:szCs w:val="20"/>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4"/>
              </w:rPr>
              <w:t>Deficit)</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362,408</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1,162</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23,194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386,803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91,572</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91,572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w w:val="96"/>
              </w:rPr>
              <w:t>Issuance of common stock upon exercise of stock options</w:t>
            </w:r>
          </w:p>
        </w:tc>
        <w:tc>
          <w:tcPr>
            <w:tcW w:w="660" w:type="dxa"/>
            <w:vAlign w:val="bottom"/>
          </w:tcPr>
          <w:p>
            <w:pPr>
              <w:jc w:val="right"/>
              <w:spacing w:after="0"/>
              <w:rPr>
                <w:sz w:val="20"/>
                <w:szCs w:val="20"/>
                <w:color w:val="auto"/>
              </w:rPr>
            </w:pPr>
            <w:r>
              <w:rPr>
                <w:rFonts w:ascii="Arial" w:cs="Arial" w:eastAsia="Arial" w:hAnsi="Arial"/>
                <w:sz w:val="18"/>
                <w:szCs w:val="18"/>
                <w:color w:val="auto"/>
              </w:rPr>
              <w:t>1,130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34,460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34,461</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(1,293)</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(111,198)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(126,729)</w:t>
            </w:r>
          </w:p>
        </w:tc>
        <w:tc>
          <w:tcPr>
            <w:tcW w:w="0" w:type="dxa"/>
            <w:vAlign w:val="bottom"/>
          </w:tcPr>
          <w:p>
            <w:pPr>
              <w:spacing w:after="0"/>
              <w:rPr>
                <w:sz w:val="1"/>
                <w:szCs w:val="1"/>
                <w:color w:val="auto"/>
              </w:rPr>
            </w:pPr>
          </w:p>
        </w:tc>
      </w:tr>
      <w:tr>
        <w:trPr>
          <w:trHeight w:val="202"/>
        </w:trPr>
        <w:tc>
          <w:tcPr>
            <w:tcW w:w="46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Issuance of common stock upon vesting of restricted stock</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units</w:t>
            </w:r>
          </w:p>
        </w:tc>
        <w:tc>
          <w:tcPr>
            <w:tcW w:w="660" w:type="dxa"/>
            <w:vAlign w:val="bottom"/>
          </w:tcPr>
          <w:p>
            <w:pPr>
              <w:jc w:val="right"/>
              <w:spacing w:after="0"/>
              <w:rPr>
                <w:sz w:val="20"/>
                <w:szCs w:val="20"/>
                <w:color w:val="auto"/>
              </w:rPr>
            </w:pPr>
            <w:r>
              <w:rPr>
                <w:rFonts w:ascii="Arial" w:cs="Arial" w:eastAsia="Arial" w:hAnsi="Arial"/>
                <w:sz w:val="18"/>
                <w:szCs w:val="18"/>
                <w:color w:val="auto"/>
              </w:rPr>
              <w:t>476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 related to net share settlement of equity awards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(20,199)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(20,199)</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40,220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40,220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39,253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401,359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(484</w:t>
            </w: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3,568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404,482</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70,960</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70,960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income, net of tax</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w w:val="96"/>
              </w:rPr>
              <w:t>Issuance of common stock upon exercise of stock options</w:t>
            </w:r>
          </w:p>
        </w:tc>
        <w:tc>
          <w:tcPr>
            <w:tcW w:w="660" w:type="dxa"/>
            <w:vAlign w:val="bottom"/>
          </w:tcPr>
          <w:p>
            <w:pPr>
              <w:jc w:val="right"/>
              <w:spacing w:after="0"/>
              <w:rPr>
                <w:sz w:val="20"/>
                <w:szCs w:val="20"/>
                <w:color w:val="auto"/>
              </w:rPr>
            </w:pPr>
            <w:r>
              <w:rPr>
                <w:rFonts w:ascii="Arial" w:cs="Arial" w:eastAsia="Arial" w:hAnsi="Arial"/>
                <w:sz w:val="18"/>
                <w:szCs w:val="18"/>
                <w:color w:val="auto"/>
              </w:rPr>
              <w:t>725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49,993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49,994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(1,148)</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(13,793)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(116,183)</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(129,977)</w:t>
            </w:r>
          </w:p>
        </w:tc>
        <w:tc>
          <w:tcPr>
            <w:tcW w:w="0" w:type="dxa"/>
            <w:vAlign w:val="bottom"/>
          </w:tcPr>
          <w:p>
            <w:pPr>
              <w:spacing w:after="0"/>
              <w:rPr>
                <w:sz w:val="1"/>
                <w:szCs w:val="1"/>
                <w:color w:val="auto"/>
              </w:rPr>
            </w:pPr>
          </w:p>
        </w:tc>
      </w:tr>
      <w:tr>
        <w:trPr>
          <w:trHeight w:val="202"/>
        </w:trPr>
        <w:tc>
          <w:tcPr>
            <w:tcW w:w="46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Issuance of common stock upon vesting of restricted stock</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units</w:t>
            </w:r>
          </w:p>
        </w:tc>
        <w:tc>
          <w:tcPr>
            <w:tcW w:w="660" w:type="dxa"/>
            <w:vAlign w:val="bottom"/>
          </w:tcPr>
          <w:p>
            <w:pPr>
              <w:jc w:val="right"/>
              <w:spacing w:after="0"/>
              <w:rPr>
                <w:sz w:val="20"/>
                <w:szCs w:val="20"/>
                <w:color w:val="auto"/>
              </w:rPr>
            </w:pPr>
            <w:r>
              <w:rPr>
                <w:rFonts w:ascii="Arial" w:cs="Arial" w:eastAsia="Arial" w:hAnsi="Arial"/>
                <w:sz w:val="18"/>
                <w:szCs w:val="18"/>
                <w:color w:val="auto"/>
              </w:rPr>
              <w:t>530</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 related to net share settlement of equity awards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(27,815)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(27,815)</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67,579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67,579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39,112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477,323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(41,655</w:t>
            </w: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436,714</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ind w:left="180"/>
              <w:spacing w:after="0"/>
              <w:rPr>
                <w:sz w:val="20"/>
                <w:szCs w:val="20"/>
                <w:color w:val="auto"/>
              </w:rPr>
            </w:pPr>
            <w:r>
              <w:rPr>
                <w:rFonts w:ascii="Arial" w:cs="Arial" w:eastAsia="Arial" w:hAnsi="Arial"/>
                <w:sz w:val="18"/>
                <w:szCs w:val="18"/>
                <w:color w:val="auto"/>
              </w:rPr>
              <w:t>Net income</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107,992</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107,992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comprehensive loss, net of tax</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16"/>
        </w:trPr>
        <w:tc>
          <w:tcPr>
            <w:tcW w:w="4620" w:type="dxa"/>
            <w:vAlign w:val="bottom"/>
            <w:gridSpan w:val="2"/>
          </w:tcPr>
          <w:p>
            <w:pPr>
              <w:ind w:left="180"/>
              <w:spacing w:after="0"/>
              <w:rPr>
                <w:sz w:val="20"/>
                <w:szCs w:val="20"/>
                <w:color w:val="auto"/>
              </w:rPr>
            </w:pPr>
            <w:r>
              <w:rPr>
                <w:rFonts w:ascii="Arial" w:cs="Arial" w:eastAsia="Arial" w:hAnsi="Arial"/>
                <w:sz w:val="18"/>
                <w:szCs w:val="18"/>
                <w:color w:val="auto"/>
                <w:w w:val="96"/>
              </w:rPr>
              <w:t>Issuance of common stock upon exercise of stock options</w:t>
            </w:r>
          </w:p>
        </w:tc>
        <w:tc>
          <w:tcPr>
            <w:tcW w:w="660" w:type="dxa"/>
            <w:vAlign w:val="bottom"/>
          </w:tcPr>
          <w:p>
            <w:pPr>
              <w:jc w:val="right"/>
              <w:spacing w:after="0"/>
              <w:rPr>
                <w:sz w:val="20"/>
                <w:szCs w:val="20"/>
                <w:color w:val="auto"/>
              </w:rPr>
            </w:pPr>
            <w:r>
              <w:rPr>
                <w:rFonts w:ascii="Arial" w:cs="Arial" w:eastAsia="Arial" w:hAnsi="Arial"/>
                <w:sz w:val="18"/>
                <w:szCs w:val="18"/>
                <w:color w:val="auto"/>
              </w:rPr>
              <w:t>468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24,483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24,483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Repurchase of common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(2,460)</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(287,784)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(317,344)</w:t>
            </w:r>
          </w:p>
        </w:tc>
        <w:tc>
          <w:tcPr>
            <w:tcW w:w="0" w:type="dxa"/>
            <w:vAlign w:val="bottom"/>
          </w:tcPr>
          <w:p>
            <w:pPr>
              <w:spacing w:after="0"/>
              <w:rPr>
                <w:sz w:val="1"/>
                <w:szCs w:val="1"/>
                <w:color w:val="auto"/>
              </w:rPr>
            </w:pPr>
          </w:p>
        </w:tc>
      </w:tr>
      <w:tr>
        <w:trPr>
          <w:trHeight w:val="202"/>
        </w:trPr>
        <w:tc>
          <w:tcPr>
            <w:tcW w:w="462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4"/>
              </w:rPr>
              <w:t>Issuance of common stock upon vesting of restricted stock</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ind w:left="340"/>
              <w:spacing w:after="0"/>
              <w:rPr>
                <w:sz w:val="20"/>
                <w:szCs w:val="20"/>
                <w:color w:val="auto"/>
              </w:rPr>
            </w:pPr>
            <w:r>
              <w:rPr>
                <w:rFonts w:ascii="Arial" w:cs="Arial" w:eastAsia="Arial" w:hAnsi="Arial"/>
                <w:sz w:val="18"/>
                <w:szCs w:val="18"/>
                <w:color w:val="auto"/>
              </w:rPr>
              <w:t>units</w:t>
            </w: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Taxes related to net share settlement of equity awards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w:t>
            </w:r>
          </w:p>
        </w:tc>
        <w:tc>
          <w:tcPr>
            <w:tcW w:w="3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w w:val="94"/>
              </w:rPr>
              <w:t>Issuance of common stock through employee stock purchase</w:t>
            </w: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plan</w:t>
            </w:r>
          </w:p>
        </w:tc>
        <w:tc>
          <w:tcPr>
            <w:tcW w:w="6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4,445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53,408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334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Balances at December 31, 2022</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37,362</w:t>
            </w:r>
          </w:p>
        </w:tc>
        <w:tc>
          <w:tcPr>
            <w:tcW w:w="20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512,486</w:t>
            </w:r>
          </w:p>
        </w:tc>
        <w:tc>
          <w:tcPr>
            <w:tcW w:w="14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(1,947</w:t>
            </w:r>
            <w:r>
              <w:rPr>
                <w:rFonts w:ascii="Arial" w:cs="Arial" w:eastAsia="Arial" w:hAnsi="Arial"/>
                <w:sz w:val="18"/>
                <w:szCs w:val="18"/>
                <w:color w:val="auto"/>
              </w:rPr>
              <w:t>)</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(221,447</w:t>
            </w: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289,129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5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The Company and Summary of Significant Accounting Policies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Qualys, Inc. (the “Company”, “we”, “us”, “our”) was incorporated in the state of Delaware on December 30, 1999. The Company is headquartered in Foster City, California and has wholly-owned subsidiaries throughout the world. The Company is a pioneer and leading provider of cloud-based IT, security and compliance solutions that enable organizations to identify security risks to their IT infrastructures, help protect their IT systems and applications from ever-evolving cyber-attacks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 Cloud Platform to cost-effectively obtain a unified view of their security and compliance posture across globally-distributed IT infrastructures.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accompanying consolidated financial statements and footnotes have been prepared in accordance with U.S. GAAP as well as the instructions to Form 10-K and the rules and regulations of the SEC. Certain prior year amounts have been reclassified to conform with the current year presentation. In the opinion of management, the accompanying consolidated financial statements reflect all adjustments, which include only normal recurring adjustments, necessary for the fair presentation of the Company’s consolidated financial position, results of operations and cash flows for the periods presented. The accompanying consolidated financial statements include the accounts of the Company and its wholly-owned subsidiaries. All intercompany transactions and balances have been eliminated upon consolidation.</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 xml:space="preserve">The uncertainty surrounding macroeconomic factors in the U.S. and globally characterized by the supply chain environment, inflationary pressure, rising interest rates, labor shortages, significant volatility of global markets and geopolitical conflicts could have a material adverse effect on the Company's long-term business and could lead to further economic disruption and expose the Company to greater risk as its current and potential customers </w:t>
      </w:r>
      <w:r>
        <w:rPr>
          <w:rFonts w:ascii="Arial" w:cs="Arial" w:eastAsia="Arial" w:hAnsi="Arial"/>
          <w:sz w:val="18"/>
          <w:szCs w:val="18"/>
          <w:i w:val="1"/>
          <w:iCs w:val="1"/>
          <w:color w:val="auto"/>
        </w:rPr>
        <w:t>may</w:t>
      </w:r>
      <w:r>
        <w:rPr>
          <w:rFonts w:ascii="Arial" w:cs="Arial" w:eastAsia="Arial" w:hAnsi="Arial"/>
          <w:sz w:val="18"/>
          <w:szCs w:val="18"/>
          <w:color w:val="auto"/>
        </w:rPr>
        <w:t xml:space="preserve"> reduce or eliminate their overall spending on IT security.</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preparation of the consolidated financial statements in conformity with U.S. GAAP requires management to make certain estimates and assumptions that affect the reported amounts of assets and liabilities and disclosure of assets and liabilities at the date of the consolidated financial statements and the reported results of operations during the reporting period. The Company’s management regularly assesses these estimates, which primarily affect revenue recognition, allowance for credit loss, the valuation of goodwill and intangible assets, leases, stock-based compensation and income tax provision. Actual results could differ from those estimates and such differences may be material to the accompanying consolidated financial statements.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invests its cash and cash equivalents with major financial institutions. Cash balances with any one institution at times may be in excess of federally insured limits. Cash equivalents are invested in high-quality investment grade financial instruments and are diversified. The Company has not experienced any losses in such accounts and believes it is not exposed to any significant credit risk.</w:t>
      </w:r>
    </w:p>
    <w:p>
      <w:pPr>
        <w:spacing w:after="0" w:line="18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Credit risk with respect to accounts receivable is dispersed due to the large number of customers. Collateral is not required for accounts receivable. As of December 31, 2022 and 2021, no customer or channel partner accounted for more than 10% of the Company's revenues and accounts receivable balance.</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Cash Equivalents, Restricted cash and Short-Term and Long-Term Marketable Securities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Cash and cash equivalents include cash held in banks, highly liquid money market funds and commercial paper, all with original maturities of three months or less when acquired. The Company’s short-term and long-term marketable securities consist of fixed-income U.S. and foreign government agency securities, corporate bonds, asset-backed securities and commercial paper. Management determines the appropriate classification of the Company's investments at the time of purchase and reevaluates such designation at each balance sheet date. The Company classifies its marketable securities as either short-term or long-term based on each instrument's underlying remaining contractual maturity date.</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2022 the Company had a restricted cash balance of $2.7 million, of which $1.5 million is related to cash held in escrow as part of the Blue Hexagon acquisition and $1.2 million in the form of a letter of credit issued to the landlord of the Company's California headquarter office lease as security deposit. As of December 31, 2021, the Company has restricted cash balance of $1.2 million in the form of a letter of credit issued to the landlord of the Company’s California headquarter office lease as security deposit.</w:t>
      </w:r>
    </w:p>
    <w:p>
      <w:pPr>
        <w:spacing w:after="0" w:line="187"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Cash equivalents are stated at cost, which approximates fair market value. Short-term and long-term marketable securities are classified as available-for-sale debt securities (AFS debt securities) and are carried at fair value. Unrealized gains and losses in fair value of the AFS debt securities are reported in other comprehensive income (loss). When the AFS debt securities are sold, cost is based on the specific identification method, and the realized gains and losses are included in other income (expense), net in the consolidated statements of operations. AFS debt securities are reviewed quarterly for impairment. An investment is considered impaired when its fair value is below its amortized cost. Declines in fair value from amortized cost for AFS debt securities that the company intends to sell or will more likely than not be required to sell before the expected recovery of the amortized cost basis are charged to other income (expense), net in the period in which the loss occurs. Otherwise, the credit loss component of the impairment is recorded as allowance for credit losses with an offsetting entry charged to other income (expense), net, while the remaining loss is recognized in other comprehensive income (loss).</w:t>
      </w:r>
    </w:p>
    <w:p>
      <w:pPr>
        <w:sectPr>
          <w:pgSz w:w="11900" w:h="16838" w:orient="portrait"/>
          <w:cols w:equalWidth="0" w:num="1">
            <w:col w:w="11240"/>
          </w:cols>
          <w:pgMar w:left="320" w:top="125" w:right="339" w:bottom="0" w:gutter="0" w:footer="0" w:header="0"/>
        </w:sectPr>
      </w:pP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5715"/>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Accounts receivable are recorded at the invoiced amount and do not bear interest. The allowance for credit losses is determined on a collective basis where similar risk characteristics exist and on an individual basis when we identify significant customers or invoices with collectability issues. The estimate for credit losses considers historical write-offs by aging category, that are adjusted for current conditions and reasonable and supportable forecasts of future losses. Any change in the assumptions used in analyzing credit losses may result in additional allowances being recognized in the period in which the change occurs. When the Company ultimately concludes that a receivable is uncollectible, the balance is written off against the allowance for credit losses. Payments subsequently received on such receivables are recognized in the period received. The allowance for credit losses recognized and write-offs charged against the allowance were not significant for the years ended December 31, 2022 and 2021. The balance of accounts receivable, net of allowance for credit losses was $121.8 million, $109.0 million and $100.2 million as of December 31, 2022, December 31, 2021 and December 31, 2020, respectively.</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Non-marketable securities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2018, the Company invested $2.5 million in preferred stock of a privately-held company (the “Investee”). The fair value of the investment is not readily available, and there are no quoted market prices for the investment. The Company elected the measurement alternative to account for the investment at cost less impairment and will measure the investment at fair value when the Company identifies observable price changes. The investment is assessed for impairment annually or whenever events or changes in circumstances indicate that the carrying amount may not be recoverable. No impairment has been incurred related to the investment. The investment is included in other noncurrent assets in the consolidated balance sheets. The Company has not received any dividends from the investment.</w:t>
      </w:r>
    </w:p>
    <w:p>
      <w:pPr>
        <w:spacing w:after="0" w:line="19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2019, the Company made an advance payment of $0.6 million to the Investee for it to perform certain technology development work, which should either be settled in the form of royalty fee charges when the technology materializes and is licensed to the Company or, otherwise, should be repaid to the Company in cash. The advance payment was recorded in other non-current assets in the consolidated balance sheet. During the fourth quarter ended December 31, 2021, the technology has not been developed and the Company decided to no longer pursue the development of the technology or the collection of the advanced amount. Accordingly, the entire amount of the advance payment was written off and recorded in the general and administrative expense during the year ended December 31, 2021.</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using the straight-line method over the estimated useful lives of the assets, which range from three to five years. Leasehold improvements are amortized on a straight-line basis over the lesser of the estimated useful life of the asset or the remaining lease term.</w:t>
      </w:r>
    </w:p>
    <w:p>
      <w:pPr>
        <w:spacing w:after="0" w:line="184"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 Company purchases physical scanner appliances and other computer equipment that are provided to customers on a subscription basis. This equipment is recorded within property and equipment and the depreciation is recorded in cost of revenues over an estimated useful life of three years.</w:t>
      </w:r>
    </w:p>
    <w:p>
      <w:pPr>
        <w:spacing w:after="0" w:line="12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Company leases certain offices, computer equipment and its shared cloud platform facilities under finance leases and non-cancelable operating leases. For both operating and finance leases, we recognize a right-of-use asset, which represents our right to use the underlying asset for the lease term, and a lease liability, which represents the present value of our obligation to make payments arising over the lease term. Many of our leases include rental escalation clauses, renewal options and/or termination options that are factored into our determination of lease payments and lease terms when appropriate. The present value of the lease payments is calculated using the incremental borrowing rate of the underlying leases determined at lease commencement. As most of our leases do not provide a readily determinable implicit rate, the Company determines an incremental borrowing rate using a portfolio approach based on the rate of interest that the Company would have to pay to borrow an amount equal to the lease payments on a collateralized basis over a similar term as the leases.</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Where the Company is the lessee, the Company elects to account for non-lease components associated with its leases (e.g., common area maintenance costs) and lease components separately for substantially all of its asset classes, except for shared cloud platforms, for which the Company elected to combine lease and non-lease components. For leases with a term of one year or less, the Company has elected not to record the right-of-use asset or liability.</w:t>
      </w:r>
    </w:p>
    <w:p>
      <w:pPr>
        <w:spacing w:after="0" w:line="18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arrangements where the Company is the lessor, the Company elected to apply the practical expedient to account for lease components (e.g., customer premise equipment) and non-lease components (e.g., service revenue) as combined components as revenue under ASC 606 as service revenues are the predominant components in the arrangements.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For the years ended December 31, 2022, 2021 and 2020, there was no impairment of long-lived assets.</w:t>
      </w:r>
    </w:p>
    <w:p>
      <w:pPr>
        <w:spacing w:after="0" w:line="1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Goodwill and indefinite-lived intangible assets are not amortized but tested for impairment at least annually or more frequently if certain</w:t>
      </w:r>
    </w:p>
    <w:p>
      <w:pPr>
        <w:sectPr>
          <w:pgSz w:w="11900" w:h="16838" w:orient="portrait"/>
          <w:cols w:equalWidth="0" w:num="1">
            <w:col w:w="11240"/>
          </w:cols>
          <w:pgMar w:left="320" w:top="125" w:right="339" w:bottom="0" w:gutter="0" w:footer="0" w:header="0"/>
        </w:sectPr>
      </w:pPr>
    </w:p>
    <w:bookmarkStart w:id="60" w:name="page61"/>
    <w:bookmarkEnd w:id="60"/>
    <w:p>
      <w:pPr>
        <w:jc w:val="both"/>
        <w:spacing w:after="0" w:line="277" w:lineRule="auto"/>
        <w:rPr>
          <w:sz w:val="20"/>
          <w:szCs w:val="20"/>
          <w:color w:val="auto"/>
        </w:rPr>
      </w:pPr>
      <w:r>
        <w:rPr>
          <w:rFonts w:ascii="Arial" w:cs="Arial" w:eastAsia="Arial" w:hAnsi="Arial"/>
          <w:sz w:val="18"/>
          <w:szCs w:val="18"/>
          <w:color w:val="auto"/>
        </w:rPr>
        <w:t>circumstances indicate a possible impairment may exist. The goodwill impairment tests are performed at the reporting unit level. The Company’s operations are organized as one reporting unit.</w:t>
      </w:r>
    </w:p>
    <w:p>
      <w:pPr>
        <w:spacing w:after="0" w:line="17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testing for a potential impairment of goodwill and the indefinite-lived intangible assets, the Company first performs a qualitative assessment to determine if it is more likely than not (a more than 50% likelihood) that the fair value of the reporting unit or the indefinite-lived intangible assets is less than their carrying amount. If the fair value is not considered to be less than the carrying amount, no further evaluation is necessary. Otherwise, the Company will perform a quantitative test. Goodwill impairment is measured as the amount by which the carrying value of the reporting unit or the indefinite-lived intangible assets exceeds their fair value. The Company performed the annual assessments on December 1, 2022 and 2021 and concluded there was no impairment of goodwill or the indefinite-lived intangible assets.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Asset Acquisitions and Business Combinations</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applies the provisions of ASC 805, Business Combinations, in accounting for its acquisitions. To determine whether transactions should be accounted for as asset acquisition or business combination, the Company evaluates whether substantially all of the fair value of gross assets included in a transaction is concentrated in a single asset (or a group of similar assets), resulting in an asset acquisition, if not, resulting in a business combination. In an asset acquisition, the cost of acquiring the asset group, including transaction costs, is allocated to the acquired assets or assumed liabilities based on their relative fair values without giving rise to goodwill. In a business combination, the Company recognize separately from goodwill the assets acquired and the liabilities assumed at their acquisition date fair values. Goodwill as of the acquisition date is measured as the excess of consideration transferred over the net of the acquisition date fair values of the assets acquired and the liabilities assumed. While the Company uses its best estimates and assumptions to accurately value assets acquired and liabilities assumed at the acquisition date as well as any contingent consideration, where applicable, its estimates are inherently uncertain and subject to refinement. As a result, during the measurement period, which may be up to one year from the acquisition date, the Company records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its consolidated statements of operations.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Derivative financial instruments are utilized by the Company to reduce foreign currency exchange risks. The Company uses foreign currency forward contracts, with maturities of 13 months or less, to mitigate the impact of foreign currency fluctuations of certain non-U.S. dollar denominated net asset positions, to date primarily cash, accounts receivable and operating lease liabilities, as well as to manage foreign currency fluctuation risk related to forecasted transactions. Open contracts are recorded within prepaid expenses and other current assets, other noncurrent assets, accrued liabilities or other noncurrent liabilities in the consolidated balance sheets. Gains and losses resulting from currency exchange rate movements on non-designated forward contracts are recognized in other income (expense), net. Any gains or losses from derivatives designated as cash flow hedges are first recorded within accumulated other comprehensive income (“AOCI”) and then reclassified into revenue or operating expenses when the hedged item impacts the consolidated statements of operations. Cash flows related to these forward contracts are classified in our consolidated statements of cash flows in the same manner as the underlying hedged transaction within cash flows from operating activities.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recognizes the fair value of its stock options, restricted stock units (“RSUs”) and stock purchase rights under the employee stock purchase plan (the “ESPP”) on a straight-line basis over the requisite service periods. The fair value of each stock option or stock purchase right is estimated on the date of grant using the Black-Scholes-Merton option pricing model and the fair value of each RSU is based on the Company's common stock price on the date of grant. Compensation expenses for performance-based stock options (“PSOs”) and performance-based restricted stock units (“PSUs”) are recorded based on expected achievement of the performance metrics specified in the grant, which are assessed on a quarterly basis. Forfeitures are estimated on the date of grant and revised if actual or expected forfeiture materially differs from original estimates.</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derives revenues from subscriptions that require customers to pay a fee in order to access the Company’s cloud solutions. Contract period with customers generally are one year with occasional contracts ranging up to five years.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In some limited cases, the Company also provides certain computer equipment used to extend its Qualys Cloud Platform into its customers’ private cloud environment. Customers are required to return physical scanner appliances and computer equipment if they do not renew their subscriptions.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5" w:lineRule="exact"/>
        <w:rPr>
          <w:sz w:val="20"/>
          <w:szCs w:val="20"/>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76" w:lineRule="exact"/>
        <w:rPr>
          <w:rFonts w:ascii="Arial" w:cs="Arial" w:eastAsia="Arial" w:hAnsi="Arial"/>
          <w:sz w:val="18"/>
          <w:szCs w:val="18"/>
          <w:color w:val="auto"/>
        </w:rPr>
      </w:pPr>
    </w:p>
    <w:p>
      <w:pPr>
        <w:ind w:left="820" w:hanging="326"/>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Recognition of revenue when, or as, the Company satisfies a performance obligation.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the inception of a customer contract, the Company makes an assessment as to that customer's ability to pay for the services provided. The Company assesses collectability based on several factors, including credit worthiness of the customer along with past transaction history. In addition, the Company performs periodic evaluations of its customers’ financial condition.</w:t>
      </w:r>
    </w:p>
    <w:p>
      <w:pPr>
        <w:spacing w:after="0" w:line="184"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Most of the Company’s revenue contracts are subscription based and contain a single performance obligation. The subscription contracts typically do not offer to the customers any future rights that would constitute material rights. Contract prices are generally composed of fixed consideration for a specific period of time as the Company in general does not offer refunds, volume rebates, customer loyalty programs or other forms of customer incentive payments. In limited situations, contract prices are contingent on future events, such as actual usage during the contract terms, which are accounted for as variable consideration and estimated based on the most likely amount of consideration that the Company is expected to be entitled to. Estimates are included in the contract price to the extent that it is considered probable that a significant reversal in the amount of cumulative revenue recognized will not occur when the uncertainty associated with the variable consideration is subsequently resolved. Such estimates are made at contract inception and updated periodically when additional information becomes available. A cumulative catch-up adjustment is made when there is a change in the estimate of variable consideration.</w:t>
      </w:r>
    </w:p>
    <w:p>
      <w:pPr>
        <w:spacing w:after="0" w:line="19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As the Company's cloud-based subscription services are delivered to customers electronically and over time, revenue is generally recognized ratably over the contract terms. When physical equipment is provided to the customers as part of the subscription service contract, the Company applies the practical expedient allowed under ASC 842 Leases to combine lease and nonlease components as a combined component to be accounted for under ASC 606, as the Company determined that the software subscription is the predominant component of the combined components. Therefore, the Company recognizes revenue for the physical equipment ratably over the related subscription period.</w:t>
      </w:r>
    </w:p>
    <w:p>
      <w:pPr>
        <w:spacing w:after="0" w:line="17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Contract modifications happen when there is an upsell, where the customers subsequently enter into contract with the Company to purchase additional product offerings or additional scans for additional devices. Contract modifications related to upsells are accounted for prospectively.</w:t>
      </w:r>
    </w:p>
    <w:p>
      <w:pPr>
        <w:spacing w:after="0" w:line="14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Deferred revenues consist of customer contracts billed or cash received that will be recognized in the future under subscriptions existing at the balance sheet date. The current portion of deferred revenues represents amounts that are expected to be recognized within one year of the balance sheet date.</w:t>
      </w:r>
    </w:p>
    <w:p>
      <w:pPr>
        <w:spacing w:after="0" w:line="18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Costs of shipping and handling charges incurred by the Company associated with physical scanner appliances and other computer equipment are included in cost of revenues. Sales taxes and other taxes collected from customers to be remitted to government authorities are excluded from revenues.</w:t>
      </w:r>
    </w:p>
    <w:p>
      <w:pPr>
        <w:spacing w:after="0" w:line="12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Incremental direct costs of obtaining a contract, which consist of sales commissions primarily for new business and upsells, are deferred and amortized over the estimated life of the customer relationship if renewals are expected and the renewal commission is not commensurate with the initial commission. The Company elected the practical expedient to expense commissions on renewals where the specific anticipated contract term amortization period is one year or less. The Company amortizes the capitalized commission cost as a selling expense on a straight-line basis over a period of five years. The Company classifies deferred commissions as current or noncurrent based on the timing of when it expects to recognize the expense. The current and noncurrent portions of deferred commissions are included in prepaid expenses and other current assets and other noncurrent assets, respectively, in its consolidated balance sheets.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Advertising costs are expensed as incurred and are included in sales and marketing expense in the consolidated statements of operations. The Company incurred advertising costs of $3.3 million, $2.1 million and $1.6 million for the years ended December 31, 2022, 2021 and 2020, respectively.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provides for the effect of income taxes in its consolidated financial statements using the asset and liability method which requires the recognition of deferred tax assets and liabilities for the expected future tax consequences of events that have been included in the consolidated financial statements. Under this method, deferred tax assets and liabilities are recognized for the future tax consequences attributable to differences between the financial statement carrying amounts of existing assets and liabilities and their respective tax bases, net operating loss carryovers, and tax credit carry forwards. The Company regularly reviews its deferred tax assets for recoverability and establishes a valuation allowance if it is more likely than not that some portion or all of the deferred tax assets will not be realized. To make this assessment, the Company takes into account predictions of the amount and category of taxable income from various sources and all available positive and negative evidence about these possible sources of taxable income. The weight given to the potential effect of negative and positive evidence is commensurate with the extent to which the strength of the evidence can be objectively verified.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the period that includes the enactment date.</w:t>
      </w:r>
    </w:p>
    <w:p>
      <w:pPr>
        <w:spacing w:after="0" w:line="18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Income tax expense or benefit is recognized for the amount of taxes payable or refundable for the current year and for deferred tax assets and liabilities for the tax consequences of events that have been recognized in an entity’s financial statements or tax returns. The Company must make significant assumptions, judgments and estimates to determine its current income tax provision (benefit), its deferred tax assets and liabilities, and any valuation allowance to be recorded against its deferred tax assets. The Company's estimates and assumptions may differ from the actual results as reflected on its income tax returns and will record the required adjustments when they are identified or resolved.</w:t>
      </w:r>
    </w:p>
    <w:p>
      <w:pPr>
        <w:spacing w:after="0" w:line="176"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The Company applies a two-step approach to determining the financial statement recognition and measurement of uncertain tax positions. The Company only recognizes an income tax expense or benefit with respect to uncertain tax positions in its financial statements that the Company judges is more likely than not to be sustained solely on its technical merits in a tax audit, including resolution of any related appeals or litigation processes. To make this judgment, the Company must interpret complex and sometimes ambiguous tax laws, regulations and administrative practices. If an income tax position meets the more likely than not recognition threshold, then the Company must measure the amount of the tax benefit to be recognized by determining the largest amount of tax benefit that has a greater than a 50% likelihood of being realized upon effective settlement with a taxing authority that has full knowledge of all of the relevant facts. It is inherently difficult and subjective to estimate such amounts, as this requires the Company to determine the probability of various possible settlement outcomes. To determine if a tax position is effectively settled after a tax examination has been completed, the Company must also estimate the likelihood that another taxing authority could review the respective tax position. The Company must also determine when it is reasonably possible that the amount of unrecognized tax benefits will significantly increase or decrease in the 12 months after each fiscal year-end. These judgments are difficult because a taxing authority may change its behavior as a result of the Company's disclosures in its financial statements. The Company must reevaluate its income tax positions on a quarterly basis to consider factors such as changes in facts or circumstances, changes in tax law, effectively settled issues under audit, and new audit activity. Such a change in recognition or measurement would result in recognition of a tax benefit or an additional charge to the tax provision. The Company's policy is to recognize interest and penalties related to unrecognized tax benefits as a component of the provision for income taxes.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comprehensive income (loss) consists of unrealized gains (losses) on marketable securities, net of tax, and derivative financial instruments designated as cash flow hedges which are not included in the Company’s net income. Total comprehensive income includes net income and other comprehensive income (loss) and is included in the consolidated statements of comprehensive income.</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2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Company’s operations are conducted in various countries around the world and the financial statements of its foreign subsidiaries are reported in the U.S. dollar as their respective functional currency. Monetary assets and liabilities denominated in foreign currencies have been re-measured into U.S. dollars using the exchange rates in effect at the balance sheet date, and income and expenses are re-measured at average exchange rates during the period. Foreign currency re-measurement gains and losses and foreign currency transaction gains and losses are recognized in other income (expense), net.</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Net Income Per Share</w:t>
      </w:r>
    </w:p>
    <w:p>
      <w:pPr>
        <w:spacing w:after="0" w:line="22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Basic net income per share is computed by dividing net income by the weighted-average number of shares outstanding during the period. Diluted net income per share is computed by dividing net income by the weighted-average number of shares outstanding plus potentially dilutive shares outstanding during the period. The potentially dilutive shares are computed by applying the treasury stock method to the Company's stock options, RSUs and the stock purchase rights under the ESPP. Any potential shares that would be anti-dilutive are excluded from the computation of diluted net income per share.</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does not believe any other new accounting pronouncements issued by the FASB that have not become effective will have a material impact on its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For certain of the Company’s financial instruments, including certain cash equivalents, accounts receivable, accounts payable and accrued liabilities, the carrying amounts approximate their fair values due to the relatively short maturity of these balances.</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measures and reports certain cash equivalents, marketable securities, derivative foreign currency forward contracts at fair value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5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-Valuations based on quoted prices in active markets for identical assets or liabilities.</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-Valuations based on other than quoted prices in active markets for identical assets and liabilities, including quoted prices for identical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less active or inactive markets, quoted prices for similar assets or liabilities in active markets, or inputs other than quoted prices that are observable for substantially the full term of the assets or liabilities.</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Valuations based on inputs that are generally unobservable and typically reflect management’s estimates of assumptions that market</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would use in pricing the asset or liability.</w:t>
      </w:r>
    </w:p>
    <w:p>
      <w:pPr>
        <w:spacing w:after="0" w:line="17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Company's financial instruments consist of assets and liabilities measured using Level 1 and 2 inputs. Level 1 assets include a highly liquid money market fund, which is valued using unadjusted quoted prices that are available in an active market for an identical asset. Level 2 assets include fixed-income U.S. Treasury and government agency securities, commercial paper, corporate bonds, asset-backed securities, foreign government securities and derivative financial instruments consisting of foreign currency forward contracts. The securities, bonds and commercial paper are valued using prices from independent pricing services based on quoted prices of identical instruments in less active or inactive markets, quoted prices of similar instruments in active markets, or industry models using data inputs such as interest rates and prices that can be directly observed or corroborated in active markets. The foreign currency forward contracts are valued using observable inputs, such as quotations on forward foreign exchange points and foreign interest rates.</w:t>
      </w:r>
    </w:p>
    <w:p>
      <w:pPr>
        <w:spacing w:after="0" w:line="16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fair value of the Company's financial assets and liabilities measured at fair value on a recurring basis: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6"/>
              </w:rPr>
              <w:t>December 31, 2022</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4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9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82,701</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U.S. Treasury and government agencies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156,662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156,662</w:t>
            </w: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w:t>
            </w:r>
          </w:p>
        </w:tc>
        <w:tc>
          <w:tcPr>
            <w:tcW w:w="1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Corporate bonds</w:t>
            </w: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63,910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63,910</w:t>
            </w:r>
          </w:p>
        </w:tc>
      </w:tr>
      <w:tr>
        <w:trPr>
          <w:trHeight w:val="23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15,027</w:t>
            </w:r>
          </w:p>
        </w:tc>
      </w:tr>
      <w:tr>
        <w:trPr>
          <w:trHeight w:val="256"/>
        </w:trPr>
        <w:tc>
          <w:tcPr>
            <w:tcW w:w="4600" w:type="dxa"/>
            <w:vAlign w:val="bottom"/>
          </w:tcPr>
          <w:p>
            <w:pPr>
              <w:spacing w:after="0"/>
              <w:rPr>
                <w:sz w:val="20"/>
                <w:szCs w:val="20"/>
                <w:color w:val="auto"/>
              </w:rPr>
            </w:pPr>
            <w:r>
              <w:rPr>
                <w:rFonts w:ascii="Arial" w:cs="Arial" w:eastAsia="Arial" w:hAnsi="Arial"/>
                <w:sz w:val="18"/>
                <w:szCs w:val="18"/>
                <w:color w:val="auto"/>
              </w:rPr>
              <w:t>Foreign currency forward contracts</w:t>
            </w:r>
          </w:p>
        </w:tc>
        <w:tc>
          <w:tcPr>
            <w:tcW w:w="17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1,493</w:t>
            </w:r>
          </w:p>
        </w:tc>
      </w:tr>
      <w:tr>
        <w:trPr>
          <w:trHeight w:val="25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238,098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197"/>
        </w:trPr>
        <w:tc>
          <w:tcPr>
            <w:tcW w:w="4600" w:type="dxa"/>
            <w:vAlign w:val="bottom"/>
          </w:tcPr>
          <w:p>
            <w:pPr>
              <w:spacing w:after="0" w:line="196" w:lineRule="exact"/>
              <w:rPr>
                <w:sz w:val="20"/>
                <w:szCs w:val="20"/>
                <w:color w:val="auto"/>
              </w:rPr>
            </w:pPr>
            <w:r>
              <w:rPr>
                <w:rFonts w:ascii="Arial" w:cs="Arial" w:eastAsia="Arial" w:hAnsi="Arial"/>
                <w:sz w:val="18"/>
                <w:szCs w:val="18"/>
                <w:color w:val="auto"/>
              </w:rPr>
              <w:t>Foreign currency forward contracts</w:t>
            </w:r>
          </w:p>
        </w:tc>
        <w:tc>
          <w:tcPr>
            <w:tcW w:w="1980" w:type="dxa"/>
            <w:vAlign w:val="bottom"/>
            <w:gridSpan w:val="2"/>
          </w:tcPr>
          <w:p>
            <w:pPr>
              <w:jc w:val="right"/>
              <w:ind w:right="107"/>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4,679</w:t>
            </w:r>
          </w:p>
        </w:tc>
        <w:tc>
          <w:tcPr>
            <w:tcW w:w="320" w:type="dxa"/>
            <w:vAlign w:val="bottom"/>
            <w:gridSpan w:val="2"/>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4,679</w:t>
            </w:r>
          </w:p>
        </w:tc>
      </w:tr>
      <w:tr>
        <w:trPr>
          <w:trHeight w:val="250"/>
        </w:trPr>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b w:val="1"/>
                <w:bCs w:val="1"/>
                <w:color w:val="auto"/>
                <w:w w:val="96"/>
              </w:rPr>
              <w:t>December 31, 2021</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20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ind w:left="3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6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75,258</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18,896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18,896</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254,527</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Foreign government</w:t>
            </w:r>
          </w:p>
        </w:tc>
        <w:tc>
          <w:tcPr>
            <w:tcW w:w="24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86,703</w:t>
            </w:r>
          </w:p>
        </w:tc>
      </w:tr>
      <w:tr>
        <w:trPr>
          <w:trHeight w:val="229"/>
        </w:trPr>
        <w:tc>
          <w:tcPr>
            <w:tcW w:w="634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40" w:type="dxa"/>
            <w:vAlign w:val="bottom"/>
          </w:tcPr>
          <w:p>
            <w:pPr>
              <w:spacing w:after="0"/>
              <w:rPr>
                <w:sz w:val="19"/>
                <w:szCs w:val="19"/>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18,863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18,863</w:t>
            </w:r>
          </w:p>
        </w:tc>
      </w:tr>
      <w:tr>
        <w:trPr>
          <w:trHeight w:val="216"/>
        </w:trPr>
        <w:tc>
          <w:tcPr>
            <w:tcW w:w="63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w:t>
            </w:r>
          </w:p>
        </w:tc>
      </w:tr>
      <w:tr>
        <w:trPr>
          <w:trHeight w:val="209"/>
        </w:trPr>
        <w:tc>
          <w:tcPr>
            <w:tcW w:w="6340" w:type="dxa"/>
            <w:vAlign w:val="bottom"/>
          </w:tcPr>
          <w:p>
            <w:pPr>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383,344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458,602</w:t>
            </w:r>
          </w:p>
        </w:tc>
        <w:tc>
          <w:tcPr>
            <w:tcW w:w="100" w:type="dxa"/>
            <w:vAlign w:val="bottom"/>
          </w:tcPr>
          <w:p>
            <w:pPr>
              <w:spacing w:after="0"/>
              <w:rPr>
                <w:sz w:val="18"/>
                <w:szCs w:val="18"/>
                <w:color w:val="auto"/>
              </w:rPr>
            </w:pPr>
          </w:p>
        </w:tc>
      </w:tr>
      <w:tr>
        <w:trPr>
          <w:trHeight w:val="20"/>
        </w:trPr>
        <w:tc>
          <w:tcPr>
            <w:tcW w:w="6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40" w:type="dxa"/>
            <w:vAlign w:val="bottom"/>
            <w:tcBorders>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Foreign currency forward contracts</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388</w:t>
            </w:r>
          </w:p>
        </w:tc>
        <w:tc>
          <w:tcPr>
            <w:tcW w:w="320" w:type="dxa"/>
            <w:vAlign w:val="bottom"/>
            <w:gridSpan w:val="2"/>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388</w:t>
            </w:r>
          </w:p>
        </w:tc>
      </w:tr>
      <w:tr>
        <w:trPr>
          <w:trHeight w:val="20"/>
        </w:trPr>
        <w:tc>
          <w:tcPr>
            <w:tcW w:w="63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40" w:type="dxa"/>
            <w:vAlign w:val="bottom"/>
          </w:tcPr>
          <w:p>
            <w:pPr>
              <w:spacing w:after="0"/>
              <w:rPr>
                <w:sz w:val="20"/>
                <w:szCs w:val="20"/>
                <w:color w:val="auto"/>
              </w:rPr>
            </w:pPr>
            <w:r>
              <w:rPr>
                <w:rFonts w:ascii="Arial" w:cs="Arial" w:eastAsia="Arial" w:hAnsi="Arial"/>
                <w:sz w:val="18"/>
                <w:szCs w:val="18"/>
                <w:color w:val="auto"/>
              </w:rPr>
              <w:t>Total liabilities</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388</w:t>
            </w:r>
          </w:p>
        </w:tc>
      </w:tr>
      <w:tr>
        <w:trPr>
          <w:trHeight w:val="20"/>
        </w:trPr>
        <w:tc>
          <w:tcPr>
            <w:tcW w:w="6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transfers between Level 1, Level 2 and Level 3 categories during the years ended December 31, 2022 and 2021.</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6" w:name="page67"/>
    <w:bookmarkEnd w:id="66"/>
    <w:p>
      <w:pPr>
        <w:spacing w:after="0" w:line="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Cash equivalent and investments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cash equivalents and marketable securities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center"/>
              <w:ind w:left="190"/>
              <w:spacing w:after="0"/>
              <w:rPr>
                <w:sz w:val="20"/>
                <w:szCs w:val="20"/>
                <w:color w:val="auto"/>
              </w:rPr>
            </w:pPr>
            <w:r>
              <w:rPr>
                <w:rFonts w:ascii="Arial" w:cs="Arial" w:eastAsia="Arial" w:hAnsi="Arial"/>
                <w:sz w:val="18"/>
                <w:szCs w:val="18"/>
                <w:b w:val="1"/>
                <w:bCs w:val="1"/>
                <w:color w:val="auto"/>
                <w:w w:val="88"/>
              </w:rPr>
              <w:t>December 31, 2022</w:t>
            </w:r>
          </w:p>
        </w:tc>
        <w:tc>
          <w:tcPr>
            <w:tcW w:w="4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60"/>
              <w:spacing w:after="0" w:line="191" w:lineRule="exact"/>
              <w:rPr>
                <w:sz w:val="20"/>
                <w:szCs w:val="20"/>
                <w:color w:val="auto"/>
              </w:rPr>
            </w:pPr>
            <w:r>
              <w:rPr>
                <w:rFonts w:ascii="Arial" w:cs="Arial" w:eastAsia="Arial" w:hAnsi="Arial"/>
                <w:sz w:val="18"/>
                <w:szCs w:val="18"/>
                <w:b w:val="1"/>
                <w:bCs w:val="1"/>
                <w:color w:val="auto"/>
                <w:w w:val="93"/>
              </w:rPr>
              <w:t>Amortized</w:t>
            </w:r>
          </w:p>
        </w:tc>
        <w:tc>
          <w:tcPr>
            <w:tcW w:w="80" w:type="dxa"/>
            <w:vAlign w:val="bottom"/>
          </w:tcPr>
          <w:p>
            <w:pPr>
              <w:spacing w:after="0"/>
              <w:rPr>
                <w:sz w:val="16"/>
                <w:szCs w:val="16"/>
                <w:color w:val="auto"/>
              </w:rPr>
            </w:pPr>
          </w:p>
        </w:tc>
        <w:tc>
          <w:tcPr>
            <w:tcW w:w="1200" w:type="dxa"/>
            <w:vAlign w:val="bottom"/>
            <w:gridSpan w:val="3"/>
          </w:tcPr>
          <w:p>
            <w:pPr>
              <w:jc w:val="right"/>
              <w:ind w:right="230"/>
              <w:spacing w:after="0" w:line="191" w:lineRule="exact"/>
              <w:rPr>
                <w:sz w:val="20"/>
                <w:szCs w:val="20"/>
                <w:color w:val="auto"/>
              </w:rPr>
            </w:pPr>
            <w:r>
              <w:rPr>
                <w:rFonts w:ascii="Arial" w:cs="Arial" w:eastAsia="Arial" w:hAnsi="Arial"/>
                <w:sz w:val="18"/>
                <w:szCs w:val="18"/>
                <w:b w:val="1"/>
                <w:bCs w:val="1"/>
                <w:color w:val="auto"/>
                <w:w w:val="94"/>
              </w:rPr>
              <w:t>Unrealized</w:t>
            </w:r>
          </w:p>
        </w:tc>
        <w:tc>
          <w:tcPr>
            <w:tcW w:w="140" w:type="dxa"/>
            <w:vAlign w:val="bottom"/>
          </w:tcPr>
          <w:p>
            <w:pPr>
              <w:spacing w:after="0"/>
              <w:rPr>
                <w:sz w:val="16"/>
                <w:szCs w:val="16"/>
                <w:color w:val="auto"/>
              </w:rPr>
            </w:pPr>
          </w:p>
        </w:tc>
        <w:tc>
          <w:tcPr>
            <w:tcW w:w="1320" w:type="dxa"/>
            <w:vAlign w:val="bottom"/>
            <w:gridSpan w:val="3"/>
          </w:tcPr>
          <w:p>
            <w:pPr>
              <w:jc w:val="center"/>
              <w:ind w:right="281"/>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center"/>
              <w:ind w:right="30"/>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b w:val="1"/>
                <w:bCs w:val="1"/>
                <w:color w:val="auto"/>
              </w:rPr>
              <w:t>(in</w:t>
            </w:r>
          </w:p>
        </w:tc>
        <w:tc>
          <w:tcPr>
            <w:tcW w:w="94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72"/>
              </w:rPr>
              <w:t>thousands)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 (1)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82,701</w:t>
            </w:r>
          </w:p>
        </w:tc>
        <w:tc>
          <w:tcPr>
            <w:tcW w:w="22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82,701</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and government agencies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29,787</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29,791</w:t>
            </w:r>
          </w:p>
        </w:tc>
        <w:tc>
          <w:tcPr>
            <w:tcW w:w="0" w:type="dxa"/>
            <w:vAlign w:val="bottom"/>
          </w:tcPr>
          <w:p>
            <w:pPr>
              <w:spacing w:after="0"/>
              <w:rPr>
                <w:sz w:val="1"/>
                <w:szCs w:val="1"/>
                <w:color w:val="auto"/>
              </w:rPr>
            </w:pPr>
          </w:p>
        </w:tc>
      </w:tr>
      <w:tr>
        <w:trPr>
          <w:trHeight w:val="20"/>
        </w:trPr>
        <w:tc>
          <w:tcPr>
            <w:tcW w:w="59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112,488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112,492</w:t>
            </w:r>
          </w:p>
        </w:tc>
        <w:tc>
          <w:tcPr>
            <w:tcW w:w="0" w:type="dxa"/>
            <w:vAlign w:val="bottom"/>
          </w:tcPr>
          <w:p>
            <w:pPr>
              <w:spacing w:after="0"/>
              <w:rPr>
                <w:sz w:val="1"/>
                <w:szCs w:val="1"/>
                <w:color w:val="auto"/>
              </w:rPr>
            </w:pPr>
          </w:p>
        </w:tc>
      </w:tr>
      <w:tr>
        <w:trPr>
          <w:trHeight w:val="209"/>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36,908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(337)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36,574</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U.S. Treasury and government agencies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110,225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109,304</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w:t>
            </w:r>
          </w:p>
        </w:tc>
        <w:tc>
          <w:tcPr>
            <w:tcW w:w="0" w:type="dxa"/>
            <w:vAlign w:val="bottom"/>
          </w:tcPr>
          <w:p>
            <w:pPr>
              <w:spacing w:after="0"/>
              <w:rPr>
                <w:sz w:val="1"/>
                <w:szCs w:val="1"/>
                <w:color w:val="auto"/>
              </w:rPr>
            </w:pPr>
          </w:p>
        </w:tc>
      </w:tr>
      <w:tr>
        <w:trPr>
          <w:trHeight w:val="20"/>
        </w:trPr>
        <w:tc>
          <w:tcPr>
            <w:tcW w:w="59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148,867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(1,262)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147,608</w:t>
            </w:r>
          </w:p>
        </w:tc>
        <w:tc>
          <w:tcPr>
            <w:tcW w:w="0" w:type="dxa"/>
            <w:vAlign w:val="bottom"/>
          </w:tcPr>
          <w:p>
            <w:pPr>
              <w:spacing w:after="0"/>
              <w:rPr>
                <w:sz w:val="1"/>
                <w:szCs w:val="1"/>
                <w:color w:val="auto"/>
              </w:rPr>
            </w:pPr>
          </w:p>
        </w:tc>
      </w:tr>
      <w:tr>
        <w:trPr>
          <w:trHeight w:val="210"/>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28,146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27,336</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14,435</w:t>
            </w: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U.S. Treasury and government agencies</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17,567</w:t>
            </w:r>
          </w:p>
        </w:tc>
        <w:tc>
          <w:tcPr>
            <w:tcW w:w="0" w:type="dxa"/>
            <w:vAlign w:val="bottom"/>
          </w:tcPr>
          <w:p>
            <w:pPr>
              <w:spacing w:after="0"/>
              <w:rPr>
                <w:sz w:val="1"/>
                <w:szCs w:val="1"/>
                <w:color w:val="auto"/>
              </w:rPr>
            </w:pPr>
          </w:p>
        </w:tc>
      </w:tr>
      <w:tr>
        <w:trPr>
          <w:trHeight w:val="20"/>
        </w:trPr>
        <w:tc>
          <w:tcPr>
            <w:tcW w:w="598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98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60,657</w:t>
            </w:r>
          </w:p>
        </w:tc>
        <w:tc>
          <w:tcPr>
            <w:tcW w:w="220" w:type="dxa"/>
            <w:vAlign w:val="bottom"/>
            <w:tcBorders>
              <w:lef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1"/>
              </w:rPr>
              <w:t>(1,451)</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59,206</w:t>
            </w:r>
          </w:p>
        </w:tc>
        <w:tc>
          <w:tcPr>
            <w:tcW w:w="0" w:type="dxa"/>
            <w:vAlign w:val="bottom"/>
          </w:tcPr>
          <w:p>
            <w:pPr>
              <w:spacing w:after="0"/>
              <w:rPr>
                <w:sz w:val="1"/>
                <w:szCs w:val="1"/>
                <w:color w:val="auto"/>
              </w:rPr>
            </w:pPr>
          </w:p>
        </w:tc>
      </w:tr>
      <w:tr>
        <w:trPr>
          <w:trHeight w:val="20"/>
        </w:trPr>
        <w:tc>
          <w:tcPr>
            <w:tcW w:w="598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322,012</w:t>
            </w:r>
          </w:p>
        </w:tc>
        <w:tc>
          <w:tcPr>
            <w:tcW w:w="220" w:type="dxa"/>
            <w:vAlign w:val="bottom"/>
          </w:tcPr>
          <w:p>
            <w:pPr>
              <w:spacing w:after="0"/>
              <w:rPr>
                <w:sz w:val="18"/>
                <w:szCs w:val="18"/>
                <w:color w:val="auto"/>
              </w:rPr>
            </w:pPr>
          </w:p>
        </w:tc>
        <w:tc>
          <w:tcPr>
            <w:tcW w:w="20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w w:val="91"/>
              </w:rPr>
              <w:t>(2,713)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319,306</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40"/>
              <w:spacing w:after="0"/>
              <w:rPr>
                <w:sz w:val="20"/>
                <w:szCs w:val="20"/>
                <w:color w:val="auto"/>
              </w:rPr>
            </w:pPr>
            <w:r>
              <w:rPr>
                <w:rFonts w:ascii="Arial" w:cs="Arial" w:eastAsia="Arial" w:hAnsi="Arial"/>
                <w:sz w:val="18"/>
                <w:szCs w:val="18"/>
                <w:color w:val="auto"/>
              </w:rPr>
              <w:t>(1) Excludes cash of $61.2 million.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4"/>
            <w:vMerge w:val="restart"/>
          </w:tcPr>
          <w:p>
            <w:pPr>
              <w:jc w:val="center"/>
              <w:ind w:left="210"/>
              <w:spacing w:after="0"/>
              <w:rPr>
                <w:sz w:val="20"/>
                <w:szCs w:val="20"/>
                <w:color w:val="auto"/>
              </w:rPr>
            </w:pPr>
            <w:r>
              <w:rPr>
                <w:rFonts w:ascii="Arial" w:cs="Arial" w:eastAsia="Arial" w:hAnsi="Arial"/>
                <w:sz w:val="18"/>
                <w:szCs w:val="18"/>
                <w:b w:val="1"/>
                <w:bCs w:val="1"/>
                <w:color w:val="auto"/>
                <w:w w:val="90"/>
              </w:rPr>
              <w:t>December 31, 2021</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vMerge w:val="continue"/>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7"/>
              </w:rPr>
              <w:t>Amortized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w w:val="92"/>
              </w:rPr>
              <w:t>Unrealized</w:t>
            </w:r>
          </w:p>
        </w:tc>
        <w:tc>
          <w:tcPr>
            <w:tcW w:w="140" w:type="dxa"/>
            <w:vAlign w:val="bottom"/>
          </w:tcPr>
          <w:p>
            <w:pPr>
              <w:spacing w:after="0"/>
              <w:rPr>
                <w:sz w:val="16"/>
                <w:szCs w:val="16"/>
                <w:color w:val="auto"/>
              </w:rPr>
            </w:pPr>
          </w:p>
        </w:tc>
        <w:tc>
          <w:tcPr>
            <w:tcW w:w="1320" w:type="dxa"/>
            <w:vAlign w:val="bottom"/>
            <w:gridSpan w:val="3"/>
          </w:tcPr>
          <w:p>
            <w:pPr>
              <w:jc w:val="center"/>
              <w:ind w:right="121"/>
              <w:spacing w:after="0" w:line="191"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Gains</w:t>
            </w:r>
          </w:p>
        </w:tc>
        <w:tc>
          <w:tcPr>
            <w:tcW w:w="14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0"/>
              </w:rPr>
              <w:t>Losses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gridSpan w:val="4"/>
          </w:tcPr>
          <w:p>
            <w:pPr>
              <w:jc w:val="center"/>
              <w:ind w:left="210"/>
              <w:spacing w:after="0"/>
              <w:rPr>
                <w:sz w:val="20"/>
                <w:szCs w:val="20"/>
                <w:color w:val="auto"/>
              </w:rPr>
            </w:pPr>
            <w:r>
              <w:rPr>
                <w:rFonts w:ascii="Arial" w:cs="Arial" w:eastAsia="Arial" w:hAnsi="Arial"/>
                <w:sz w:val="18"/>
                <w:szCs w:val="18"/>
                <w:b w:val="1"/>
                <w:bCs w:val="1"/>
                <w:color w:val="auto"/>
                <w:w w:val="88"/>
              </w:rPr>
              <w:t>(in thousands)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equivalents: (1)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75,258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center"/>
              <w:ind w:right="43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75,258</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0"/>
        </w:trPr>
        <w:tc>
          <w:tcPr>
            <w:tcW w:w="59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76,108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76,108</w:t>
            </w:r>
          </w:p>
        </w:tc>
        <w:tc>
          <w:tcPr>
            <w:tcW w:w="0" w:type="dxa"/>
            <w:vAlign w:val="bottom"/>
          </w:tcPr>
          <w:p>
            <w:pPr>
              <w:spacing w:after="0"/>
              <w:rPr>
                <w:sz w:val="1"/>
                <w:szCs w:val="1"/>
                <w:color w:val="auto"/>
              </w:rPr>
            </w:pPr>
          </w:p>
        </w:tc>
      </w:tr>
      <w:tr>
        <w:trPr>
          <w:trHeight w:val="210"/>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marketable securities: (2)</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18,046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18,046</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28,963</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3,952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Treasury and government agencies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217,160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216,999</w:t>
            </w:r>
          </w:p>
        </w:tc>
        <w:tc>
          <w:tcPr>
            <w:tcW w:w="0" w:type="dxa"/>
            <w:vAlign w:val="bottom"/>
          </w:tcPr>
          <w:p>
            <w:pPr>
              <w:spacing w:after="0"/>
              <w:rPr>
                <w:sz w:val="1"/>
                <w:szCs w:val="1"/>
                <w:color w:val="auto"/>
              </w:rPr>
            </w:pPr>
          </w:p>
        </w:tc>
      </w:tr>
      <w:tr>
        <w:trPr>
          <w:trHeight w:val="20"/>
        </w:trPr>
        <w:tc>
          <w:tcPr>
            <w:tcW w:w="59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268,027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267,960</w:t>
            </w:r>
          </w:p>
        </w:tc>
        <w:tc>
          <w:tcPr>
            <w:tcW w:w="0" w:type="dxa"/>
            <w:vAlign w:val="bottom"/>
          </w:tcPr>
          <w:p>
            <w:pPr>
              <w:spacing w:after="0"/>
              <w:rPr>
                <w:sz w:val="1"/>
                <w:szCs w:val="1"/>
                <w:color w:val="auto"/>
              </w:rPr>
            </w:pPr>
          </w:p>
        </w:tc>
      </w:tr>
      <w:tr>
        <w:trPr>
          <w:trHeight w:val="210"/>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57,762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160</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57,740</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14,911</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U.S. Treasury and government agencies</w:t>
            </w: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37,664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37,528</w:t>
            </w:r>
          </w:p>
        </w:tc>
        <w:tc>
          <w:tcPr>
            <w:tcW w:w="0" w:type="dxa"/>
            <w:vAlign w:val="bottom"/>
          </w:tcPr>
          <w:p>
            <w:pPr>
              <w:spacing w:after="0"/>
              <w:rPr>
                <w:sz w:val="1"/>
                <w:szCs w:val="1"/>
                <w:color w:val="auto"/>
              </w:rPr>
            </w:pPr>
          </w:p>
        </w:tc>
      </w:tr>
      <w:tr>
        <w:trPr>
          <w:trHeight w:val="216"/>
        </w:trPr>
        <w:tc>
          <w:tcPr>
            <w:tcW w:w="59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government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111,374</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178</w:t>
            </w: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455,509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center"/>
              <w:ind w:right="43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(524)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455,266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00" w:hanging="248"/>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cash of $61.2 million.</w:t>
      </w:r>
    </w:p>
    <w:p>
      <w:pPr>
        <w:spacing w:after="0" w:line="9" w:lineRule="exact"/>
        <w:rPr>
          <w:rFonts w:ascii="Arial" w:cs="Arial" w:eastAsia="Arial" w:hAnsi="Arial"/>
          <w:sz w:val="18"/>
          <w:szCs w:val="18"/>
          <w:color w:val="auto"/>
        </w:rPr>
      </w:pPr>
    </w:p>
    <w:p>
      <w:pPr>
        <w:ind w:left="160" w:right="480" w:hanging="8"/>
        <w:spacing w:after="0" w:line="260" w:lineRule="auto"/>
        <w:tabs>
          <w:tab w:leader="none" w:pos="4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Revised for correction of classification of amounts and security types disclosed in Note 2 to the consolidated financial statements in our Annual Report on Form 10-K for the fiscal year ended December 31, 2021.</w:t>
      </w:r>
    </w:p>
    <w:p>
      <w:pPr>
        <w:spacing w:after="0" w:line="18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summarizes the gross unrealized losses and fair value of the Company's marketable securities that were in an unrealized loss position aggregated by length of time: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760"/>
              <w:spacing w:after="0"/>
              <w:rPr>
                <w:sz w:val="20"/>
                <w:szCs w:val="20"/>
                <w:color w:val="auto"/>
              </w:rPr>
            </w:pPr>
            <w:r>
              <w:rPr>
                <w:rFonts w:ascii="Arial" w:cs="Arial" w:eastAsia="Arial" w:hAnsi="Arial"/>
                <w:sz w:val="18"/>
                <w:szCs w:val="18"/>
                <w:b w:val="1"/>
                <w:bCs w:val="1"/>
                <w:color w:val="auto"/>
              </w:rPr>
              <w:t>December 31, 2022</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12 months or longer</w:t>
            </w:r>
          </w:p>
        </w:tc>
        <w:tc>
          <w:tcPr>
            <w:tcW w:w="1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50"/>
              <w:spacing w:after="0" w:line="195" w:lineRule="exact"/>
              <w:rPr>
                <w:sz w:val="20"/>
                <w:szCs w:val="20"/>
                <w:color w:val="auto"/>
              </w:rPr>
            </w:pPr>
            <w:r>
              <w:rPr>
                <w:rFonts w:ascii="Arial" w:cs="Arial" w:eastAsia="Arial" w:hAnsi="Arial"/>
                <w:sz w:val="18"/>
                <w:szCs w:val="18"/>
                <w:color w:val="auto"/>
                <w:w w:val="87"/>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unrealized</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unrealized</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unrealized</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Fair value</w:t>
            </w:r>
          </w:p>
        </w:tc>
        <w:tc>
          <w:tcPr>
            <w:tcW w:w="14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losses</w:t>
            </w:r>
          </w:p>
        </w:tc>
        <w:tc>
          <w:tcPr>
            <w:tcW w:w="16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6"/>
              </w:rPr>
              <w:t>Fair value</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82"/>
              </w:rPr>
              <w:t>losses</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Fair value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losses</w:t>
            </w:r>
          </w:p>
        </w:tc>
      </w:tr>
      <w:tr>
        <w:trPr>
          <w:trHeight w:val="230"/>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20" w:type="dxa"/>
            <w:vAlign w:val="bottom"/>
            <w:gridSpan w:val="5"/>
          </w:tcPr>
          <w:p>
            <w:pPr>
              <w:jc w:val="right"/>
              <w:ind w:right="98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Foreign government agencies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13,365</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1,652</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15,017</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(134)</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33,800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(389)</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26,326</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60,126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U.S. Treasury and government agencies</w:t>
            </w:r>
          </w:p>
        </w:tc>
        <w:tc>
          <w:tcPr>
            <w:tcW w:w="14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89,802</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(1,175)</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36,833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126,635</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(1,430)</w:t>
            </w:r>
          </w:p>
        </w:tc>
      </w:tr>
      <w:tr>
        <w:trPr>
          <w:trHeight w:val="20"/>
        </w:trPr>
        <w:tc>
          <w:tcPr>
            <w:tcW w:w="3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137,965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64,811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(2,713)</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b w:val="1"/>
                <w:bCs w:val="1"/>
                <w:color w:val="auto"/>
              </w:rPr>
              <w:t>December 31, 2021</w:t>
            </w: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0" w:type="dxa"/>
            <w:vAlign w:val="bottom"/>
            <w:gridSpan w:val="4"/>
          </w:tcPr>
          <w:p>
            <w:pPr>
              <w:jc w:val="right"/>
              <w:ind w:right="700"/>
              <w:spacing w:after="0"/>
              <w:rPr>
                <w:sz w:val="20"/>
                <w:szCs w:val="20"/>
                <w:color w:val="auto"/>
              </w:rPr>
            </w:pPr>
            <w:r>
              <w:rPr>
                <w:rFonts w:ascii="Arial" w:cs="Arial" w:eastAsia="Arial" w:hAnsi="Arial"/>
                <w:sz w:val="18"/>
                <w:szCs w:val="18"/>
                <w:b w:val="1"/>
                <w:bCs w:val="1"/>
                <w:color w:val="auto"/>
              </w:rPr>
              <w:t>Less than 12 months</w:t>
            </w:r>
          </w:p>
        </w:tc>
        <w:tc>
          <w:tcPr>
            <w:tcW w:w="160" w:type="dxa"/>
            <w:vAlign w:val="bottom"/>
          </w:tcPr>
          <w:p>
            <w:pPr>
              <w:spacing w:after="0"/>
              <w:rPr>
                <w:sz w:val="18"/>
                <w:szCs w:val="18"/>
                <w:color w:val="auto"/>
              </w:rPr>
            </w:pPr>
          </w:p>
        </w:tc>
        <w:tc>
          <w:tcPr>
            <w:tcW w:w="2180" w:type="dxa"/>
            <w:vAlign w:val="bottom"/>
            <w:gridSpan w:val="2"/>
          </w:tcPr>
          <w:p>
            <w:pPr>
              <w:ind w:left="300"/>
              <w:spacing w:after="0"/>
              <w:rPr>
                <w:sz w:val="20"/>
                <w:szCs w:val="20"/>
                <w:color w:val="auto"/>
              </w:rPr>
            </w:pPr>
            <w:r>
              <w:rPr>
                <w:rFonts w:ascii="Arial" w:cs="Arial" w:eastAsia="Arial" w:hAnsi="Arial"/>
                <w:sz w:val="18"/>
                <w:szCs w:val="18"/>
                <w:b w:val="1"/>
                <w:bCs w:val="1"/>
                <w:color w:val="auto"/>
              </w:rPr>
              <w:t>12 months or longer</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5"/>
        </w:trPr>
        <w:tc>
          <w:tcPr>
            <w:tcW w:w="32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87"/>
              </w:rPr>
              <w:t>Gross</w:t>
            </w:r>
          </w:p>
        </w:tc>
        <w:tc>
          <w:tcPr>
            <w:tcW w:w="2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left="130"/>
              <w:spacing w:after="0" w:line="195" w:lineRule="exact"/>
              <w:rPr>
                <w:sz w:val="20"/>
                <w:szCs w:val="20"/>
                <w:color w:val="auto"/>
              </w:rPr>
            </w:pPr>
            <w:r>
              <w:rPr>
                <w:rFonts w:ascii="Arial" w:cs="Arial" w:eastAsia="Arial" w:hAnsi="Arial"/>
                <w:sz w:val="18"/>
                <w:szCs w:val="18"/>
                <w:color w:val="auto"/>
                <w:w w:val="87"/>
              </w:rPr>
              <w:t>Gross</w:t>
            </w:r>
          </w:p>
        </w:tc>
        <w:tc>
          <w:tcPr>
            <w:tcW w:w="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70"/>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unrealized</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89"/>
              </w:rPr>
              <w:t>unrealized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unrealized</w:t>
            </w:r>
          </w:p>
        </w:tc>
      </w:tr>
      <w:tr>
        <w:trPr>
          <w:trHeight w:val="216"/>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w w:val="96"/>
              </w:rPr>
              <w:t>Fair value</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losses</w:t>
            </w:r>
          </w:p>
        </w:tc>
        <w:tc>
          <w:tcPr>
            <w:tcW w:w="160" w:type="dxa"/>
            <w:vAlign w:val="bottom"/>
          </w:tcPr>
          <w:p>
            <w:pPr>
              <w:spacing w:after="0"/>
              <w:rPr>
                <w:sz w:val="18"/>
                <w:szCs w:val="18"/>
                <w:color w:val="auto"/>
              </w:rPr>
            </w:pPr>
          </w:p>
        </w:tc>
        <w:tc>
          <w:tcPr>
            <w:tcW w:w="1100" w:type="dxa"/>
            <w:vAlign w:val="bottom"/>
          </w:tcPr>
          <w:p>
            <w:pPr>
              <w:ind w:left="60"/>
              <w:spacing w:after="0"/>
              <w:rPr>
                <w:sz w:val="20"/>
                <w:szCs w:val="20"/>
                <w:color w:val="auto"/>
              </w:rPr>
            </w:pPr>
            <w:r>
              <w:rPr>
                <w:rFonts w:ascii="Arial" w:cs="Arial" w:eastAsia="Arial" w:hAnsi="Arial"/>
                <w:sz w:val="18"/>
                <w:szCs w:val="18"/>
                <w:color w:val="auto"/>
              </w:rPr>
              <w:t>Fair value</w:t>
            </w:r>
          </w:p>
        </w:tc>
        <w:tc>
          <w:tcPr>
            <w:tcW w:w="1080" w:type="dxa"/>
            <w:vAlign w:val="bottom"/>
          </w:tcPr>
          <w:p>
            <w:pPr>
              <w:jc w:val="center"/>
              <w:ind w:left="130"/>
              <w:spacing w:after="0"/>
              <w:rPr>
                <w:sz w:val="20"/>
                <w:szCs w:val="20"/>
                <w:color w:val="auto"/>
              </w:rPr>
            </w:pPr>
            <w:r>
              <w:rPr>
                <w:rFonts w:ascii="Arial" w:cs="Arial" w:eastAsia="Arial" w:hAnsi="Arial"/>
                <w:sz w:val="18"/>
                <w:szCs w:val="18"/>
                <w:color w:val="auto"/>
                <w:w w:val="82"/>
              </w:rPr>
              <w:t>losses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210"/>
              <w:spacing w:after="0"/>
              <w:rPr>
                <w:sz w:val="20"/>
                <w:szCs w:val="20"/>
                <w:color w:val="auto"/>
              </w:rPr>
            </w:pPr>
            <w:r>
              <w:rPr>
                <w:rFonts w:ascii="Arial" w:cs="Arial" w:eastAsia="Arial" w:hAnsi="Arial"/>
                <w:sz w:val="18"/>
                <w:szCs w:val="18"/>
                <w:color w:val="auto"/>
                <w:w w:val="96"/>
              </w:rPr>
              <w:t>Fair value</w:t>
            </w:r>
          </w:p>
        </w:tc>
        <w:tc>
          <w:tcPr>
            <w:tcW w:w="2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losses</w:t>
            </w:r>
          </w:p>
        </w:tc>
      </w:tr>
      <w:tr>
        <w:trPr>
          <w:trHeight w:val="230"/>
        </w:trPr>
        <w:tc>
          <w:tcPr>
            <w:tcW w:w="3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180" w:type="dxa"/>
            <w:vAlign w:val="bottom"/>
            <w:gridSpan w:val="2"/>
          </w:tcPr>
          <w:p>
            <w:pPr>
              <w:ind w:left="520"/>
              <w:spacing w:after="0"/>
              <w:rPr>
                <w:sz w:val="20"/>
                <w:szCs w:val="20"/>
                <w:color w:val="auto"/>
              </w:rPr>
            </w:pPr>
            <w:r>
              <w:rPr>
                <w:rFonts w:ascii="Arial" w:cs="Arial" w:eastAsia="Arial" w:hAnsi="Arial"/>
                <w:sz w:val="18"/>
                <w:szCs w:val="18"/>
                <w:color w:val="auto"/>
              </w:rPr>
              <w:t>(in thousands)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15,867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r>
    </w:tbl>
    <w:p>
      <w:pPr>
        <w:sectPr>
          <w:pgSz w:w="11900" w:h="16851" w:orient="portrait"/>
          <w:cols w:equalWidth="0" w:num="1">
            <w:col w:w="11240"/>
          </w:cols>
          <w:pgMar w:left="320" w:top="125" w:right="339" w:bottom="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Arial" w:cs="Arial" w:eastAsia="Arial" w:hAnsi="Arial"/>
                <w:sz w:val="18"/>
                <w:szCs w:val="18"/>
                <w:color w:val="auto"/>
              </w:rPr>
              <w:t>Corporate bonds</w:t>
            </w: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54,143</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(189)</w:t>
            </w:r>
          </w:p>
        </w:tc>
        <w:tc>
          <w:tcPr>
            <w:tcW w:w="600" w:type="dxa"/>
            <w:vAlign w:val="bottom"/>
          </w:tcPr>
          <w:p>
            <w:pPr>
              <w:spacing w:after="0"/>
              <w:rPr>
                <w:sz w:val="20"/>
                <w:szCs w:val="20"/>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76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54,143</w:t>
            </w:r>
          </w:p>
        </w:tc>
        <w:tc>
          <w:tcPr>
            <w:tcW w:w="4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U.S. Treasury and government agencies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241,816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(299)</w:t>
            </w:r>
          </w:p>
        </w:tc>
        <w:tc>
          <w:tcPr>
            <w:tcW w:w="6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241,816</w:t>
            </w:r>
          </w:p>
        </w:tc>
        <w:tc>
          <w:tcPr>
            <w:tcW w:w="4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(299)</w:t>
            </w:r>
          </w:p>
        </w:tc>
      </w:tr>
      <w:tr>
        <w:trPr>
          <w:trHeight w:val="20"/>
        </w:trPr>
        <w:tc>
          <w:tcPr>
            <w:tcW w:w="32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28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311,826</w:t>
            </w:r>
          </w:p>
        </w:tc>
        <w:tc>
          <w:tcPr>
            <w:tcW w:w="260" w:type="dxa"/>
            <w:vAlign w:val="bottom"/>
          </w:tcPr>
          <w:p>
            <w:pPr>
              <w:spacing w:after="0"/>
              <w:rPr>
                <w:sz w:val="18"/>
                <w:szCs w:val="18"/>
                <w:color w:val="auto"/>
              </w:rPr>
            </w:pP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(524)</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2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1060" w:type="dxa"/>
            <w:vAlign w:val="bottom"/>
            <w:gridSpan w:val="3"/>
          </w:tcPr>
          <w:p>
            <w:pPr>
              <w:ind w:left="48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311,826</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(524)</w:t>
            </w:r>
          </w:p>
        </w:tc>
      </w:tr>
      <w:tr>
        <w:trPr>
          <w:trHeight w:val="20"/>
        </w:trPr>
        <w:tc>
          <w:tcPr>
            <w:tcW w:w="3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0" w:right="160" w:firstLine="270"/>
        <w:spacing w:after="0" w:line="311" w:lineRule="auto"/>
        <w:rPr>
          <w:sz w:val="20"/>
          <w:szCs w:val="20"/>
          <w:color w:val="auto"/>
        </w:rPr>
      </w:pPr>
      <w:r>
        <w:rPr>
          <w:rFonts w:ascii="Arial" w:cs="Arial" w:eastAsia="Arial" w:hAnsi="Arial"/>
          <w:sz w:val="16"/>
          <w:szCs w:val="16"/>
          <w:color w:val="auto"/>
        </w:rPr>
        <w:t>The Company had the ability and intent to hold all marketable securities that were in an unrealized loss position until recovery of the amortized cost basis. The Company considered the extent to which fair value was less than amortized cost basis and conditions related to security’s industry and geography and changes to the ratings, if any, and concluded the decline in fair value compared to carrying value was not related to credit loss.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summarizes the fair value of marketable securities by contractual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Due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Due after One Year through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Mature over Two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Asset-backed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Designated cash flow hedges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9888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7" w:lineRule="exact"/>
        <w:rPr>
          <w:sz w:val="20"/>
          <w:szCs w:val="20"/>
          <w:color w:val="auto"/>
        </w:rPr>
      </w:pPr>
    </w:p>
    <w:p>
      <w:pPr>
        <w:ind w:left="1020" w:right="420" w:hanging="889"/>
        <w:spacing w:after="0" w:line="266" w:lineRule="auto"/>
        <w:rPr>
          <w:sz w:val="20"/>
          <w:szCs w:val="20"/>
          <w:color w:val="auto"/>
        </w:rPr>
      </w:pPr>
      <w:r>
        <w:rPr>
          <w:rFonts w:ascii="Arial" w:cs="Arial" w:eastAsia="Arial" w:hAnsi="Arial"/>
          <w:sz w:val="18"/>
          <w:szCs w:val="18"/>
          <w:b w:val="1"/>
          <w:bCs w:val="1"/>
          <w:color w:val="auto"/>
        </w:rPr>
        <w:t>Amortized Cost</w:t>
      </w:r>
      <w:r>
        <w:rPr>
          <w:sz w:val="20"/>
          <w:szCs w:val="20"/>
          <w:color w:val="auto"/>
        </w:rPr>
        <w:t xml:space="preserve"> </w:t>
      </w:r>
      <w:r>
        <w:rPr>
          <w:rFonts w:ascii="Arial" w:cs="Arial" w:eastAsia="Arial" w:hAnsi="Arial"/>
          <w:sz w:val="18"/>
          <w:szCs w:val="18"/>
          <w:b w:val="1"/>
          <w:bCs w:val="1"/>
          <w:color w:val="auto"/>
        </w:rPr>
        <w:t>Fair Value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19888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480" w:type="dxa"/>
            <w:vAlign w:val="bottom"/>
          </w:tcPr>
          <w:p>
            <w:pPr>
              <w:jc w:val="right"/>
              <w:ind w:right="2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260,629</w:t>
            </w:r>
          </w:p>
        </w:tc>
        <w:tc>
          <w:tcPr>
            <w:tcW w:w="680" w:type="dxa"/>
            <w:vAlign w:val="bottom"/>
            <w:gridSpan w:val="2"/>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259,376</w:t>
            </w:r>
          </w:p>
        </w:tc>
      </w:tr>
      <w:tr>
        <w:trPr>
          <w:trHeight w:val="230"/>
        </w:trPr>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43,528</w:t>
            </w: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42,272</w:t>
            </w:r>
          </w:p>
        </w:tc>
      </w:t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2,694</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2,631</w:t>
            </w:r>
          </w:p>
        </w:tc>
      </w:tr>
      <w:tr>
        <w:trPr>
          <w:trHeight w:val="230"/>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15,161</w:t>
            </w: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15,027</w:t>
            </w:r>
          </w:p>
        </w:tc>
      </w:tr>
      <w:tr>
        <w:trPr>
          <w:trHeight w:val="209"/>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322,012</w:t>
            </w:r>
          </w:p>
        </w:tc>
        <w:tc>
          <w:tcPr>
            <w:tcW w:w="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319,306</w:t>
            </w:r>
          </w:p>
        </w:tc>
        <w:tc>
          <w:tcPr>
            <w:tcW w:w="2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7280" w:space="720"/>
            <w:col w:w="3240"/>
          </w:cols>
          <w:pgMar w:left="320" w:top="125" w:right="339" w:bottom="939" w:gutter="0" w:footer="0" w:header="0"/>
        </w:sectPr>
      </w:pPr>
    </w:p>
    <w:p>
      <w:pPr>
        <w:spacing w:after="0" w:line="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Company enters into foreign currency forward contracts to reduce the risk of variability in future cash flow due to foreign currency exchange rate fluctuation from certain forecasted subscription revenue orders billed in GBP and Euro and operation expenses incurred in INR, which are designated as cash flow hedges. Hedge effectiveness is assessed at inception and at each reporting period utilizing regression analysis. Unrealized foreign exchange gains or losses related to those designated cash flow hedge contracts are recorded in Accumulated other comprehensive income ("AOCI") and will be reclassified into revenues or operating expenses, respectively, in the same periods when the hedged transactions are recognized in earnings.</w:t>
      </w:r>
    </w:p>
    <w:p>
      <w:pPr>
        <w:spacing w:after="0" w:line="16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December 31, 2022, a net amount of unrealized gains of $3.2 million before tax on the foreign currency forward contracts for GBP and Euro reported in AOCI is expected to be reclassified into revenue within the next 12 months. As of December 31, 2022, a net amount of unrealized loss of $1.6 million before tax on the foreign currency forward contracts for INR reported in AOCI is expected to be reclassified into operating expenses within the next 12 months.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Non-designated forward contracts</w:t>
      </w:r>
    </w:p>
    <w:p>
      <w:pPr>
        <w:spacing w:after="0" w:line="225"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 also uses foreign currency forward contracts to hedge certain foreign currency denominated assets or liabilities, which are not designated as cash flow hedges. Unrealized foreign exchange gain or losses related to the non-designated forward contracts are recorded in other income (expenses), net and offset the foreign exchange gain or loss on the underlying net monetary assets or liabilities.</w:t>
      </w:r>
    </w:p>
    <w:p>
      <w:pPr>
        <w:spacing w:after="0" w:line="1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summarizes the fair value of derivative financial instruments as of December 31, 2022 and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10"/>
        </w:trPr>
        <w:tc>
          <w:tcPr>
            <w:tcW w:w="80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jc w:val="right"/>
              <w:ind w:right="15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Foreign currency forward contracts designated as cash flow hedge</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1,041</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1,737</w:t>
            </w:r>
          </w:p>
        </w:tc>
      </w:tr>
      <w:tr>
        <w:trPr>
          <w:trHeight w:val="216"/>
        </w:trPr>
        <w:tc>
          <w:tcPr>
            <w:tcW w:w="8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1,493</w:t>
            </w:r>
          </w:p>
        </w:tc>
        <w:tc>
          <w:tcPr>
            <w:tcW w:w="6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3,336</w:t>
            </w:r>
          </w:p>
        </w:tc>
      </w:tr>
      <w:tr>
        <w:trPr>
          <w:trHeight w:val="20"/>
        </w:trPr>
        <w:tc>
          <w:tcPr>
            <w:tcW w:w="80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20" w:type="dxa"/>
            <w:vAlign w:val="bottom"/>
          </w:tcPr>
          <w:p>
            <w:pPr>
              <w:ind w:left="180"/>
              <w:spacing w:after="0"/>
              <w:rPr>
                <w:sz w:val="20"/>
                <w:szCs w:val="20"/>
                <w:color w:val="auto"/>
              </w:rPr>
            </w:pPr>
            <w:r>
              <w:rPr>
                <w:rFonts w:ascii="Arial" w:cs="Arial" w:eastAsia="Arial" w:hAnsi="Arial"/>
                <w:sz w:val="18"/>
                <w:szCs w:val="18"/>
                <w:color w:val="auto"/>
              </w:rPr>
              <w:t>Foreign currency forward contracts designated as cash flow hedge</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(2,634)</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16"/>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r>
      <w:tr>
        <w:trPr>
          <w:trHeight w:val="20"/>
        </w:trPr>
        <w:tc>
          <w:tcPr>
            <w:tcW w:w="802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2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(4,679)</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r>
      <w:tr>
        <w:trPr>
          <w:trHeight w:val="20"/>
        </w:trPr>
        <w:tc>
          <w:tcPr>
            <w:tcW w:w="80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Derivative transactions are measured in terms of the notional amount. However, this amount is not recorded on the balance sheet and is not, when viewed in isolation, a meaningful measure of the risk profile of the derivative instruments. The notional amount is generally not exchanged, and is used only as the underlying basis on which the value of foreign currency exchange payments under these contracts is determined. The following summarizes the notional amounts of our outstanding derivatives: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 designated as cash flow hedge</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4"/>
              </w:rPr>
              <w:t>10,623</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Foreign currency forward contracts not designated as hedging instruments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69,972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56,114</w:t>
            </w:r>
          </w:p>
        </w:tc>
        <w:tc>
          <w:tcPr>
            <w:tcW w:w="100" w:type="dxa"/>
            <w:vAlign w:val="bottom"/>
          </w:tcPr>
          <w:p>
            <w:pPr>
              <w:spacing w:after="0"/>
              <w:rPr>
                <w:sz w:val="18"/>
                <w:szCs w:val="18"/>
                <w:color w:val="auto"/>
              </w:rPr>
            </w:pPr>
          </w:p>
        </w:tc>
      </w:tr>
      <w:tr>
        <w:trPr>
          <w:trHeight w:val="249"/>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80,595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presents its derivative assets and derivative liabilities at gross fair values in the consolidated balance sheets. However, under the master netting agreements with the respective counterparties of the foreign exchange contracts, subject to applicable requirements, the Company is allowed to net settle transactions of the same currency with a single net amount payable by one party to the other. The potential offset to both assets and liabilities under the right of set-off associated with the Company's foreign currency exchange contracts are immaterial as of December 31, 2022 and 2021. The derivatives held by the Company are not subject to any credit contingent features negotiated with its counterparties. The Company is not required to pledge nor is entitled to receive cash collateral related to the above contracts. The counterparties to these derivatives are large, global financial institutions that the Company believes are creditworthy, and therefore, it does not consider the risk of counterparty nonperformance to be material.</w:t>
      </w:r>
    </w:p>
    <w:p>
      <w:pPr>
        <w:sectPr>
          <w:pgSz w:w="11900" w:h="16838" w:orient="portrait"/>
          <w:cols w:equalWidth="0" w:num="1">
            <w:col w:w="11240"/>
          </w:cols>
          <w:pgMar w:left="320" w:top="125" w:right="339" w:bottom="939" w:gutter="0" w:footer="0" w:header="0"/>
          <w:type w:val="continuous"/>
        </w:sectPr>
      </w:pP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939" w:gutter="0" w:footer="0" w:header="0"/>
          <w:type w:val="continuous"/>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summarizes the gains (losses) recognized from forward contracts and other foreign currency transactions in other income (expense), net in the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5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from non-designated forward contracts</w:t>
            </w:r>
          </w:p>
        </w:tc>
        <w:tc>
          <w:tcPr>
            <w:tcW w:w="2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5,093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(1,634)</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Other foreign currency transactions gains (losses)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(6,864)</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(2,749)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1,894</w:t>
            </w: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foreign exchange gains (losses), net</w:t>
            </w:r>
          </w:p>
        </w:tc>
        <w:tc>
          <w:tcPr>
            <w:tcW w:w="1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(1,771)</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0"/>
        </w:trPr>
        <w:tc>
          <w:tcPr>
            <w:tcW w:w="5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Other expenses</w:t>
            </w:r>
          </w:p>
        </w:tc>
        <w:tc>
          <w:tcPr>
            <w:tcW w:w="1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(276)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(253)</w:t>
            </w:r>
          </w:p>
        </w:tc>
      </w:tr>
      <w:tr>
        <w:trPr>
          <w:trHeight w:val="20"/>
        </w:trPr>
        <w:tc>
          <w:tcPr>
            <w:tcW w:w="5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0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(2,038)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3</w:t>
      </w:r>
      <w:r>
        <w:rPr>
          <w:rFonts w:ascii="Arial" w:cs="Arial" w:eastAsia="Arial" w:hAnsi="Arial"/>
          <w:sz w:val="18"/>
          <w:szCs w:val="18"/>
          <w:b w:val="1"/>
          <w:bCs w:val="1"/>
          <w:i w:val="1"/>
          <w:iCs w:val="1"/>
          <w:color w:val="auto"/>
        </w:rPr>
        <w:t>.</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and changes in accumulated other comprehensive income (loss)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70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1"/>
              </w:rPr>
              <w:t>Available-for-sale</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9"/>
              </w:rPr>
              <w:t>debt securities</w:t>
            </w:r>
          </w:p>
        </w:tc>
        <w:tc>
          <w:tcPr>
            <w:tcW w:w="15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0"/>
              </w:rPr>
              <w:t>Cash flow hedges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r>
      <w:tr>
        <w:trPr>
          <w:trHeight w:val="209"/>
        </w:trPr>
        <w:tc>
          <w:tcPr>
            <w:tcW w:w="6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w w:val="88"/>
              </w:rPr>
              <w:t>(in thousands)</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822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340</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1,162</w:t>
            </w:r>
          </w:p>
        </w:tc>
      </w:tr>
      <w:tr>
        <w:trPr>
          <w:trHeight w:val="20"/>
        </w:trPr>
        <w:tc>
          <w:tcPr>
            <w:tcW w:w="6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320" w:type="dxa"/>
            <w:vAlign w:val="bottom"/>
          </w:tcPr>
          <w:p>
            <w:pPr>
              <w:ind w:left="180"/>
              <w:spacing w:after="0"/>
              <w:rPr>
                <w:sz w:val="20"/>
                <w:szCs w:val="20"/>
                <w:color w:val="auto"/>
              </w:rPr>
            </w:pPr>
            <w:r>
              <w:rPr>
                <w:rFonts w:ascii="Arial" w:cs="Arial" w:eastAsia="Arial" w:hAnsi="Arial"/>
                <w:sz w:val="18"/>
                <w:szCs w:val="18"/>
                <w:color w:val="auto"/>
              </w:rPr>
              <w:t>Change in unrealized gains (losses) during the period</w:t>
            </w:r>
          </w:p>
        </w:tc>
        <w:tc>
          <w:tcPr>
            <w:tcW w:w="12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(1,550)</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reclassified into income during the period</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615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r>
      <w:tr>
        <w:trPr>
          <w:trHeight w:val="209"/>
        </w:trPr>
        <w:tc>
          <w:tcPr>
            <w:tcW w:w="6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change during the period</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Balances at December 31, 2020</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(1,708</w:t>
            </w: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(484</w:t>
            </w: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32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Change in unrealized gains (losses) during the period</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2,837</w:t>
            </w: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983</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Net losses reclassified into income during the period</w:t>
            </w:r>
          </w:p>
        </w:tc>
        <w:tc>
          <w:tcPr>
            <w:tcW w:w="1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933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955</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 (provision)</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(447)</w:t>
            </w:r>
          </w:p>
        </w:tc>
      </w:tr>
      <w:tr>
        <w:trPr>
          <w:trHeight w:val="210"/>
        </w:trPr>
        <w:tc>
          <w:tcPr>
            <w:tcW w:w="6320" w:type="dxa"/>
            <w:vAlign w:val="bottom"/>
          </w:tcPr>
          <w:p>
            <w:pPr>
              <w:ind w:left="340"/>
              <w:spacing w:after="0"/>
              <w:rPr>
                <w:sz w:val="20"/>
                <w:szCs w:val="20"/>
                <w:color w:val="auto"/>
              </w:rPr>
            </w:pPr>
            <w:r>
              <w:rPr>
                <w:rFonts w:ascii="Arial" w:cs="Arial" w:eastAsia="Arial" w:hAnsi="Arial"/>
                <w:sz w:val="18"/>
                <w:szCs w:val="18"/>
                <w:color w:val="auto"/>
              </w:rPr>
              <w:t>Net change during the period</w:t>
            </w: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w:t>
            </w:r>
          </w:p>
        </w:tc>
        <w:tc>
          <w:tcPr>
            <w:tcW w:w="100" w:type="dxa"/>
            <w:vAlign w:val="bottom"/>
          </w:tcPr>
          <w:p>
            <w:pPr>
              <w:spacing w:after="0"/>
              <w:rPr>
                <w:sz w:val="18"/>
                <w:szCs w:val="18"/>
                <w:color w:val="auto"/>
              </w:rPr>
            </w:pPr>
          </w:p>
        </w:tc>
      </w:tr>
      <w:tr>
        <w:trPr>
          <w:trHeight w:val="229"/>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(185</w:t>
            </w: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1,007</w:t>
            </w:r>
          </w:p>
        </w:tc>
      </w:tr>
      <w:tr>
        <w:trPr>
          <w:trHeight w:val="20"/>
        </w:trPr>
        <w:tc>
          <w:tcPr>
            <w:tcW w:w="6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6320" w:type="dxa"/>
            <w:vAlign w:val="bottom"/>
          </w:tcPr>
          <w:p>
            <w:pPr>
              <w:ind w:left="180"/>
              <w:spacing w:after="0" w:line="196" w:lineRule="exact"/>
              <w:rPr>
                <w:sz w:val="20"/>
                <w:szCs w:val="20"/>
                <w:color w:val="auto"/>
              </w:rPr>
            </w:pPr>
            <w:r>
              <w:rPr>
                <w:rFonts w:ascii="Arial" w:cs="Arial" w:eastAsia="Arial" w:hAnsi="Arial"/>
                <w:sz w:val="18"/>
                <w:szCs w:val="18"/>
                <w:color w:val="auto"/>
              </w:rPr>
              <w:t>Change in unrealized gains (losses) during the period</w:t>
            </w:r>
          </w:p>
        </w:tc>
        <w:tc>
          <w:tcPr>
            <w:tcW w:w="120" w:type="dxa"/>
            <w:vAlign w:val="bottom"/>
          </w:tcPr>
          <w:p>
            <w:pPr>
              <w:spacing w:after="0"/>
              <w:rPr>
                <w:sz w:val="17"/>
                <w:szCs w:val="17"/>
                <w:color w:val="auto"/>
              </w:rPr>
            </w:pPr>
          </w:p>
        </w:tc>
        <w:tc>
          <w:tcPr>
            <w:tcW w:w="158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(2,462)</w:t>
            </w:r>
          </w:p>
        </w:tc>
        <w:tc>
          <w:tcPr>
            <w:tcW w:w="120" w:type="dxa"/>
            <w:vAlign w:val="bottom"/>
          </w:tcPr>
          <w:p>
            <w:pPr>
              <w:spacing w:after="0"/>
              <w:rPr>
                <w:sz w:val="17"/>
                <w:szCs w:val="17"/>
                <w:color w:val="auto"/>
              </w:rPr>
            </w:pPr>
          </w:p>
        </w:tc>
        <w:tc>
          <w:tcPr>
            <w:tcW w:w="146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581</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(1,881)</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gains reclassified into income during the period</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(1,147)</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Income tax benefit (provision)</w:t>
            </w:r>
          </w:p>
        </w:tc>
        <w:tc>
          <w:tcPr>
            <w:tcW w:w="1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r>
      <w:tr>
        <w:trPr>
          <w:trHeight w:val="209"/>
        </w:trPr>
        <w:tc>
          <w:tcPr>
            <w:tcW w:w="63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change during the period</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b w:val="1"/>
                <w:bCs w:val="1"/>
                <w:color w:val="auto"/>
              </w:rPr>
              <w:t>Balances at December 31, 2022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758</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(1,947</w:t>
            </w:r>
            <w:r>
              <w:rPr>
                <w:rFonts w:ascii="Arial" w:cs="Arial" w:eastAsia="Arial" w:hAnsi="Arial"/>
                <w:sz w:val="18"/>
                <w:szCs w:val="18"/>
                <w:color w:val="auto"/>
              </w:rPr>
              <w:t>)</w:t>
            </w:r>
          </w:p>
        </w:tc>
      </w:tr>
      <w:tr>
        <w:trPr>
          <w:trHeight w:val="20"/>
        </w:trPr>
        <w:tc>
          <w:tcPr>
            <w:tcW w:w="6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effects on income before income taxes of amounts reclassified from AOCI to the consolidated statements of operations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AOCI - Available-for-sale debt securities</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Other income (expense), net</w:t>
            </w:r>
          </w:p>
        </w:tc>
        <w:tc>
          <w:tcPr>
            <w:tcW w:w="23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Reclassification of AOCI - Cash flow hedges</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236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(478)</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16"/>
        </w:trPr>
        <w:tc>
          <w:tcPr>
            <w:tcW w:w="49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94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40" w:type="dxa"/>
            <w:vAlign w:val="bottom"/>
          </w:tcPr>
          <w:p>
            <w:pPr>
              <w:spacing w:after="0"/>
              <w:rPr>
                <w:sz w:val="20"/>
                <w:szCs w:val="20"/>
                <w:color w:val="auto"/>
              </w:rPr>
            </w:pPr>
            <w:r>
              <w:rPr>
                <w:rFonts w:ascii="Arial" w:cs="Arial" w:eastAsia="Arial" w:hAnsi="Arial"/>
                <w:sz w:val="18"/>
                <w:szCs w:val="18"/>
                <w:color w:val="auto"/>
              </w:rPr>
              <w:t>Total</w:t>
            </w:r>
          </w:p>
        </w:tc>
        <w:tc>
          <w:tcPr>
            <w:tcW w:w="236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1,147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380" w:type="dxa"/>
            <w:vAlign w:val="bottom"/>
            <w:vMerge w:val="restart"/>
          </w:tcPr>
          <w:p>
            <w:pPr>
              <w:jc w:val="right"/>
              <w:ind w:right="510"/>
              <w:spacing w:after="0"/>
              <w:rPr>
                <w:sz w:val="20"/>
                <w:szCs w:val="20"/>
                <w:color w:val="auto"/>
              </w:rPr>
            </w:pPr>
            <w:r>
              <w:rPr>
                <w:rFonts w:ascii="Arial" w:cs="Arial" w:eastAsia="Arial" w:hAnsi="Arial"/>
                <w:sz w:val="18"/>
                <w:szCs w:val="18"/>
                <w:color w:val="auto"/>
              </w:rPr>
              <w:t>66</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4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4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4.</w:t>
            </w:r>
          </w:p>
        </w:tc>
        <w:tc>
          <w:tcPr>
            <w:tcW w:w="7080" w:type="dxa"/>
            <w:vAlign w:val="bottom"/>
          </w:tcPr>
          <w:p>
            <w:pPr>
              <w:ind w:left="220"/>
              <w:spacing w:after="0"/>
              <w:rPr>
                <w:sz w:val="20"/>
                <w:szCs w:val="20"/>
                <w:color w:val="auto"/>
              </w:rPr>
            </w:pPr>
            <w:r>
              <w:rPr>
                <w:rFonts w:ascii="Arial" w:cs="Arial" w:eastAsia="Arial" w:hAnsi="Arial"/>
                <w:sz w:val="18"/>
                <w:szCs w:val="18"/>
                <w:b w:val="1"/>
                <w:bCs w:val="1"/>
                <w:color w:val="auto"/>
              </w:rPr>
              <w:t>Property and Equipment, Net</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gridSpan w:val="2"/>
          </w:tcPr>
          <w:p>
            <w:pPr>
              <w:ind w:left="420"/>
              <w:spacing w:after="0"/>
              <w:rPr>
                <w:sz w:val="20"/>
                <w:szCs w:val="20"/>
                <w:color w:val="auto"/>
              </w:rPr>
            </w:pPr>
            <w:r>
              <w:rPr>
                <w:rFonts w:ascii="Arial" w:cs="Arial" w:eastAsia="Arial" w:hAnsi="Arial"/>
                <w:sz w:val="18"/>
                <w:szCs w:val="18"/>
                <w:color w:val="auto"/>
                <w:w w:val="96"/>
              </w:rPr>
              <w:t>Property and equipment, net, which includes assets under finance leases, consists of the following:</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4"/>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173,832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161,809</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25,808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25,807</w:t>
            </w:r>
          </w:p>
        </w:tc>
      </w:tr>
      <w:tr>
        <w:trPr>
          <w:trHeight w:val="22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21,092</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Scanner appliances</w:t>
            </w:r>
          </w:p>
        </w:tc>
        <w:tc>
          <w:tcPr>
            <w:tcW w:w="3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15,696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16,510</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6,479</w:t>
            </w:r>
          </w:p>
        </w:tc>
      </w:tr>
      <w:tr>
        <w:trPr>
          <w:trHeight w:val="21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Total property and equipment</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242,869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231,697</w:t>
            </w: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(195,441)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(169,843)</w:t>
            </w:r>
          </w:p>
        </w:tc>
      </w:tr>
      <w:tr>
        <w:trPr>
          <w:trHeight w:val="209"/>
        </w:trPr>
        <w:tc>
          <w:tcPr>
            <w:tcW w:w="800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Property and equipment, net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47,428</w:t>
            </w: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61,854</w:t>
            </w:r>
          </w:p>
        </w:tc>
        <w:tc>
          <w:tcPr>
            <w:tcW w:w="100" w:type="dxa"/>
            <w:vAlign w:val="bottom"/>
            <w:tcBorders>
              <w:top w:val="single" w:sz="8" w:color="CCEEFF"/>
            </w:tcBorders>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December 31, 2022 and 2021, physical scanner appliances and other computer equipment that are or will be subject to leases by customers had a net carrying value of $6.7 million and $5.3 million, respectively, including assets that had not been placed in service of $4.0 million and $1.3 million, respectively. Depreciation and amortization expenses relating to property and equipment were $28.2 million, $28.5 million and $26.1 million for the years ended December 31, 2022, 2021 and 2020, respectively. Assets under finance leases were acquired upon completion of lease term and placed within computer equipment as of December 31, 2022.</w:t>
      </w:r>
    </w:p>
    <w:p>
      <w:pPr>
        <w:spacing w:after="0" w:line="200" w:lineRule="exact"/>
        <w:rPr>
          <w:sz w:val="20"/>
          <w:szCs w:val="20"/>
          <w:color w:val="auto"/>
        </w:rPr>
      </w:pPr>
    </w:p>
    <w:p>
      <w:pPr>
        <w:spacing w:after="0" w:line="22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6"/>
          <w:szCs w:val="16"/>
          <w:b w:val="1"/>
          <w:bCs w:val="1"/>
          <w:color w:val="auto"/>
        </w:rPr>
        <w:t>Revenue from Contracts with Customers</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records deferred revenue when cash payments are received or due in advance of its performance obligations offset by revenue recognized in the period. Revenues of $254.9 million and $211.0 million were recognized during the years ended December 31, 2022 and December 31, 2021, respectively, which amounts were included in the deferred revenue balances of $290.6 million and $244.0 million as of December 31, 2021 and December 31, 2020, respectively.</w:t>
      </w:r>
    </w:p>
    <w:p>
      <w:pPr>
        <w:spacing w:after="0" w:line="187"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Company's payment terms vary by the type and location of its customers. The term between invoicing and when payment is due is not significant. In certain circumstances, based on the credit quality of the customer, the Company requires payment before the products or services are delivered to the customer.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420"/>
              <w:spacing w:after="0"/>
              <w:rPr>
                <w:sz w:val="20"/>
                <w:szCs w:val="20"/>
                <w:color w:val="auto"/>
              </w:rPr>
            </w:pPr>
            <w:r>
              <w:rPr>
                <w:rFonts w:ascii="Arial" w:cs="Arial" w:eastAsia="Arial" w:hAnsi="Arial"/>
                <w:sz w:val="18"/>
                <w:szCs w:val="18"/>
                <w:color w:val="auto"/>
                <w:w w:val="93"/>
              </w:rPr>
              <w:t>The following table sets forth the expected revenue from all remaining performance obligations as of December 31, 2022: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9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158,607</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2024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82,902</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27,874</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2026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1,994</w:t>
            </w: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w:t>
            </w:r>
          </w:p>
        </w:tc>
      </w:tr>
      <w:tr>
        <w:trPr>
          <w:trHeight w:val="216"/>
        </w:trPr>
        <w:tc>
          <w:tcPr>
            <w:tcW w:w="9440" w:type="dxa"/>
            <w:vAlign w:val="bottom"/>
          </w:tcPr>
          <w:p>
            <w:pPr>
              <w:spacing w:after="0"/>
              <w:rPr>
                <w:sz w:val="20"/>
                <w:szCs w:val="20"/>
                <w:color w:val="auto"/>
              </w:rPr>
            </w:pPr>
            <w:r>
              <w:rPr>
                <w:rFonts w:ascii="Arial" w:cs="Arial" w:eastAsia="Arial" w:hAnsi="Arial"/>
                <w:sz w:val="18"/>
                <w:szCs w:val="18"/>
                <w:color w:val="auto"/>
              </w:rPr>
              <w:t>2028 and thereafter</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r>
      <w:tr>
        <w:trPr>
          <w:trHeight w:val="249"/>
        </w:trPr>
        <w:tc>
          <w:tcPr>
            <w:tcW w:w="9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272,131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Revenues allocated to remaining performance obligations represents the transaction price of noncancelable orders for which service has not been performed, which include deferred revenue and the amounts that will be invoiced and recognized as revenues in future periods from open contracts and excludes unexercised renewals. The Company applied the short-term contract exemption to exclude the remaining performance obligations that are part of a contract that has an original expected duration of one year or less.</w:t>
      </w:r>
    </w:p>
    <w:p>
      <w:pPr>
        <w:spacing w:after="0" w:line="187"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From time to time, the Company enters into contracts with customers that extend beyond one year, with certain of its customers electing to pay for more than one year of services upon contract execution. The Company concluded that these contracts did not contain a financing component.</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tcPr>
          <w:p>
            <w:pPr>
              <w:ind w:left="420"/>
              <w:spacing w:after="0"/>
              <w:rPr>
                <w:sz w:val="20"/>
                <w:szCs w:val="20"/>
                <w:color w:val="auto"/>
              </w:rPr>
            </w:pPr>
            <w:r>
              <w:rPr>
                <w:rFonts w:ascii="Arial" w:cs="Arial" w:eastAsia="Arial" w:hAnsi="Arial"/>
                <w:sz w:val="18"/>
                <w:szCs w:val="18"/>
                <w:color w:val="auto"/>
              </w:rPr>
              <w:t>Revenues by sales channel are as follows:</w:t>
            </w: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48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48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Direct</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285,382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243,389</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211,897</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Partner</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204,341</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167,783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151,066</w:t>
            </w:r>
          </w:p>
        </w:tc>
      </w:tr>
      <w:tr>
        <w:trPr>
          <w:trHeight w:val="20"/>
        </w:trPr>
        <w:tc>
          <w:tcPr>
            <w:tcW w:w="48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489,723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411,172</w:t>
            </w: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362,963</w:t>
            </w:r>
          </w:p>
        </w:tc>
      </w:tr>
      <w:tr>
        <w:trPr>
          <w:trHeight w:val="20"/>
        </w:trPr>
        <w:tc>
          <w:tcPr>
            <w:tcW w:w="48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utilizes partners to enable and accelerate the adoption of its cloud platform by increasing its distribution capabilities and market awareness of its cloud platform as well as by targeting geographic regions outside the reach of its direct sales force. The Company's channel partners maintain relationships with their customers throughout the territories in which they operate and provide their customers with services and third-party solutions to help meet those customers’ evolving security and compliance requirements. As such, these partners may offer the Company's IT security and compliance solutions in conjunction with one or more of their own products or services and act as a conduit through which the Company can connect with these prospective customers to offer its solutions. For sales involving a channel partner, the channel partner engages with the prospective customer directly and involves the Company's sales team as needed to assist in developing and closing an order. When a channel partner secures a sale, the Company sells the associated subscription to the channel partner who in turn resells the subscription to the customer. Sales to channel partners are made at a discount and revenues are recorded at this discounted price over the subscription terms. The Company does not have any influence or specific knowledge of its partners'</w:t>
      </w:r>
    </w:p>
    <w:p>
      <w:pPr>
        <w:sectPr>
          <w:pgSz w:w="11900" w:h="16838" w:orient="portrait"/>
          <w:cols w:equalWidth="0" w:num="1">
            <w:col w:w="11240"/>
          </w:cols>
          <w:pgMar w:left="320" w:top="125" w:right="339" w:bottom="0" w:gutter="0" w:footer="0" w:header="0"/>
        </w:sectPr>
      </w:pPr>
    </w:p>
    <w:bookmarkStart w:id="71" w:name="page72"/>
    <w:bookmarkEnd w:id="71"/>
    <w:p>
      <w:pPr>
        <w:jc w:val="both"/>
        <w:ind w:right="20"/>
        <w:spacing w:after="0" w:line="277" w:lineRule="auto"/>
        <w:rPr>
          <w:sz w:val="20"/>
          <w:szCs w:val="20"/>
          <w:color w:val="auto"/>
        </w:rPr>
      </w:pPr>
      <w:r>
        <w:rPr>
          <w:rFonts w:ascii="Arial" w:cs="Arial" w:eastAsia="Arial" w:hAnsi="Arial"/>
          <w:sz w:val="18"/>
          <w:szCs w:val="18"/>
          <w:color w:val="auto"/>
        </w:rPr>
        <w:t>selling terms with their customers. See Note 13, "Segment Information and Information about Geographic Area" for disaggregation of revenue by geographic area.</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Deferred costs to obtain contracts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(in thousands)</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Current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5,018</w:t>
            </w:r>
          </w:p>
        </w:tc>
        <w:tc>
          <w:tcPr>
            <w:tcW w:w="6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4,223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10,090</w:t>
            </w:r>
          </w:p>
        </w:tc>
        <w:tc>
          <w:tcPr>
            <w:tcW w:w="6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8,391</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years ended December 31, 2022, 2021 and 2020, the Company recognized $5.0 million, $4.0 million and $3.0 million, respectively, of amortization expense relating to deferred costs to obtain contracts in sales and marketing expense in the consolidated statements of operations. During the same periods, there was no impairment loss related to the deferred costs to obtain contracts.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On October 4, 2022, the Company acquired certain assets of Blue Hexagon Inc., a privately held company incorporated in Delaware, for $10 million in cash, of which $8.5 million was paid on the acquisition date and the remaining $1.5 million will be due eighteen months from the acquisition date, subject to potential adjustment from possible indemnity claims. In addition, the Company assumed $1.4 million deferred revenue. Blue Hexagon's AI/ML-driven network detection enables the Company to leverage its cloud platform with AI/machine learning to uncover behavior patterns including active vulnerability exploitation, identification of advanced network threats, and adaptive risk mitigation across all assets and application. We accounted for this transaction as an asset acquisition, as substantially all of the fair value is concentrated in developed technology acquired. The Company incurred $0.6 million transaction costs which is included as the cost of acquiring the intangible assets. The Company recognized intangible assets of $11.5 million for developed technology and $0.4 million for assembled workforce, which will be amortized over five years and two years, respectively.</w:t>
      </w:r>
    </w:p>
    <w:p>
      <w:pPr>
        <w:spacing w:after="0" w:line="16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On August 19, 2021, the Company acquired certain developed technology intangible assets of TotalCloud, a privately held company incorporated in India, for a total cash consideration of $1.2 million, of which $1.1 million was paid on the acquisition date and the remaining $0.1 million was deferred and paid in August 2022. TotalCloud's technology strengthens the Company's cloud security solution by allowing customers to build user-defined workflows for custom policies and execute them on-demand for simplified security and compliance. The acquired intangible assets will be amortized over five years.</w:t>
      </w:r>
    </w:p>
    <w:p>
      <w:pPr>
        <w:spacing w:after="0" w:line="15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July 24, 2020, the Company acquired certain intangible assets of Spell Security, a privately held company incorporated in India, for a total cash consideration of $1.5 million, of which $1.3 million was paid on the acquisition date and the remaining $0.2 million was deferred and paid in October 2021. Spell Security’s technology expands the Company's endpoint behavior detection, threat hunting, malware research and multi-layered response capabilities for its EDR application. The Company recognized intangible assets of $1.0 million for developed technology and $0.5 million for non-compete agreements, which will be amortized over four and two years, respectively.</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changes in the carrying amount of goodwill for the years ended December 31, 2022 and 2021.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Intangible Assets, Net</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Intangible assets consist primarily of developed technology and patent licenses acquired from business or asset acquisitions. Acquired intangibles are amortized on a straight-line basis over the respective estimated useful lives of the assets.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ind w:left="420"/>
              <w:spacing w:after="0"/>
              <w:rPr>
                <w:sz w:val="20"/>
                <w:szCs w:val="20"/>
                <w:color w:val="auto"/>
              </w:rPr>
            </w:pPr>
            <w:r>
              <w:rPr>
                <w:rFonts w:ascii="Arial" w:cs="Arial" w:eastAsia="Arial" w:hAnsi="Arial"/>
                <w:sz w:val="18"/>
                <w:szCs w:val="18"/>
                <w:color w:val="auto"/>
                <w:w w:val="93"/>
              </w:rPr>
              <w:t>The carrying values of intangible assets are as follows: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w w:val="90"/>
              </w:rPr>
              <w:t>December 31, 2022</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 Life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234"/>
        </w:trPr>
        <w:tc>
          <w:tcPr>
            <w:tcW w:w="4500" w:type="dxa"/>
            <w:vAlign w:val="bottom"/>
          </w:tcPr>
          <w:p>
            <w:pPr>
              <w:ind w:left="170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
        </w:trPr>
        <w:tc>
          <w:tcPr>
            <w:tcW w:w="4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40,141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(27,860)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12,281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Patent licenses</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14.0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(1,221)</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2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Assembled workforce</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2.0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intangibles subject to amortization</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42,387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(29,626)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12,761</w:t>
            </w:r>
          </w:p>
        </w:tc>
        <w:tc>
          <w:tcPr>
            <w:tcW w:w="0" w:type="dxa"/>
            <w:vAlign w:val="bottom"/>
          </w:tcPr>
          <w:p>
            <w:pPr>
              <w:spacing w:after="0"/>
              <w:rPr>
                <w:sz w:val="1"/>
                <w:szCs w:val="1"/>
                <w:color w:val="auto"/>
              </w:rPr>
            </w:pPr>
          </w:p>
        </w:tc>
      </w:tr>
      <w:tr>
        <w:trPr>
          <w:trHeight w:val="197"/>
        </w:trPr>
        <w:tc>
          <w:tcPr>
            <w:tcW w:w="45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2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360" w:type="dxa"/>
            <w:vAlign w:val="bottom"/>
            <w:tcBorders>
              <w:top w:val="single" w:sz="8" w:color="CCEEFF"/>
            </w:tcBorders>
          </w:tcPr>
          <w:p>
            <w:pPr>
              <w:spacing w:after="0"/>
              <w:rPr>
                <w:sz w:val="17"/>
                <w:szCs w:val="17"/>
                <w:color w:val="auto"/>
              </w:rPr>
            </w:pPr>
          </w:p>
        </w:tc>
        <w:tc>
          <w:tcPr>
            <w:tcW w:w="10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CCEEFF"/>
              <w:bottom w:val="single" w:sz="8" w:color="auto"/>
            </w:tcBorders>
          </w:tcPr>
          <w:p>
            <w:pPr>
              <w:spacing w:after="0"/>
              <w:rPr>
                <w:sz w:val="17"/>
                <w:szCs w:val="17"/>
                <w:color w:val="auto"/>
              </w:rPr>
            </w:pPr>
          </w:p>
        </w:tc>
        <w:tc>
          <w:tcPr>
            <w:tcW w:w="940" w:type="dxa"/>
            <w:vAlign w:val="bottom"/>
            <w:tcBorders>
              <w:top w:val="single" w:sz="8" w:color="CCEEFF"/>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2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12,801</w:t>
            </w:r>
          </w:p>
        </w:tc>
        <w:tc>
          <w:tcPr>
            <w:tcW w:w="0" w:type="dxa"/>
            <w:vAlign w:val="bottom"/>
          </w:tcPr>
          <w:p>
            <w:pPr>
              <w:spacing w:after="0"/>
              <w:rPr>
                <w:sz w:val="1"/>
                <w:szCs w:val="1"/>
                <w:color w:val="auto"/>
              </w:rPr>
            </w:pPr>
          </w:p>
        </w:tc>
      </w:tr>
      <w:tr>
        <w:trPr>
          <w:trHeight w:val="419"/>
        </w:trPr>
        <w:tc>
          <w:tcPr>
            <w:tcW w:w="450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112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8"/>
              </w:rPr>
              <w:t>Weighted</w:t>
            </w: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3"/>
              </w:rPr>
              <w:t>December 31, 2021</w:t>
            </w:r>
          </w:p>
        </w:tc>
        <w:tc>
          <w:tcPr>
            <w:tcW w:w="18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Average Life</w:t>
            </w: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Accumulated</w:t>
            </w:r>
          </w:p>
        </w:tc>
        <w:tc>
          <w:tcPr>
            <w:tcW w:w="18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234"/>
        </w:trPr>
        <w:tc>
          <w:tcPr>
            <w:tcW w:w="4500" w:type="dxa"/>
            <w:vAlign w:val="bottom"/>
          </w:tcPr>
          <w:p>
            <w:pPr>
              <w:ind w:left="1700"/>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(Years)</w:t>
            </w:r>
          </w:p>
        </w:tc>
        <w:tc>
          <w:tcPr>
            <w:tcW w:w="3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Life (Years)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Cost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
        </w:trPr>
        <w:tc>
          <w:tcPr>
            <w:tcW w:w="4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28,556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Patent licenses</w:t>
            </w:r>
          </w:p>
        </w:tc>
        <w:tc>
          <w:tcPr>
            <w:tcW w:w="1620" w:type="dxa"/>
            <w:vAlign w:val="bottom"/>
            <w:gridSpan w:val="3"/>
          </w:tcPr>
          <w:p>
            <w:pPr>
              <w:jc w:val="right"/>
              <w:ind w:right="360"/>
              <w:spacing w:after="0"/>
              <w:rPr>
                <w:sz w:val="20"/>
                <w:szCs w:val="20"/>
                <w:color w:val="auto"/>
              </w:rPr>
            </w:pPr>
            <w:r>
              <w:rPr>
                <w:rFonts w:ascii="Arial" w:cs="Arial" w:eastAsia="Arial" w:hAnsi="Arial"/>
                <w:sz w:val="18"/>
                <w:szCs w:val="18"/>
                <w:color w:val="auto"/>
              </w:rPr>
              <w:t>14.0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1,387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6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4500" w:type="dxa"/>
            <w:vAlign w:val="bottom"/>
          </w:tcPr>
          <w:p>
            <w:pPr>
              <w:ind w:left="180"/>
              <w:spacing w:after="0"/>
              <w:rPr>
                <w:sz w:val="20"/>
                <w:szCs w:val="20"/>
                <w:color w:val="auto"/>
              </w:rPr>
            </w:pPr>
            <w:r>
              <w:rPr>
                <w:rFonts w:ascii="Arial" w:cs="Arial" w:eastAsia="Arial" w:hAnsi="Arial"/>
                <w:sz w:val="18"/>
                <w:szCs w:val="18"/>
                <w:color w:val="auto"/>
              </w:rPr>
              <w:t>Total intangibles subject to amortization</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30,443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(23,938)</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Intangible assets not subject to amortization</w:t>
            </w: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00" w:type="dxa"/>
            <w:vAlign w:val="bottom"/>
          </w:tcPr>
          <w:p>
            <w:pPr>
              <w:ind w:left="180"/>
              <w:spacing w:after="0"/>
              <w:rPr>
                <w:sz w:val="20"/>
                <w:szCs w:val="20"/>
                <w:color w:val="auto"/>
              </w:rPr>
            </w:pPr>
            <w:r>
              <w:rPr>
                <w:rFonts w:ascii="Arial" w:cs="Arial" w:eastAsia="Arial" w:hAnsi="Arial"/>
                <w:sz w:val="18"/>
                <w:szCs w:val="18"/>
                <w:color w:val="auto"/>
              </w:rPr>
              <w:t>Total intangible assets, net</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Intangible assets amortization expenses were $5.7 million, $6.7 million and $6.3 million for the years ended December 31, 2022, 2021 and 2020, respectively, which were recorded in the consolidated statements of operations.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2022, the Company expects amortization expense in future periods to be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2024</w:t>
            </w:r>
          </w:p>
        </w:tc>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2026</w:t>
            </w:r>
          </w:p>
        </w:tc>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5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color w:val="auto"/>
              </w:rPr>
              <w:t>Total expected future amortization expense</w:t>
            </w:r>
          </w:p>
        </w:tc>
        <w:tc>
          <w:tcPr>
            <w:tcW w:w="53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5360" w:type="dxa"/>
            <w:vAlign w:val="bottom"/>
            <w:vMerge w:val="restart"/>
          </w:tcPr>
          <w:p>
            <w:pPr>
              <w:jc w:val="right"/>
              <w:ind w:right="3870"/>
              <w:spacing w:after="0"/>
              <w:rPr>
                <w:sz w:val="20"/>
                <w:szCs w:val="20"/>
                <w:color w:val="auto"/>
              </w:rPr>
            </w:pPr>
            <w:r>
              <w:rPr>
                <w:rFonts w:ascii="Arial" w:cs="Arial" w:eastAsia="Arial" w:hAnsi="Arial"/>
                <w:sz w:val="18"/>
                <w:szCs w:val="18"/>
                <w:color w:val="auto"/>
              </w:rPr>
              <w:t>69</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20" w:type="dxa"/>
            <w:vAlign w:val="bottom"/>
          </w:tcPr>
          <w:p>
            <w:pPr>
              <w:spacing w:after="0"/>
              <w:rPr>
                <w:sz w:val="24"/>
                <w:szCs w:val="24"/>
                <w:color w:val="auto"/>
              </w:rPr>
            </w:pPr>
          </w:p>
        </w:tc>
        <w:tc>
          <w:tcPr>
            <w:tcW w:w="5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auto"/>
            </w:tcBorders>
          </w:tcPr>
          <w:p>
            <w:pPr>
              <w:spacing w:after="0"/>
              <w:rPr>
                <w:sz w:val="10"/>
                <w:szCs w:val="10"/>
                <w:color w:val="auto"/>
              </w:rPr>
            </w:pPr>
          </w:p>
        </w:tc>
        <w:tc>
          <w:tcPr>
            <w:tcW w:w="53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leases certain offices, computer equipment and its shared cloud platform facilities under non-cancelable operating leases for varying periods through 2028. While under the Company's lease agreements the Company has options to extend its certain leases, the Company has not included renewal options in determining the lease terms for calculating its lease liabilities, as these options are not reasonably certain of being exercised. Lease expense was $14.9 million, $16.8 million and $16.7 million for the years ended December 31, 2022, 2021 and 2020, respectively.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ind w:left="420"/>
              <w:spacing w:after="0"/>
              <w:rPr>
                <w:sz w:val="20"/>
                <w:szCs w:val="20"/>
                <w:color w:val="auto"/>
              </w:rPr>
            </w:pPr>
            <w:r>
              <w:rPr>
                <w:rFonts w:ascii="Arial" w:cs="Arial" w:eastAsia="Arial" w:hAnsi="Arial"/>
                <w:sz w:val="18"/>
                <w:szCs w:val="18"/>
                <w:color w:val="auto"/>
                <w:w w:val="92"/>
              </w:rPr>
              <w:t>Supplemental cash flow information related to operating leases was as follows: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payments included in the measurement of lease liabilities</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15,751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14,646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13,403</w:t>
            </w:r>
          </w:p>
        </w:tc>
      </w:t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Lease liabilities arising from obtaining right-of-use assets</w:t>
            </w:r>
          </w:p>
        </w:tc>
        <w:tc>
          <w:tcPr>
            <w:tcW w:w="104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8,669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4,110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15,837</w:t>
            </w: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weighted average remaining lease term and the weighted average discount rate of the Company's operating leases were as follows:</w:t>
      </w:r>
    </w:p>
    <w:p>
      <w:pPr>
        <w:spacing w:after="0" w:line="233"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(years)</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Weighted average discount rate</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3"/>
          </w:tcPr>
          <w:p>
            <w:pPr>
              <w:ind w:left="1020"/>
              <w:spacing w:after="0"/>
              <w:rPr>
                <w:sz w:val="20"/>
                <w:szCs w:val="20"/>
                <w:color w:val="auto"/>
              </w:rPr>
            </w:pPr>
            <w:r>
              <w:rPr>
                <w:rFonts w:ascii="Arial" w:cs="Arial" w:eastAsia="Arial" w:hAnsi="Arial"/>
                <w:sz w:val="18"/>
                <w:szCs w:val="18"/>
                <w:color w:val="auto"/>
                <w:w w:val="87"/>
              </w:rPr>
              <w:t>4.8%</w:t>
            </w:r>
          </w:p>
        </w:tc>
      </w:tr>
      <w:tr>
        <w:trPr>
          <w:trHeight w:val="418"/>
        </w:trPr>
        <w:tc>
          <w:tcPr>
            <w:tcW w:w="8980" w:type="dxa"/>
            <w:vAlign w:val="bottom"/>
            <w:gridSpan w:val="2"/>
          </w:tcPr>
          <w:p>
            <w:pPr>
              <w:ind w:left="420"/>
              <w:spacing w:after="0"/>
              <w:rPr>
                <w:sz w:val="20"/>
                <w:szCs w:val="20"/>
                <w:color w:val="auto"/>
              </w:rPr>
            </w:pPr>
            <w:r>
              <w:rPr>
                <w:rFonts w:ascii="Arial" w:cs="Arial" w:eastAsia="Arial" w:hAnsi="Arial"/>
                <w:sz w:val="18"/>
                <w:szCs w:val="18"/>
                <w:color w:val="auto"/>
              </w:rPr>
              <w:t>Maturities of the Company's operating lease liabilities as of December 31, 2022 are as follows:</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14,940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2024</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13,460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7,715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2026</w:t>
            </w:r>
          </w:p>
        </w:tc>
        <w:tc>
          <w:tcPr>
            <w:tcW w:w="10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4,498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10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4,353</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2028 and thereafter</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Pr>
          <w:p>
            <w:pPr>
              <w:spacing w:after="0"/>
              <w:rPr>
                <w:sz w:val="18"/>
                <w:szCs w:val="18"/>
                <w:color w:val="auto"/>
              </w:rPr>
            </w:pPr>
          </w:p>
        </w:tc>
      </w:tr>
      <w:tr>
        <w:trPr>
          <w:trHeight w:val="210"/>
        </w:trPr>
        <w:tc>
          <w:tcPr>
            <w:tcW w:w="8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46,431</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Less: interest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(4,250)</w:t>
            </w:r>
          </w:p>
        </w:tc>
      </w:tr>
      <w:tr>
        <w:trPr>
          <w:trHeight w:val="210"/>
        </w:trPr>
        <w:tc>
          <w:tcPr>
            <w:tcW w:w="89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Present value of net minimum lease payments</w:t>
            </w:r>
          </w:p>
        </w:tc>
        <w:tc>
          <w:tcPr>
            <w:tcW w:w="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42,181</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Less: lease liabilities, current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3"/>
          </w:tcPr>
          <w:p>
            <w:pPr>
              <w:jc w:val="right"/>
              <w:ind w:right="40"/>
              <w:spacing w:after="0"/>
              <w:rPr>
                <w:sz w:val="20"/>
                <w:szCs w:val="20"/>
                <w:color w:val="auto"/>
              </w:rPr>
            </w:pPr>
            <w:r>
              <w:rPr>
                <w:rFonts w:ascii="Arial" w:cs="Arial" w:eastAsia="Arial" w:hAnsi="Arial"/>
                <w:sz w:val="18"/>
                <w:szCs w:val="18"/>
                <w:color w:val="auto"/>
              </w:rPr>
              <w:t>(13,060)</w:t>
            </w:r>
          </w:p>
        </w:tc>
      </w:tr>
      <w:tr>
        <w:trPr>
          <w:trHeight w:val="250"/>
        </w:trPr>
        <w:tc>
          <w:tcPr>
            <w:tcW w:w="89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Lease liabilities, noncurrent</w:t>
            </w:r>
          </w:p>
        </w:tc>
        <w:tc>
          <w:tcPr>
            <w:tcW w:w="700" w:type="dxa"/>
            <w:vAlign w:val="bottom"/>
            <w:tcBorders>
              <w:bottom w:val="single" w:sz="8" w:color="CCEEFF"/>
            </w:tcBorders>
            <w:gridSpan w:val="3"/>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29,121</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413"/>
        </w:trPr>
        <w:tc>
          <w:tcPr>
            <w:tcW w:w="7920" w:type="dxa"/>
            <w:vAlign w:val="bottom"/>
          </w:tcPr>
          <w:p>
            <w:pPr>
              <w:ind w:left="5540"/>
              <w:spacing w:after="0"/>
              <w:rPr>
                <w:sz w:val="20"/>
                <w:szCs w:val="20"/>
                <w:color w:val="auto"/>
              </w:rPr>
            </w:pPr>
            <w:r>
              <w:rPr>
                <w:rFonts w:ascii="Arial" w:cs="Arial" w:eastAsia="Arial" w:hAnsi="Arial"/>
                <w:sz w:val="18"/>
                <w:szCs w:val="18"/>
                <w:color w:val="auto"/>
              </w:rPr>
              <w:t>70</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color w:val="auto"/>
        </w:rPr>
        <w:t>Commitment and Contingencies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Purchase Obligation</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has entered into agreements to purchase goods and services in the ordinary course of business. As of December 31, 2022, these remaining purchase commitments for future periods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(in thousands)</w:t>
            </w:r>
          </w:p>
        </w:tc>
      </w:tr>
      <w:tr>
        <w:trPr>
          <w:trHeight w:val="216"/>
        </w:trPr>
        <w:tc>
          <w:tcPr>
            <w:tcW w:w="9680" w:type="dxa"/>
            <w:vAlign w:val="bottom"/>
            <w:shd w:val="clear" w:color="auto" w:fill="CCEEFF"/>
          </w:tcPr>
          <w:p>
            <w:pPr>
              <w:jc w:val="right"/>
              <w:ind w:right="9230"/>
              <w:spacing w:after="0"/>
              <w:rPr>
                <w:sz w:val="20"/>
                <w:szCs w:val="20"/>
                <w:color w:val="auto"/>
              </w:rPr>
            </w:pPr>
            <w:r>
              <w:rPr>
                <w:rFonts w:ascii="Arial" w:cs="Arial" w:eastAsia="Arial" w:hAnsi="Arial"/>
                <w:sz w:val="18"/>
                <w:szCs w:val="18"/>
                <w:color w:val="auto"/>
                <w:w w:val="84"/>
              </w:rPr>
              <w:t>2023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12,862</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jc w:val="right"/>
              <w:ind w:right="9230"/>
              <w:spacing w:after="0"/>
              <w:rPr>
                <w:sz w:val="20"/>
                <w:szCs w:val="20"/>
                <w:color w:val="auto"/>
              </w:rPr>
            </w:pPr>
            <w:r>
              <w:rPr>
                <w:rFonts w:ascii="Arial" w:cs="Arial" w:eastAsia="Arial" w:hAnsi="Arial"/>
                <w:sz w:val="18"/>
                <w:szCs w:val="18"/>
                <w:color w:val="auto"/>
                <w:w w:val="84"/>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13,261</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jc w:val="right"/>
              <w:ind w:right="9230"/>
              <w:spacing w:after="0"/>
              <w:rPr>
                <w:sz w:val="20"/>
                <w:szCs w:val="20"/>
                <w:color w:val="auto"/>
              </w:rPr>
            </w:pPr>
            <w:r>
              <w:rPr>
                <w:rFonts w:ascii="Arial" w:cs="Arial" w:eastAsia="Arial" w:hAnsi="Arial"/>
                <w:sz w:val="18"/>
                <w:szCs w:val="18"/>
                <w:color w:val="auto"/>
                <w:w w:val="84"/>
              </w:rPr>
              <w:t>2025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12,597</w:t>
            </w:r>
          </w:p>
        </w:tc>
        <w:tc>
          <w:tcPr>
            <w:tcW w:w="80" w:type="dxa"/>
            <w:vAlign w:val="bottom"/>
            <w:shd w:val="clear" w:color="auto" w:fill="CCEEFF"/>
          </w:tcPr>
          <w:p>
            <w:pPr>
              <w:spacing w:after="0"/>
              <w:rPr>
                <w:sz w:val="18"/>
                <w:szCs w:val="18"/>
                <w:color w:val="auto"/>
              </w:rPr>
            </w:pPr>
          </w:p>
        </w:tc>
      </w:tr>
      <w:tr>
        <w:trPr>
          <w:trHeight w:val="216"/>
        </w:trPr>
        <w:tc>
          <w:tcPr>
            <w:tcW w:w="9680" w:type="dxa"/>
            <w:vAlign w:val="bottom"/>
          </w:tcPr>
          <w:p>
            <w:pPr>
              <w:jc w:val="right"/>
              <w:ind w:right="9230"/>
              <w:spacing w:after="0"/>
              <w:rPr>
                <w:sz w:val="20"/>
                <w:szCs w:val="20"/>
                <w:color w:val="auto"/>
              </w:rPr>
            </w:pPr>
            <w:r>
              <w:rPr>
                <w:rFonts w:ascii="Arial" w:cs="Arial" w:eastAsia="Arial" w:hAnsi="Arial"/>
                <w:sz w:val="18"/>
                <w:szCs w:val="18"/>
                <w:color w:val="auto"/>
                <w:w w:val="84"/>
              </w:rPr>
              <w:t>2026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11,591</w:t>
            </w:r>
          </w:p>
        </w:tc>
        <w:tc>
          <w:tcPr>
            <w:tcW w:w="80" w:type="dxa"/>
            <w:vAlign w:val="bottom"/>
          </w:tcPr>
          <w:p>
            <w:pPr>
              <w:spacing w:after="0"/>
              <w:rPr>
                <w:sz w:val="18"/>
                <w:szCs w:val="18"/>
                <w:color w:val="auto"/>
              </w:rPr>
            </w:pPr>
          </w:p>
        </w:tc>
      </w:tr>
      <w:tr>
        <w:trPr>
          <w:trHeight w:val="216"/>
        </w:trPr>
        <w:tc>
          <w:tcPr>
            <w:tcW w:w="9680" w:type="dxa"/>
            <w:vAlign w:val="bottom"/>
            <w:shd w:val="clear" w:color="auto" w:fill="CCEEFF"/>
          </w:tcPr>
          <w:p>
            <w:pPr>
              <w:jc w:val="right"/>
              <w:ind w:right="9230"/>
              <w:spacing w:after="0"/>
              <w:rPr>
                <w:sz w:val="20"/>
                <w:szCs w:val="20"/>
                <w:color w:val="auto"/>
              </w:rPr>
            </w:pPr>
            <w:r>
              <w:rPr>
                <w:rFonts w:ascii="Arial" w:cs="Arial" w:eastAsia="Arial" w:hAnsi="Arial"/>
                <w:sz w:val="18"/>
                <w:szCs w:val="18"/>
                <w:color w:val="auto"/>
                <w:w w:val="84"/>
              </w:rPr>
              <w:t>2027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14,091</w:t>
            </w:r>
          </w:p>
        </w:tc>
        <w:tc>
          <w:tcPr>
            <w:tcW w:w="80" w:type="dxa"/>
            <w:vAlign w:val="bottom"/>
            <w:shd w:val="clear" w:color="auto" w:fill="CCEEFF"/>
          </w:tcPr>
          <w:p>
            <w:pPr>
              <w:spacing w:after="0"/>
              <w:rPr>
                <w:sz w:val="18"/>
                <w:szCs w:val="18"/>
                <w:color w:val="auto"/>
              </w:rPr>
            </w:pPr>
          </w:p>
        </w:tc>
      </w:tr>
      <w:tr>
        <w:trPr>
          <w:trHeight w:val="209"/>
        </w:trPr>
        <w:tc>
          <w:tcPr>
            <w:tcW w:w="9680" w:type="dxa"/>
            <w:vAlign w:val="bottom"/>
          </w:tcPr>
          <w:p>
            <w:pPr>
              <w:jc w:val="right"/>
              <w:ind w:right="7350"/>
              <w:spacing w:after="0"/>
              <w:rPr>
                <w:sz w:val="20"/>
                <w:szCs w:val="20"/>
                <w:color w:val="auto"/>
              </w:rPr>
            </w:pPr>
            <w:r>
              <w:rPr>
                <w:rFonts w:ascii="Arial" w:cs="Arial" w:eastAsia="Arial" w:hAnsi="Arial"/>
                <w:sz w:val="18"/>
                <w:szCs w:val="18"/>
                <w:color w:val="auto"/>
                <w:w w:val="96"/>
              </w:rPr>
              <w:t>Total purchase commitments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64,402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Company maintains director and officer insurance, which may cover certain liabilities arising from its obligation to indemnify its directors.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From time to time the Company may become involved in legal proceedings or be subject to claims arising in the ordinary course of our business. The Company records a provision for a liability when it is both probable that a liability has been incurred and the amount can be reasonably estimated. Legal expenses related to such matters are expensed as incurred. The Company provides disclosure if it is reasonably possible that a loss has been incurred and a range of loss or possible loss can be reasonably estimated. Significant judgment is required to determine both probability and the estimated amount. The Company reviews these provisions at least quarterly and adjust these provisions to reflect the impact of negotiations, settlements, rulings, advice of legal counsel, and updated information.</w:t>
      </w:r>
    </w:p>
    <w:p>
      <w:pPr>
        <w:spacing w:after="0" w:line="19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As of December 31, 2022, the Company had accruals of $1.5 million in accrued liabilities for a matter, we believe, that has losses that are probable and can be reasonably estimated. However,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which could have a material impact on its results of operations, financial position and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color w:val="auto"/>
        </w:rPr>
        <w:t>Stockholders' Equity and Stock-based Compensation</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Effective October 3, 2012, the Company is authorized to issue 20.0 million shares of undesignated preferred stock with a par value of $0.001 per share. Each series of preferred stock will have such rights and preferences including dividend rights, dividend rate, conversion rights, voting rights, rights and terms of redemption (including sinking fund provisions), redemption price, and liquidation preferences as determined by the board of directors. As of December 31, 2022, and 2021, there were no issued or outstanding shares of preferred stock.</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2000 Equity Incentive Plan</w:t>
      </w:r>
    </w:p>
    <w:p>
      <w:pPr>
        <w:spacing w:after="0" w:line="225"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Under the 2000 Equity Incentive Plan (“2000 Plan”), the Company was authorized to grant to eligible participants either incentive stock options (“ISOs”) or non-statutory stock options (“NSOs”). The ISOs were granted at a price per share not less than the fair market value at the date of grant. The NSOs were granted at a price per share not less than 85% of the fair market value at the date of grant. Options granted generally vest over a period of up to four years, with a maximum term of ten years. The 2000 Plan was terminated in connection with the closing of the Company's initial public offering, and accordingly, no shares are currently available for grant under the 2000 Plan. The 2000 Plan continues to govern outstanding awards granted thereunder.</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2012 Equity Incentive Plan</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2012 Equity Incentive Plan (“Previous 2012 Plan”) was adopted and approved in September 2012 and became effective on September 26, 2012. Under the Previous 2012 Plan, the Company is authorized to grant to eligible participant’s ISOs, NSOs, stock appreciation rights (“SARs”), restricted stock awards (“RSAs”), RSUs, performance units and performance shares. The number of shares of common stock available for issuance under the Previous 2012 Plan is subject to an annual increase on January 1 of each year by an amount equal to the least of 3,050 thousand shares, 5% of the outstanding shares of stock as of the last day of the immediately preceding fiscal year or an amount determined by the board of directors. For the year ended December 31, 2022, 1,956 thousand shares were added to the Previous 2012 Plan.</w:t>
      </w:r>
    </w:p>
    <w:p>
      <w:pPr>
        <w:spacing w:after="0" w:line="178" w:lineRule="exact"/>
        <w:rPr>
          <w:sz w:val="20"/>
          <w:szCs w:val="20"/>
          <w:color w:val="auto"/>
        </w:rPr>
      </w:pPr>
    </w:p>
    <w:p>
      <w:pPr>
        <w:jc w:val="both"/>
        <w:ind w:firstLine="405"/>
        <w:spacing w:after="0" w:line="268" w:lineRule="auto"/>
        <w:rPr>
          <w:sz w:val="20"/>
          <w:szCs w:val="20"/>
          <w:color w:val="auto"/>
        </w:rPr>
      </w:pPr>
      <w:r>
        <w:rPr>
          <w:rFonts w:ascii="Arial" w:cs="Arial" w:eastAsia="Arial" w:hAnsi="Arial"/>
          <w:sz w:val="17"/>
          <w:szCs w:val="17"/>
          <w:color w:val="auto"/>
        </w:rPr>
        <w:t xml:space="preserve">On June 8, 2022 </w:t>
      </w:r>
      <w:r>
        <w:rPr>
          <w:rFonts w:ascii="Arial" w:cs="Arial" w:eastAsia="Arial" w:hAnsi="Arial"/>
          <w:sz w:val="17"/>
          <w:szCs w:val="17"/>
          <w:i w:val="1"/>
          <w:iCs w:val="1"/>
          <w:color w:val="auto"/>
        </w:rPr>
        <w:t>(</w:t>
      </w:r>
      <w:r>
        <w:rPr>
          <w:rFonts w:ascii="Arial" w:cs="Arial" w:eastAsia="Arial" w:hAnsi="Arial"/>
          <w:sz w:val="17"/>
          <w:szCs w:val="17"/>
          <w:color w:val="auto"/>
        </w:rPr>
        <w:t>"Effective Date"), the Company's stockholders approved the Amended and Restated 2012 Equity Incentive Plan (the "Restated 2012 Plan"). Under the Restated 2012 Plan, the Company is authorized to grant to eligible participants incentive stock options (“ISOs”), nonstatutory stock options (“NSOs”), restricted stock, restricted stock units ("RSUs"), stock appreciation rights ("SARs"), performance units and performance shares. Pursuant to the relevant plan provisions, 3,072 thousand shares were available for grant under the Restated 2012 Plan on the Effective Date. In addition, any outstanding awards or options granted under the Previous 2012 Equity Incentive Plan will be added back to the shares available for grant under the Restated 2012 Plan if they expire unexercised or are otherwise forfeited after the Effective Date. Any remaining shares of 9,689 thousand available for grant under the Previous 2012 Plan as of the Effective Date were no longer available for future grants under the Restated 2012 Plan. As of December 31, 2022, 2,351 thousand shares are available for future grants. Options may be granted with an exercise price that is at least equal to the fair market value of the Company's stock at the date of grant and are exercisable when vested. Options and RSU's granted generally vest over a period of up to four years. ISOs may only be granted to employees and any subsidiary corporations' employees. All other awards may be granted to employees, directors and consultants and subsidiary corporations' employees and consultants. Options, SARs, RSUs, performance units and performance awards may be granted with vesting terms as determined by the board of directors and expire no more than ten years after the date of grant or earlier if employment or service is terminated.</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2021 Employee Stock Purchase Plan</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June 9, 2021, the Company’s stockholders approved the 2021 ESPP. A total of 600 thousand shares were authorized for issuance to eligible participating employees upon adoption of the ESPP. The ESPP provides for consecutive 6-month offering periods beginning on or about August 16 and February 16 of each year. Eligible employees who elect to participate can contribute from 1% to 15% of their eligible compensation through payroll withholding. During any offering period, contribution rates cannot be changed. However, eligible employees may withdraw from the current offering period. Any contributions made prior to each purchase date in the case of withdrawal or termination of employment will be refunded. On each purchase date, eligible participating employees will purchase the shares at a price per share equal to 85% of the lesser of (i) the fair market value of the Company's stock on the first trading day of the offering period or (ii) the fair market value of the Company's stock on the purchase date (i.e., the last trading day of the offering period). As of December 31, 2022, 555 thousand shares are available for future purchase.</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following table shows a summary of the stock-based compensation expenses included in the consolidated statements of operations for the years ended December 31, 2022, 2021 and 2020:</w:t>
      </w:r>
    </w:p>
    <w:p>
      <w:pPr>
        <w:sectPr>
          <w:pgSz w:w="11900" w:h="16838" w:orient="portrait"/>
          <w:cols w:equalWidth="0" w:num="1">
            <w:col w:w="11240"/>
          </w:cols>
          <w:pgMar w:left="320" w:top="125"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r>
      <w:tr>
        <w:trPr>
          <w:trHeight w:val="195"/>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130"/>
              <w:spacing w:after="0" w:line="195" w:lineRule="exact"/>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320" w:type="dxa"/>
            <w:vAlign w:val="bottom"/>
            <w:gridSpan w:val="2"/>
          </w:tcPr>
          <w:p>
            <w:pPr>
              <w:jc w:val="right"/>
              <w:ind w:right="189"/>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5,305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3,782</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2,767</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14,585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10,750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13,502</w:t>
            </w:r>
          </w:p>
        </w:tc>
      </w:tr>
      <w:tr>
        <w:trPr>
          <w:trHeight w:val="216"/>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9,837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5,785</w:t>
            </w:r>
          </w:p>
        </w:tc>
      </w:tr>
      <w:tr>
        <w:trPr>
          <w:trHeight w:val="230"/>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23,681</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46,724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17,981</w:t>
            </w:r>
          </w:p>
        </w:tc>
      </w:tr>
      <w:tr>
        <w:trPr>
          <w:trHeight w:val="209"/>
        </w:trPr>
        <w:tc>
          <w:tcPr>
            <w:tcW w:w="20" w:type="dxa"/>
            <w:vAlign w:val="bottom"/>
            <w:tcBorders>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-162560</wp:posOffset>
            </wp:positionV>
            <wp:extent cx="7132320" cy="1631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0" w:space="720"/>
            <w:col w:w="4920"/>
          </w:cols>
          <w:pgMar w:left="320" w:top="125" w:right="339" w:bottom="0" w:gutter="0" w:footer="0" w:header="0"/>
          <w:type w:val="continuous"/>
        </w:sectPr>
      </w:pPr>
    </w:p>
    <w:p>
      <w:pPr>
        <w:spacing w:after="0" w:line="2"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 income tax benefit related to the stock-based compensation expenses was $8.3 million, $6.2 million and $5.3 million for the years ended December 31, 2022, 2021 and 2020, respectively. As of December 31, 2022, the Company had unrecognized stock-based compensation expenses of</w:t>
      </w:r>
    </w:p>
    <w:p>
      <w:pPr>
        <w:sectPr>
          <w:pgSz w:w="11900" w:h="16838" w:orient="portrait"/>
          <w:cols w:equalWidth="0" w:num="1">
            <w:col w:w="11240"/>
          </w:cols>
          <w:pgMar w:left="320" w:top="125" w:right="339" w:bottom="0" w:gutter="0" w:footer="0" w:header="0"/>
          <w:type w:val="continuous"/>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$24.5 million, $92.2 million and $0.3 million related to options, RSUs and ESPP, respectively, which are expected to be recognized over weighted-average periods of 2.9 years, 2.8 years and 0.1 years,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Performance-Based Stock Options and Restricted Stock Units</w:t>
      </w:r>
    </w:p>
    <w:p>
      <w:pPr>
        <w:spacing w:after="0" w:line="225"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December 21, 2018, the Compensation and Talent committee of the Company's board of directors (“Compensation Committee”) granted the equity award for 2019 to the Company’s former chief executive officer, Philippe Courtot (“Mr. Courtot”). The first portion of the award consisted of 56 thousand RSUs that were scheduled to vest in 16 quarterly increments beginning on January 1, 2019. The second portion of the award consisted of a target number of 33 thousand PSUs, which were scheduled to vest at the end of the three-year performance period from January 2019 through December 2021. The actual number of PSUs eligible to vest ranged from 0% to 200% of the target number, depending on the level of achievement of goals related to revenue growth during the three-year performance period from January 2019 through December 2021 and Adjusted EBITDA margin for the fiscal year of 2021. The third portion of the award consisted of a target number of 33 thousand PSUs, one third of which (11 thousand target PSUs) was scheduled to vest at the end of each fiscal year of 2019, 2020 and 2021. The actual number of PSUs eligible to vest at each vesting date ranged from 0% to 200% of the target number, depending on the level of achievement of goals related to revenue growth and Adjusted EBITDA margin for each of those years.</w:t>
      </w:r>
    </w:p>
    <w:p>
      <w:pPr>
        <w:spacing w:after="0" w:line="16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November 2, 2019, the Compensation Committee granted the equity award for 2020 to Mr. Courtot. The first portion of the award consisted of 49 thousand RSUs that were scheduled to vest in 16 quarterly installments beginning on December 1, 2019. The second portion of the award consisted of a target number of 124 thousand PSOs, which were scheduled to vest at the end of the three-year performance period from January 2020 through December 2022. The actual number of PSOs eligible to vest ranged from 0% to 200% of the target number, depending on the level of achievement of goals related to revenue growth and free cash flow per share growth during the performance period.</w:t>
      </w:r>
    </w:p>
    <w:p>
      <w:pPr>
        <w:spacing w:after="0" w:line="17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On December 10, 2020, the Compensation Committee granted the equity award for 2021 to Mr. Courtot. The first portion of the award consisted of 69 thousand RSUs that were scheduled to vest in 16 quarterly installments beginning on November 1, 2020. The second portion of the award consisted of a target number of 224 thousand PSOs, which were scheduled to vest at the end of the three-year performance period from January 2021 through December 2023. The actual number of PSOs eligible to vest ranged from 0% to 200% of the target number, depending on the level of achievement of goals related to revenue growth and free cash flow per share growth during the performance period.</w:t>
      </w:r>
    </w:p>
    <w:p>
      <w:pPr>
        <w:spacing w:after="0" w:line="17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vesting of the above awards was conditioned on Mr. Courtot’s continued service through the vesting dates or, for PSOs and PSUs, the dates that performance is certified in addition to the achievement of performance goals. If Mr. Courtot’s employment was terminated (a) by reason of death or disability or (b) by the Company for reasons other than cause or good reason within 12 months following a change in control, then 100% of any unvested portions of these awards would vest, with any vesting in connection with change in control terminations conditioned upon the effectiveness of a release of claims in favor of the Company.</w:t>
      </w:r>
    </w:p>
    <w:p>
      <w:pPr>
        <w:spacing w:after="0" w:line="18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February 2021 and 2020, 22 thousand shares (representing 200% of target number of awards) and 15 thousand shares (representing 135% of target number of awards) under the equity award for 2019 for Mr. Courtot, vested as a result of the Company achieving the corresponding level of performance goals for 2020 and 2019, respectively.</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March 19, 2021, Mr. Courtot resigned from the Company due to health issues. The Compensation Committee determined that Mr. Courtot’s termination of employment was on account of disability. In accordance with the grant agreements of the equity awards for 2021, 2020 and 2019 for Mr. Courtot, all remaining outstanding RSUs, PSUs and PSOs under these grants were subject to accelerated vesting and became fully vested at 100% of the target number of awards as of the date of his termination of employment, which consist of 127 thousand RSUs, 44 thousand PSUs and 348 thousand PSOs. As a result, the Company recognized an additional $27.3 million of stock-based compensation expense due to the accelerated vesting in the consolidated statements of operations for the year ended December 31, 2021.</w:t>
      </w:r>
    </w:p>
    <w:p>
      <w:pPr>
        <w:spacing w:after="0" w:line="192"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April 27, 2021, the Compensation Committee granted to the Company’s current president and chief executive officer an equity award consisting of certain RSUs and a target number of 10 thousand PSUs. The PSUs are scheduled to vest at the end of the three-year performance period from January 2021 through December 2023. The actual number of the PSUs eligible to vest range from 0% to 200% of the target number, depending on the level of achievement of goals related to revenue growth and free cash flow per share growth during the performance period. If the Company's current president and chief executive officer is terminated (a) by reason of death or disability or (b) by the Company for reasons other than cause or good reason within 12 months following a change in control, then 100% of any unvested portions of the award will vest, with any vesting in connection with terminations due to change in control conditioned upon the effectiveness of a release of claims in favor of the Company.</w:t>
      </w:r>
    </w:p>
    <w:p>
      <w:pPr>
        <w:spacing w:after="0" w:line="177"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October 28, 2021, the Compensation Committee approved to certain executive officers of the Company equity awards consisting of certain RSUs and an aggregate target number of 73 thousand PSUs. The target PSUs are scheduled to vest in three equal annual installments over a three-year period from January 2022 through December 2024. Each annual installments at 200% of the annual target will be considered granted when the performance targets for the corresponding performance year are determined and approved. The actual number of the PSUs eligible to vest each year range from 0% to 200% of the annual target number, depending on the level of achievement of goals related to revenue growth and adjusted EBITDA margin corresponding to that year. The vesting and release of the first and second installment is capped at 100% of the target number at the end of the first and second year, respectively, with cumulative achievement over 100%, if any, to be vested and released at the end of the third year, together with the vesting of the third installment. If any of the executive officers is terminated (a) by reason of death or disability or (b) by the Company for reasons other than cause or good reason within 12 months following a change in control, any unvested PSUs eligible to vest pursuant to cumulative achievements over 100% for past installments along with any target number of unvested PSUs for any remaining installments will vest immediately.</w:t>
      </w:r>
    </w:p>
    <w:p>
      <w:pPr>
        <w:spacing w:after="0" w:line="168"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On October 27, 2022, the Compensation Committee approved to certain executive officers of the Company equity awards consisting of certain RSUs and an aggregate target number of 86 thousand PSUs. The target PSUs are scheduled to vest in three equal annual installments over a three-year period from January 2023 through December 2025. Each annual installments at 200% of the annual target will be considered granted when the performance targets for the corresponding performance year is determined and approved. The actual number of the PSUs eligible to vest each year range from 0% to 200% of the annual target number, depending on the level of achievement of goals related to revenue growth and adjusted EBITDA margin corresponding to that year. The vesting and release of the first and second installment is capped at 100% of the target number at the end of the first and second year, respectively, with cumulative achievement over 100%, if any, to be vested and released at the end of the third year, together with the vesting of the third installment. If any of the executive officers is terminated (a) by reason of death or disability or (b) by the Company for reasons other than cause or good reason within 12 months following a change in control, any unvested PSUs eligible to vest pursuant to cumulative achievements over 100% for past installments along with any target number of unvested PSUs for any remaining installments will vest immediately.</w:t>
      </w:r>
    </w:p>
    <w:p>
      <w:pPr>
        <w:spacing w:after="0" w:line="16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For the years ended December 31, 2022, 2021 and 2020, stock-based compensation expenses of $[nil], $13.3 million and $0.2 million for PSOs, respectively, and $3.9 million, $5.3 million and $2.8 million for PSUs, respectively, were recognized.</w:t>
      </w:r>
    </w:p>
    <w:p>
      <w:pPr>
        <w:sectPr>
          <w:pgSz w:w="11900" w:h="16838" w:orient="portrait"/>
          <w:cols w:equalWidth="0" w:num="1">
            <w:col w:w="11240"/>
          </w:cols>
          <w:pgMar w:left="320" w:top="125" w:right="339" w:bottom="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97790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460" w:firstLine="405"/>
        <w:spacing w:after="0" w:line="308" w:lineRule="auto"/>
        <w:rPr>
          <w:sz w:val="20"/>
          <w:szCs w:val="20"/>
          <w:color w:val="auto"/>
        </w:rPr>
      </w:pPr>
      <w:r>
        <w:rPr>
          <w:rFonts w:ascii="Arial" w:cs="Arial" w:eastAsia="Arial" w:hAnsi="Arial"/>
          <w:sz w:val="17"/>
          <w:szCs w:val="17"/>
          <w:color w:val="auto"/>
        </w:rPr>
        <w:t>The weighted-average grant date fair value of the Company’s stock options granted for the years ended December 31, 2022, 2021 and 2020 was $50.32, $41.23 and $35.49, respectively, using the Black-Scholes-Merton option-pricing model based on the following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spacing w:after="0"/>
              <w:rPr>
                <w:sz w:val="20"/>
                <w:szCs w:val="20"/>
                <w:color w:val="auto"/>
              </w:rPr>
            </w:pPr>
          </w:p>
        </w:tc>
        <w:tc>
          <w:tcPr>
            <w:tcW w:w="3620" w:type="dxa"/>
            <w:vAlign w:val="bottom"/>
            <w:tcBorders>
              <w:bottom w:val="single" w:sz="8" w:color="auto"/>
            </w:tcBorders>
            <w:gridSpan w:val="5"/>
          </w:tcPr>
          <w:p>
            <w:pPr>
              <w:ind w:left="1400"/>
              <w:spacing w:after="0"/>
              <w:rPr>
                <w:sz w:val="20"/>
                <w:szCs w:val="20"/>
                <w:color w:val="auto"/>
              </w:rPr>
            </w:pPr>
            <w:r>
              <w:rPr>
                <w:rFonts w:ascii="Arial" w:cs="Arial" w:eastAsia="Arial" w:hAnsi="Arial"/>
                <w:sz w:val="18"/>
                <w:szCs w:val="18"/>
                <w:b w:val="1"/>
                <w:bCs w:val="1"/>
                <w:color w:val="auto"/>
                <w:w w:val="99"/>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32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 to 4.4</w:t>
            </w:r>
          </w:p>
        </w:tc>
        <w:tc>
          <w:tcPr>
            <w:tcW w:w="1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5.2 to 5.5</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 to 5.5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Volatility</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40% to 43%</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38% to 41%</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38% to 43%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 to 4.2%</w:t>
            </w:r>
          </w:p>
        </w:tc>
        <w:tc>
          <w:tcPr>
            <w:tcW w:w="19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0.5% to 1.2%</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 to 1.4%</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92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expected term of the options is based on evaluations of historical and expected future employee exercise behavior.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ind w:left="420"/>
              <w:spacing w:after="0"/>
              <w:rPr>
                <w:sz w:val="20"/>
                <w:szCs w:val="20"/>
                <w:color w:val="auto"/>
              </w:rPr>
            </w:pPr>
            <w:r>
              <w:rPr>
                <w:rFonts w:ascii="Arial" w:cs="Arial" w:eastAsia="Arial" w:hAnsi="Arial"/>
                <w:sz w:val="18"/>
                <w:szCs w:val="18"/>
                <w:color w:val="auto"/>
              </w:rPr>
              <w:t>A summary of the Company’s stock option activity is as follows: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Weighted</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Outstanding</w:t>
            </w:r>
          </w:p>
        </w:tc>
        <w:tc>
          <w:tcPr>
            <w:tcW w:w="1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r>
      <w:tr>
        <w:trPr>
          <w:trHeight w:val="234"/>
        </w:trPr>
        <w:tc>
          <w:tcPr>
            <w:tcW w:w="598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Options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r>
      <w:tr>
        <w:trPr>
          <w:trHeight w:val="209"/>
        </w:trPr>
        <w:tc>
          <w:tcPr>
            <w:tcW w:w="5980" w:type="dxa"/>
            <w:vAlign w:val="bottom"/>
          </w:tcPr>
          <w:p>
            <w:pPr>
              <w:spacing w:after="0"/>
              <w:rPr>
                <w:sz w:val="18"/>
                <w:szCs w:val="18"/>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220" w:type="dxa"/>
            <w:vAlign w:val="bottom"/>
          </w:tcPr>
          <w:p>
            <w:pPr>
              <w:spacing w:after="0"/>
              <w:rPr>
                <w:sz w:val="18"/>
                <w:szCs w:val="18"/>
                <w:color w:val="auto"/>
              </w:rPr>
            </w:pPr>
          </w:p>
        </w:tc>
        <w:tc>
          <w:tcPr>
            <w:tcW w:w="112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(in thousands)</w:t>
            </w: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130,791</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593</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133.43</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Canceled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114.21</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58,024</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Vested and expected to vest - December 31, 2022</w:t>
            </w:r>
          </w:p>
        </w:tc>
        <w:tc>
          <w:tcPr>
            <w:tcW w:w="138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1,583</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81.95</w:t>
            </w:r>
          </w:p>
        </w:tc>
        <w:tc>
          <w:tcPr>
            <w:tcW w:w="132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6.1</w:t>
            </w:r>
          </w:p>
        </w:tc>
        <w:tc>
          <w:tcPr>
            <w:tcW w:w="140" w:type="dxa"/>
            <w:vAlign w:val="bottom"/>
          </w:tcPr>
          <w:p>
            <w:pPr>
              <w:spacing w:after="0" w:line="196"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57,690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Exercisable - December 31, 2022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56,062</w:t>
            </w:r>
          </w:p>
        </w:tc>
      </w:tr>
    </w:tbl>
    <w:p>
      <w:pPr>
        <w:spacing w:after="0" w:line="20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total intrinsic value of options exercised for the years ended December 31, 2022, 2021 and 2020 was $39.8 million, $42.5 million and $77.5 million, respectively. Intrinsic value of an option is the difference between the fair value of the Company’s common stock at the time of exercise and the exercise price paid.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8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Restricted Stock Units</w:t>
            </w: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7780" w:type="dxa"/>
            <w:vAlign w:val="bottom"/>
          </w:tcPr>
          <w:p>
            <w:pPr>
              <w:ind w:left="420"/>
              <w:spacing w:after="0"/>
              <w:rPr>
                <w:sz w:val="20"/>
                <w:szCs w:val="20"/>
                <w:color w:val="auto"/>
              </w:rPr>
            </w:pPr>
            <w:r>
              <w:rPr>
                <w:rFonts w:ascii="Arial" w:cs="Arial" w:eastAsia="Arial" w:hAnsi="Arial"/>
                <w:sz w:val="18"/>
                <w:szCs w:val="18"/>
                <w:color w:val="auto"/>
              </w:rPr>
              <w:t>A summary of the Company’s RSU activity is as follows:</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4"/>
        </w:trPr>
        <w:tc>
          <w:tcPr>
            <w:tcW w:w="7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Weighted Average</w:t>
            </w:r>
          </w:p>
        </w:tc>
      </w:tr>
      <w:tr>
        <w:trPr>
          <w:trHeight w:val="216"/>
        </w:trPr>
        <w:tc>
          <w:tcPr>
            <w:tcW w:w="77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Grant Date Fair</w:t>
            </w:r>
          </w:p>
        </w:tc>
      </w:tr>
      <w:tr>
        <w:trPr>
          <w:trHeight w:val="234"/>
        </w:trPr>
        <w:tc>
          <w:tcPr>
            <w:tcW w:w="7780" w:type="dxa"/>
            <w:vAlign w:val="bottom"/>
          </w:tcPr>
          <w:p>
            <w:pPr>
              <w:spacing w:after="0"/>
              <w:rPr>
                <w:sz w:val="20"/>
                <w:szCs w:val="20"/>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w w:val="89"/>
              </w:rPr>
              <w:t>Outstanding RSUs</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Value</w:t>
            </w:r>
          </w:p>
        </w:tc>
      </w:tr>
      <w:tr>
        <w:trPr>
          <w:trHeight w:val="210"/>
        </w:trPr>
        <w:tc>
          <w:tcPr>
            <w:tcW w:w="7780" w:type="dxa"/>
            <w:vAlign w:val="bottom"/>
          </w:tcPr>
          <w:p>
            <w:pPr>
              <w:spacing w:after="0"/>
              <w:rPr>
                <w:sz w:val="18"/>
                <w:szCs w:val="18"/>
                <w:color w:val="auto"/>
              </w:rPr>
            </w:pPr>
          </w:p>
        </w:tc>
        <w:tc>
          <w:tcPr>
            <w:tcW w:w="14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Balance as of December 31, 2021</w:t>
            </w:r>
          </w:p>
        </w:tc>
        <w:tc>
          <w:tcPr>
            <w:tcW w:w="1460" w:type="dxa"/>
            <w:vAlign w:val="bottom"/>
            <w:gridSpan w:val="2"/>
            <w:shd w:val="clear" w:color="auto" w:fill="CCEEFF"/>
          </w:tcPr>
          <w:p>
            <w:pPr>
              <w:jc w:val="center"/>
              <w:ind w:left="1070"/>
              <w:spacing w:after="0"/>
              <w:rPr>
                <w:sz w:val="20"/>
                <w:szCs w:val="20"/>
                <w:color w:val="auto"/>
              </w:rPr>
            </w:pPr>
            <w:r>
              <w:rPr>
                <w:rFonts w:ascii="Arial" w:cs="Arial" w:eastAsia="Arial" w:hAnsi="Arial"/>
                <w:sz w:val="18"/>
                <w:szCs w:val="18"/>
                <w:color w:val="auto"/>
                <w:w w:val="86"/>
              </w:rPr>
              <w:t>952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105.20</w:t>
            </w:r>
          </w:p>
        </w:tc>
      </w:tr>
      <w:tr>
        <w:trPr>
          <w:trHeight w:val="216"/>
        </w:trPr>
        <w:tc>
          <w:tcPr>
            <w:tcW w:w="77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60" w:type="dxa"/>
            <w:vAlign w:val="bottom"/>
            <w:gridSpan w:val="2"/>
          </w:tcPr>
          <w:p>
            <w:pPr>
              <w:jc w:val="center"/>
              <w:ind w:left="1070"/>
              <w:spacing w:after="0"/>
              <w:rPr>
                <w:sz w:val="20"/>
                <w:szCs w:val="20"/>
                <w:color w:val="auto"/>
              </w:rPr>
            </w:pPr>
            <w:r>
              <w:rPr>
                <w:rFonts w:ascii="Arial" w:cs="Arial" w:eastAsia="Arial" w:hAnsi="Arial"/>
                <w:sz w:val="18"/>
                <w:szCs w:val="18"/>
                <w:color w:val="auto"/>
                <w:w w:val="86"/>
              </w:rPr>
              <w:t>711</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137.50</w:t>
            </w: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540" w:type="dxa"/>
            <w:vAlign w:val="bottom"/>
            <w:gridSpan w:val="3"/>
            <w:shd w:val="clear" w:color="auto" w:fill="CCEEFF"/>
          </w:tcPr>
          <w:p>
            <w:pPr>
              <w:jc w:val="center"/>
              <w:ind w:left="990"/>
              <w:spacing w:after="0"/>
              <w:rPr>
                <w:sz w:val="20"/>
                <w:szCs w:val="20"/>
                <w:color w:val="auto"/>
              </w:rPr>
            </w:pPr>
            <w:r>
              <w:rPr>
                <w:rFonts w:ascii="Arial" w:cs="Arial" w:eastAsia="Arial" w:hAnsi="Arial"/>
                <w:sz w:val="18"/>
                <w:szCs w:val="18"/>
                <w:color w:val="auto"/>
                <w:w w:val="90"/>
              </w:rPr>
              <w:t>(330)</w:t>
            </w:r>
          </w:p>
        </w:tc>
        <w:tc>
          <w:tcPr>
            <w:tcW w:w="2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100.27</w:t>
            </w:r>
          </w:p>
        </w:tc>
      </w:tr>
      <w:tr>
        <w:trPr>
          <w:trHeight w:val="216"/>
        </w:trPr>
        <w:tc>
          <w:tcPr>
            <w:tcW w:w="778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540" w:type="dxa"/>
            <w:vAlign w:val="bottom"/>
            <w:gridSpan w:val="3"/>
          </w:tcPr>
          <w:p>
            <w:pPr>
              <w:jc w:val="center"/>
              <w:ind w:left="990"/>
              <w:spacing w:after="0"/>
              <w:rPr>
                <w:sz w:val="20"/>
                <w:szCs w:val="20"/>
                <w:color w:val="auto"/>
              </w:rPr>
            </w:pPr>
            <w:r>
              <w:rPr>
                <w:rFonts w:ascii="Arial" w:cs="Arial" w:eastAsia="Arial" w:hAnsi="Arial"/>
                <w:sz w:val="18"/>
                <w:szCs w:val="18"/>
                <w:color w:val="auto"/>
                <w:w w:val="90"/>
              </w:rPr>
              <w:t>(150)</w:t>
            </w:r>
          </w:p>
        </w:tc>
        <w:tc>
          <w:tcPr>
            <w:tcW w:w="2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117.63</w:t>
            </w:r>
          </w:p>
        </w:tc>
      </w:tr>
      <w:tr>
        <w:trPr>
          <w:trHeight w:val="250"/>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2022</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196"/>
        </w:trPr>
        <w:tc>
          <w:tcPr>
            <w:tcW w:w="7780" w:type="dxa"/>
            <w:vAlign w:val="bottom"/>
          </w:tcPr>
          <w:p>
            <w:pPr>
              <w:spacing w:after="0" w:line="196" w:lineRule="exact"/>
              <w:rPr>
                <w:sz w:val="20"/>
                <w:szCs w:val="20"/>
                <w:color w:val="auto"/>
              </w:rPr>
            </w:pPr>
            <w:r>
              <w:rPr>
                <w:rFonts w:ascii="Arial" w:cs="Arial" w:eastAsia="Arial" w:hAnsi="Arial"/>
                <w:sz w:val="18"/>
                <w:szCs w:val="18"/>
                <w:color w:val="auto"/>
              </w:rPr>
              <w:t>Outstanding and expected to vest - December 31, 2022</w:t>
            </w:r>
          </w:p>
        </w:tc>
        <w:tc>
          <w:tcPr>
            <w:tcW w:w="1460" w:type="dxa"/>
            <w:vAlign w:val="bottom"/>
            <w:gridSpan w:val="2"/>
          </w:tcPr>
          <w:p>
            <w:pPr>
              <w:jc w:val="center"/>
              <w:ind w:left="1070"/>
              <w:spacing w:after="0" w:line="196" w:lineRule="exact"/>
              <w:rPr>
                <w:sz w:val="20"/>
                <w:szCs w:val="20"/>
                <w:color w:val="auto"/>
              </w:rPr>
            </w:pPr>
            <w:r>
              <w:rPr>
                <w:rFonts w:ascii="Arial" w:cs="Arial" w:eastAsia="Arial" w:hAnsi="Arial"/>
                <w:sz w:val="18"/>
                <w:szCs w:val="18"/>
                <w:color w:val="auto"/>
                <w:w w:val="86"/>
              </w:rPr>
              <w:t>929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122.55</w:t>
            </w:r>
          </w:p>
        </w:tc>
      </w:tr>
      <w:tr>
        <w:trPr>
          <w:trHeight w:val="20"/>
        </w:trPr>
        <w:tc>
          <w:tcPr>
            <w:tcW w:w="77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ind w:left="80"/>
        <w:spacing w:after="0" w:line="197"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w:t>
      </w:r>
      <w:r>
        <w:rPr>
          <w:rFonts w:ascii="Arial" w:cs="Arial" w:eastAsia="Arial" w:hAnsi="Arial"/>
          <w:sz w:val="23"/>
          <w:szCs w:val="23"/>
          <w:color w:val="auto"/>
          <w:vertAlign w:val="superscript"/>
        </w:rPr>
        <w:t>)</w:t>
      </w:r>
      <w:r>
        <w:rPr>
          <w:rFonts w:ascii="Arial" w:cs="Arial" w:eastAsia="Arial" w:hAnsi="Arial"/>
          <w:sz w:val="12"/>
          <w:szCs w:val="12"/>
          <w:color w:val="auto"/>
        </w:rPr>
        <w:t xml:space="preserve"> </w:t>
      </w:r>
      <w:r>
        <w:rPr>
          <w:rFonts w:ascii="Arial" w:cs="Arial" w:eastAsia="Arial" w:hAnsi="Arial"/>
          <w:sz w:val="17"/>
          <w:szCs w:val="17"/>
          <w:color w:val="auto"/>
        </w:rPr>
        <w:t>Included 68 thousand shares of PSUs granted to certain executive officers in 2021 for performance year 2022 at 200% vest level.</w:t>
      </w:r>
    </w:p>
    <w:p>
      <w:pPr>
        <w:ind w:right="640" w:firstLine="81"/>
        <w:spacing w:after="0" w:line="224"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2</w:t>
      </w:r>
      <w:r>
        <w:rPr>
          <w:rFonts w:ascii="Arial" w:cs="Arial" w:eastAsia="Arial" w:hAnsi="Arial"/>
          <w:sz w:val="23"/>
          <w:szCs w:val="23"/>
          <w:color w:val="auto"/>
          <w:vertAlign w:val="superscript"/>
        </w:rPr>
        <w:t>)</w:t>
      </w:r>
      <w:r>
        <w:rPr>
          <w:rFonts w:ascii="Arial" w:cs="Arial" w:eastAsia="Arial" w:hAnsi="Arial"/>
          <w:sz w:val="12"/>
          <w:szCs w:val="12"/>
          <w:color w:val="auto"/>
        </w:rPr>
        <w:t xml:space="preserve"> </w:t>
      </w:r>
      <w:r>
        <w:rPr>
          <w:rFonts w:ascii="Arial" w:cs="Arial" w:eastAsia="Arial" w:hAnsi="Arial"/>
          <w:sz w:val="17"/>
          <w:szCs w:val="17"/>
          <w:color w:val="auto"/>
        </w:rPr>
        <w:t>Included 58 thousand shares of PSUs granted to certain executive officers in 2022 and 49 thousand shares of PSU granted in 2021 as a result of</w:t>
      </w:r>
      <w:r>
        <w:rPr>
          <w:rFonts w:ascii="Arial" w:cs="Arial" w:eastAsia="Arial" w:hAnsi="Arial"/>
          <w:sz w:val="12"/>
          <w:szCs w:val="12"/>
          <w:color w:val="auto"/>
        </w:rPr>
        <w:t xml:space="preserve"> </w:t>
      </w:r>
      <w:r>
        <w:rPr>
          <w:rFonts w:ascii="Arial" w:cs="Arial" w:eastAsia="Arial" w:hAnsi="Arial"/>
          <w:sz w:val="17"/>
          <w:szCs w:val="17"/>
          <w:color w:val="auto"/>
        </w:rPr>
        <w:t>defining the level of performance goals for performance year 2023.</w:t>
      </w:r>
    </w:p>
    <w:p>
      <w:pPr>
        <w:spacing w:after="0" w:line="2" w:lineRule="exact"/>
        <w:rPr>
          <w:sz w:val="20"/>
          <w:szCs w:val="20"/>
          <w:color w:val="auto"/>
        </w:rPr>
      </w:pPr>
    </w:p>
    <w:p>
      <w:pPr>
        <w:ind w:left="80"/>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3</w:t>
      </w:r>
      <w:r>
        <w:rPr>
          <w:rFonts w:ascii="Arial" w:cs="Arial" w:eastAsia="Arial" w:hAnsi="Arial"/>
          <w:sz w:val="23"/>
          <w:szCs w:val="23"/>
          <w:color w:val="auto"/>
          <w:vertAlign w:val="superscript"/>
        </w:rPr>
        <w:t>)</w:t>
      </w:r>
      <w:r>
        <w:rPr>
          <w:rFonts w:ascii="Arial" w:cs="Arial" w:eastAsia="Arial" w:hAnsi="Arial"/>
          <w:sz w:val="12"/>
          <w:szCs w:val="12"/>
          <w:color w:val="auto"/>
        </w:rPr>
        <w:t xml:space="preserve"> </w:t>
      </w:r>
      <w:r>
        <w:rPr>
          <w:rFonts w:ascii="Arial" w:cs="Arial" w:eastAsia="Arial" w:hAnsi="Arial"/>
          <w:sz w:val="17"/>
          <w:szCs w:val="17"/>
          <w:color w:val="auto"/>
        </w:rPr>
        <w:t>Included 175 thousand shares of PSUs granted to certain executive officers in 2022 and 2021.</w:t>
      </w:r>
    </w:p>
    <w:p>
      <w:pPr>
        <w:spacing w:after="0" w:line="15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aggregate fair value of RSUs vested for the years ended December 31, 2022, 2021 and 2020 was $43.9 million, $59.5 million and $46.5 million, respectively.</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weighted-average grant date fair value of the Company’s ESPP for the year ended December 31, 2022 was $39.14 using the Black-Scholes-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Merton option-pricing model based on the following assumptions: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spacing w:after="0"/>
              <w:rPr>
                <w:sz w:val="18"/>
                <w:szCs w:val="18"/>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Year Ended</w:t>
            </w:r>
          </w:p>
        </w:tc>
      </w:tr>
      <w:tr>
        <w:trPr>
          <w:trHeight w:val="234"/>
        </w:trPr>
        <w:tc>
          <w:tcPr>
            <w:tcW w:w="968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December 31,</w:t>
            </w:r>
          </w:p>
        </w:tc>
      </w:tr>
      <w:tr>
        <w:trPr>
          <w:trHeight w:val="209"/>
        </w:trPr>
        <w:tc>
          <w:tcPr>
            <w:tcW w:w="968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8"/>
                <w:szCs w:val="18"/>
                <w:color w:val="auto"/>
              </w:rPr>
            </w:pPr>
          </w:p>
        </w:tc>
      </w:tr>
      <w:tr>
        <w:trPr>
          <w:trHeight w:val="209"/>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9680" w:type="dxa"/>
            <w:vAlign w:val="bottom"/>
          </w:tcPr>
          <w:p>
            <w:pPr>
              <w:spacing w:after="0"/>
              <w:rPr>
                <w:sz w:val="20"/>
                <w:szCs w:val="20"/>
                <w:color w:val="auto"/>
              </w:rPr>
            </w:pPr>
            <w:r>
              <w:rPr>
                <w:rFonts w:ascii="Arial" w:cs="Arial" w:eastAsia="Arial" w:hAnsi="Arial"/>
                <w:sz w:val="18"/>
                <w:szCs w:val="18"/>
                <w:color w:val="auto"/>
              </w:rPr>
              <w:t>Volatility</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41.1% to 50.1%</w:t>
            </w: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 to 3.1%</w:t>
            </w:r>
          </w:p>
        </w:tc>
      </w:tr>
      <w:tr>
        <w:trPr>
          <w:trHeight w:val="230"/>
        </w:trPr>
        <w:tc>
          <w:tcPr>
            <w:tcW w:w="9680" w:type="dxa"/>
            <w:vAlign w:val="bottom"/>
          </w:tcPr>
          <w:p>
            <w:pPr>
              <w:spacing w:after="0"/>
              <w:rPr>
                <w:sz w:val="20"/>
                <w:szCs w:val="20"/>
                <w:color w:val="auto"/>
              </w:rPr>
            </w:pPr>
            <w:r>
              <w:rPr>
                <w:rFonts w:ascii="Arial" w:cs="Arial" w:eastAsia="Arial" w:hAnsi="Arial"/>
                <w:sz w:val="18"/>
                <w:szCs w:val="18"/>
                <w:color w:val="auto"/>
              </w:rPr>
              <w:t>Dividend yield</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right="200" w:firstLine="405"/>
        <w:spacing w:after="0" w:line="286" w:lineRule="auto"/>
        <w:rPr>
          <w:sz w:val="20"/>
          <w:szCs w:val="20"/>
          <w:color w:val="auto"/>
        </w:rPr>
      </w:pPr>
      <w:r>
        <w:rPr>
          <w:rFonts w:ascii="Arial" w:cs="Arial" w:eastAsia="Arial" w:hAnsi="Arial"/>
          <w:sz w:val="17"/>
          <w:szCs w:val="17"/>
          <w:color w:val="auto"/>
        </w:rPr>
        <w:t>The expected term of the ESPP represents the six-month offering period. The risk-free interest rate is based on the U.S. Treasury rates at the date of grant with maturity dates equal to the expected term at the grant date. The volatility was estimated using the historical volatility derived from the Company's common stock. The Company has not historically declared any dividends and does not expect to in the future.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560" w:type="dxa"/>
            <w:vAlign w:val="bottom"/>
          </w:tcPr>
          <w:p>
            <w:pPr>
              <w:ind w:left="260"/>
              <w:spacing w:after="0"/>
              <w:rPr>
                <w:sz w:val="20"/>
                <w:szCs w:val="20"/>
                <w:color w:val="auto"/>
              </w:rPr>
            </w:pPr>
            <w:r>
              <w:rPr>
                <w:rFonts w:ascii="Arial" w:cs="Arial" w:eastAsia="Arial" w:hAnsi="Arial"/>
                <w:sz w:val="18"/>
                <w:szCs w:val="18"/>
                <w:b w:val="1"/>
                <w:bCs w:val="1"/>
                <w:i w:val="1"/>
                <w:iCs w:val="1"/>
                <w:color w:val="auto"/>
              </w:rPr>
              <w:t>Share Repurchase Program</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9560" w:type="dxa"/>
            <w:vAlign w:val="bottom"/>
          </w:tcPr>
          <w:p>
            <w:pPr>
              <w:ind w:left="420"/>
              <w:spacing w:after="0"/>
              <w:rPr>
                <w:sz w:val="20"/>
                <w:szCs w:val="20"/>
                <w:color w:val="auto"/>
              </w:rPr>
            </w:pPr>
            <w:r>
              <w:rPr>
                <w:rFonts w:ascii="Arial" w:cs="Arial" w:eastAsia="Arial" w:hAnsi="Arial"/>
                <w:sz w:val="18"/>
                <w:szCs w:val="18"/>
                <w:color w:val="auto"/>
              </w:rPr>
              <w:t>The Company's share repurchase program was authorized by the board of directors as follows: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9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spacing w:after="0"/>
              <w:rPr>
                <w:sz w:val="20"/>
                <w:szCs w:val="20"/>
                <w:color w:val="auto"/>
              </w:rPr>
            </w:pPr>
            <w:r>
              <w:rPr>
                <w:rFonts w:ascii="Arial" w:cs="Arial" w:eastAsia="Arial" w:hAnsi="Arial"/>
                <w:sz w:val="18"/>
                <w:szCs w:val="18"/>
                <w:b w:val="1"/>
                <w:bCs w:val="1"/>
                <w:color w:val="auto"/>
              </w:rPr>
              <w:t>Authorized Dollar</w:t>
            </w:r>
          </w:p>
        </w:tc>
      </w:tr>
      <w:tr>
        <w:trPr>
          <w:trHeight w:val="234"/>
        </w:trPr>
        <w:tc>
          <w:tcPr>
            <w:tcW w:w="9560" w:type="dxa"/>
            <w:vAlign w:val="bottom"/>
          </w:tcPr>
          <w:p>
            <w:pPr>
              <w:spacing w:after="0"/>
              <w:rPr>
                <w:sz w:val="20"/>
                <w:szCs w:val="20"/>
                <w:color w:val="auto"/>
              </w:rPr>
            </w:pPr>
            <w:r>
              <w:rPr>
                <w:rFonts w:ascii="Arial" w:cs="Arial" w:eastAsia="Arial" w:hAnsi="Arial"/>
                <w:sz w:val="18"/>
                <w:szCs w:val="18"/>
                <w:b w:val="1"/>
                <w:bCs w:val="1"/>
                <w:color w:val="auto"/>
              </w:rPr>
              <w:t>Announcement Date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3"/>
          </w:tcPr>
          <w:p>
            <w:pPr>
              <w:ind w:left="340"/>
              <w:spacing w:after="0"/>
              <w:rPr>
                <w:sz w:val="20"/>
                <w:szCs w:val="20"/>
                <w:color w:val="auto"/>
              </w:rPr>
            </w:pPr>
            <w:r>
              <w:rPr>
                <w:rFonts w:ascii="Arial" w:cs="Arial" w:eastAsia="Arial" w:hAnsi="Arial"/>
                <w:sz w:val="18"/>
                <w:szCs w:val="18"/>
                <w:b w:val="1"/>
                <w:bCs w:val="1"/>
                <w:color w:val="auto"/>
              </w:rPr>
              <w:t>Value</w:t>
            </w:r>
          </w:p>
        </w:tc>
      </w:tr>
      <w:tr>
        <w:trPr>
          <w:trHeight w:val="209"/>
        </w:trPr>
        <w:tc>
          <w:tcPr>
            <w:tcW w:w="9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(in millions)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February 12, 2018</w:t>
            </w:r>
          </w:p>
        </w:tc>
        <w:tc>
          <w:tcPr>
            <w:tcW w:w="3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October 30, 2018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October 30, 2019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May 7, 2020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February 10, 2021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November 3, 2021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May 4, 2022</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r>
      <w:tr>
        <w:trPr>
          <w:trHeight w:val="210"/>
        </w:trPr>
        <w:tc>
          <w:tcPr>
            <w:tcW w:w="9560" w:type="dxa"/>
            <w:vAlign w:val="bottom"/>
          </w:tcPr>
          <w:p>
            <w:pPr>
              <w:spacing w:after="0"/>
              <w:rPr>
                <w:sz w:val="20"/>
                <w:szCs w:val="20"/>
                <w:color w:val="auto"/>
              </w:rPr>
            </w:pPr>
            <w:r>
              <w:rPr>
                <w:rFonts w:ascii="Arial" w:cs="Arial" w:eastAsia="Arial" w:hAnsi="Arial"/>
                <w:sz w:val="18"/>
                <w:szCs w:val="18"/>
                <w:color w:val="auto"/>
              </w:rPr>
              <w:t>Total as of December 31, 2022</w:t>
            </w:r>
          </w:p>
        </w:tc>
        <w:tc>
          <w:tcPr>
            <w:tcW w:w="140" w:type="dxa"/>
            <w:vAlign w:val="bottom"/>
            <w:gridSpan w:val="2"/>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Shares may be repurchased from time to time on the open market in accordance with Rule 10b-18 of the Exchange Act of 1934, including pursuant to a pre-set trading plan adopted in accordance with Rule 10b5-1 under the Exchange Act. All share repurchases have been made using cash resources. Repurchased shares are retired and reclassified as authorized and unissued shares of common stock. On retirement of the repurchased shares, common stock is reduced by an amount equal to the number of shares being retired multiplied by the par value. The excess amount that is retired over its par value is first allocated as a reduction to additional paid-in capital based on the initial public offering price of the stock, with the remaining excess to retained earnings.</w:t>
      </w:r>
    </w:p>
    <w:p>
      <w:pPr>
        <w:spacing w:after="0" w:line="19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For the years ended December 31, 2022, 2021 and 2020, the Company repurchased 2.5 million shares, 1.1 million shares and 1.3 million shares of its common stock for $317.3 million, $130.0 million and $126.7 million, respectively. As of December 31, 2022, $154.5 million remained available for share repurchases pursuant to the Company's share repurchase program.</w:t>
      </w:r>
    </w:p>
    <w:p>
      <w:pPr>
        <w:spacing w:after="0" w:line="1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February 9, 2023</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announced that its Board of Directors authorized an additional $100.0 million under the share repurchase program, increasing the total amount of authorized repurchase to $1.0 billion.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Employee Benefits Plan</w:t>
      </w:r>
    </w:p>
    <w:p>
      <w:pPr>
        <w:spacing w:after="0" w:line="22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For the years ended December 31, 2022, 2021 and 2020, the Company made contributions to the 401(k) Plan of $3.5 million, $2.4 million and $1.3 million, respectively.</w:t>
      </w:r>
    </w:p>
    <w:p>
      <w:pPr>
        <w:spacing w:after="0" w:line="187"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contributes to a Provident Fund Plan for its employees in India, which is a defined contribution plan set up in accordance with local labor and tax laws. Gratuity is also paid by the Company to eligible employees in India in accordance with Payment of Gratuity Act, 1972. For the years ended December 31, 2022, 2021 and 2020, the Company contributed $2.0 million, $1.7 million and $1.4 million, respectively, to those plans.</w:t>
      </w:r>
    </w:p>
    <w:p>
      <w:pPr>
        <w:spacing w:after="0" w:line="38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geographical breakdown of income before income taxes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24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122,013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80,472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94,099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Foreign</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11,687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8,925</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0" w:type="dxa"/>
            <w:vAlign w:val="bottom"/>
            <w:gridSpan w:val="2"/>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133,700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89,397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102,037</w:t>
            </w:r>
          </w:p>
        </w:tc>
        <w:tc>
          <w:tcPr>
            <w:tcW w:w="0" w:type="dxa"/>
            <w:vAlign w:val="bottom"/>
          </w:tcPr>
          <w:p>
            <w:pPr>
              <w:spacing w:after="0"/>
              <w:rPr>
                <w:sz w:val="1"/>
                <w:szCs w:val="1"/>
                <w:color w:val="auto"/>
              </w:rPr>
            </w:pPr>
          </w:p>
        </w:tc>
      </w:tr>
      <w:tr>
        <w:trPr>
          <w:trHeight w:val="413"/>
        </w:trPr>
        <w:tc>
          <w:tcPr>
            <w:tcW w:w="4780" w:type="dxa"/>
            <w:vAlign w:val="bottom"/>
            <w:tcBorders>
              <w:top w:val="single" w:sz="8" w:color="CCEEFF"/>
            </w:tcBorders>
          </w:tcPr>
          <w:p>
            <w:pPr>
              <w:ind w:left="420"/>
              <w:spacing w:after="0"/>
              <w:rPr>
                <w:sz w:val="20"/>
                <w:szCs w:val="20"/>
                <w:color w:val="auto"/>
              </w:rPr>
            </w:pPr>
            <w:r>
              <w:rPr>
                <w:rFonts w:ascii="Arial" w:cs="Arial" w:eastAsia="Arial" w:hAnsi="Arial"/>
                <w:sz w:val="18"/>
                <w:szCs w:val="18"/>
                <w:color w:val="auto"/>
              </w:rPr>
              <w:t>Income tax provision consists of the following:</w:t>
            </w:r>
          </w:p>
        </w:tc>
        <w:tc>
          <w:tcPr>
            <w:tcW w:w="20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center"/>
              <w:ind w:left="670"/>
              <w:spacing w:after="0"/>
              <w:rPr>
                <w:sz w:val="20"/>
                <w:szCs w:val="20"/>
                <w:color w:val="auto"/>
              </w:rPr>
            </w:pPr>
            <w:r>
              <w:rPr>
                <w:rFonts w:ascii="Arial" w:cs="Arial" w:eastAsia="Arial" w:hAnsi="Arial"/>
                <w:sz w:val="18"/>
                <w:szCs w:val="18"/>
                <w:b w:val="1"/>
                <w:bCs w:val="1"/>
                <w:color w:val="auto"/>
                <w:w w:val="90"/>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1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(in thousands)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Federal</w:t>
            </w:r>
          </w:p>
        </w:tc>
        <w:tc>
          <w:tcPr>
            <w:tcW w:w="24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35,286</w:t>
            </w:r>
          </w:p>
        </w:tc>
        <w:tc>
          <w:tcPr>
            <w:tcW w:w="100" w:type="dxa"/>
            <w:vAlign w:val="bottom"/>
          </w:tcPr>
          <w:p>
            <w:pPr>
              <w:spacing w:after="0"/>
              <w:rPr>
                <w:sz w:val="18"/>
                <w:szCs w:val="18"/>
                <w:color w:val="auto"/>
              </w:rPr>
            </w:pPr>
          </w:p>
        </w:tc>
        <w:tc>
          <w:tcPr>
            <w:tcW w:w="200" w:type="dxa"/>
            <w:vAlign w:val="bottom"/>
          </w:tcPr>
          <w:p>
            <w:pPr>
              <w:jc w:val="right"/>
              <w:ind w:right="41"/>
              <w:spacing w:after="0"/>
              <w:rPr>
                <w:sz w:val="20"/>
                <w:szCs w:val="20"/>
                <w:color w:val="auto"/>
              </w:rPr>
            </w:pPr>
            <w:r>
              <w:rPr>
                <w:rFonts w:ascii="Arial" w:cs="Arial" w:eastAsia="Arial" w:hAnsi="Arial"/>
                <w:sz w:val="15"/>
                <w:szCs w:val="15"/>
                <w:color w:val="auto"/>
                <w:w w:val="71"/>
              </w:rPr>
              <w:t>$</w:t>
            </w: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20,135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6,269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4,324</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8"/>
                <w:szCs w:val="18"/>
                <w:color w:val="auto"/>
              </w:rPr>
              <w:t>3,701</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income tax provision</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46,161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28,160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Deferred</w:t>
            </w:r>
          </w:p>
        </w:tc>
        <w:tc>
          <w:tcPr>
            <w:tcW w:w="20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(17,097)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(7,342)</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4,239</w:t>
            </w:r>
          </w:p>
        </w:tc>
        <w:tc>
          <w:tcPr>
            <w:tcW w:w="0" w:type="dxa"/>
            <w:vAlign w:val="bottom"/>
          </w:tcPr>
          <w:p>
            <w:pPr>
              <w:spacing w:after="0"/>
              <w:rPr>
                <w:sz w:val="1"/>
                <w:szCs w:val="1"/>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State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(3,055)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(1,722)</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tcPr>
          <w:p>
            <w:pPr>
              <w:ind w:left="340"/>
              <w:spacing w:after="0"/>
              <w:rPr>
                <w:sz w:val="20"/>
                <w:szCs w:val="20"/>
                <w:color w:val="auto"/>
              </w:rPr>
            </w:pPr>
            <w:r>
              <w:rPr>
                <w:rFonts w:ascii="Arial" w:cs="Arial" w:eastAsia="Arial" w:hAnsi="Arial"/>
                <w:sz w:val="18"/>
                <w:szCs w:val="18"/>
                <w:color w:val="auto"/>
              </w:rPr>
              <w:t>Deferred income tax provision (benefit)</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(20,453)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(9,723)</w:t>
            </w: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3,512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provision</w:t>
            </w:r>
          </w:p>
        </w:tc>
        <w:tc>
          <w:tcPr>
            <w:tcW w:w="2200" w:type="dxa"/>
            <w:vAlign w:val="bottom"/>
            <w:gridSpan w:val="2"/>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25,708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2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18,437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460" w:type="dxa"/>
            <w:vAlign w:val="bottom"/>
            <w:gridSpan w:val="8"/>
          </w:tcPr>
          <w:p>
            <w:pPr>
              <w:ind w:left="420"/>
              <w:spacing w:after="0"/>
              <w:rPr>
                <w:sz w:val="20"/>
                <w:szCs w:val="20"/>
                <w:color w:val="auto"/>
              </w:rPr>
            </w:pPr>
            <w:r>
              <w:rPr>
                <w:rFonts w:ascii="Arial" w:cs="Arial" w:eastAsia="Arial" w:hAnsi="Arial"/>
                <w:sz w:val="18"/>
                <w:szCs w:val="18"/>
                <w:color w:val="auto"/>
                <w:w w:val="95"/>
              </w:rPr>
              <w:t>The reconciliation of the statutory federal income tax rate to the Company’s effective tax rate is as follows: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9"/>
          </w:tcPr>
          <w:p>
            <w:pPr>
              <w:jc w:val="right"/>
              <w:ind w:right="13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21.0%</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State taxes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Excess tax benefits related to stock-based compensation</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source income</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Foreign-derived intangible income deduction</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Federal and state research and development credit</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2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3"/>
          </w:tcPr>
          <w:p>
            <w:pPr>
              <w:jc w:val="right"/>
              <w:ind w:right="180"/>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80" w:type="dxa"/>
            <w:vAlign w:val="bottom"/>
            <w:vMerge w:val="restart"/>
          </w:tcPr>
          <w:p>
            <w:pPr>
              <w:jc w:val="right"/>
              <w:ind w:right="1050"/>
              <w:spacing w:after="0"/>
              <w:rPr>
                <w:sz w:val="20"/>
                <w:szCs w:val="20"/>
                <w:color w:val="auto"/>
              </w:rPr>
            </w:pPr>
            <w:r>
              <w:rPr>
                <w:rFonts w:ascii="Arial" w:cs="Arial" w:eastAsia="Arial" w:hAnsi="Arial"/>
                <w:sz w:val="18"/>
                <w:szCs w:val="18"/>
                <w:color w:val="auto"/>
              </w:rPr>
              <w:t>76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7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22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Deferred income taxes reflect the tax effects of temporary differences between the carrying amounts of assets and liabilities for financial reporting purposes and the amounts used for income tax purposes. The components of the Company’s deferred tax assets and liabilities are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Research and development credit carryforwards</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10,957</w:t>
            </w:r>
          </w:p>
        </w:tc>
        <w:tc>
          <w:tcPr>
            <w:tcW w:w="120" w:type="dxa"/>
            <w:vAlign w:val="bottom"/>
          </w:tcPr>
          <w:p>
            <w:pPr>
              <w:spacing w:after="0"/>
              <w:rPr>
                <w:sz w:val="18"/>
                <w:szCs w:val="18"/>
                <w:color w:val="auto"/>
              </w:rPr>
            </w:pPr>
          </w:p>
        </w:tc>
        <w:tc>
          <w:tcPr>
            <w:tcW w:w="5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10,743</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Deferred revenues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7,250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10,667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11,777</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2,988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Capitalized R&amp;D</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30,234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9,389</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Gross deferred tax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71,652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51,807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(12,476)</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(11,364)</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59,176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40,443</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Fixed assets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(1,745)</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(3,320)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 - right of use asset</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(9,010)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Deferred commissions</w:t>
            </w:r>
          </w:p>
        </w:tc>
        <w:tc>
          <w:tcPr>
            <w:tcW w:w="9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(3,660)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(3,026)</w:t>
            </w:r>
          </w:p>
        </w:tc>
      </w:tr>
      <w:tr>
        <w:trPr>
          <w:trHeight w:val="20"/>
        </w:trPr>
        <w:tc>
          <w:tcPr>
            <w:tcW w:w="8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(13,764)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(15,356)</w:t>
            </w:r>
          </w:p>
        </w:tc>
      </w:tr>
      <w:tr>
        <w:trPr>
          <w:trHeight w:val="209"/>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Net deferred tax assets</w:t>
            </w: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45,412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25,087</w:t>
            </w:r>
          </w:p>
        </w:tc>
        <w:tc>
          <w:tcPr>
            <w:tcW w:w="100" w:type="dxa"/>
            <w:vAlign w:val="bottom"/>
            <w:tcBorders>
              <w:top w:val="single" w:sz="8" w:color="CCEEFF"/>
            </w:tcBorders>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realization of deferred tax assets is dependent upon the generation of sufficient taxable income of the appropriate character in future periods. The Company regularly assesses the ability to realize its deferred tax assets and establishes a valuation allowance if it is more-likely than-not that some portion, or all, of the deferred tax assets will not be realized. The Company weighs all available positive and negative evidence, including its earnings history and results of recent operations, scheduled reversals of deferred tax liabilities, projected future taxable income, and tax planning strategies. Due to the weight of objectively verifiable negative evidence, it is more-likely-than-not that its California deferred tax assets will not be realized as of December 31, 2022. Additionally, due to a lack of sufficient future income of the appropriate character, certain U.S. federal and state deferred tax assets are not more-likely-than-not to be realized. Accordingly, the Company has recorded a valuation allowance of $12.5 million and $11.4 million against such deferred tax assets as of December 31, 2022 and 2021, respectively. The increase of $1.1 million in valuation allowance was mainly associated with the California research and development credit generated during the year ended December 31, 2022 and unrealized loss on available for sale securities that will not likely be realized in the foreseeable future.</w:t>
      </w:r>
    </w:p>
    <w:p>
      <w:pPr>
        <w:spacing w:after="0" w:line="185"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As of December 31, 2022, the Company had $16.2 million of state research and development credit carryforwards. State research and development credits do not expire. As of December 31, 2022, the Company had foreign tax credit carryforwards of $0.9 million which begin to expire in 2028.</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634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80"/>
        </w:trPr>
        <w:tc>
          <w:tcPr>
            <w:tcW w:w="8020" w:type="dxa"/>
            <w:vAlign w:val="bottom"/>
            <w:gridSpan w:val="5"/>
          </w:tcPr>
          <w:p>
            <w:pPr>
              <w:ind w:left="420"/>
              <w:spacing w:after="0"/>
              <w:rPr>
                <w:sz w:val="20"/>
                <w:szCs w:val="20"/>
                <w:color w:val="auto"/>
              </w:rPr>
            </w:pPr>
            <w:r>
              <w:rPr>
                <w:rFonts w:ascii="Arial" w:cs="Arial" w:eastAsia="Arial" w:hAnsi="Arial"/>
                <w:sz w:val="18"/>
                <w:szCs w:val="18"/>
                <w:color w:val="auto"/>
                <w:w w:val="99"/>
              </w:rPr>
              <w:t>The following table summarizes the activity related to the Company’s unrecognized tax benefits: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12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Unrecognized tax benefits beginning balance</w:t>
            </w:r>
          </w:p>
        </w:tc>
        <w:tc>
          <w:tcPr>
            <w:tcW w:w="920" w:type="dxa"/>
            <w:vAlign w:val="bottom"/>
            <w:shd w:val="clear" w:color="auto" w:fill="CCEEFF"/>
          </w:tcPr>
          <w:p>
            <w:pPr>
              <w:jc w:val="right"/>
              <w:ind w:right="796"/>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8,855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7,778</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Gross increase for tax positions of prior years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decrease for tax positions of prior years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Gross increase for tax positions of current year</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777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r>
      <w:tr>
        <w:trPr>
          <w:trHeight w:val="216"/>
        </w:trPr>
        <w:tc>
          <w:tcPr>
            <w:tcW w:w="63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Lapse of statute of limitations</w:t>
            </w:r>
          </w:p>
        </w:tc>
        <w:tc>
          <w:tcPr>
            <w:tcW w:w="9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w:t>
            </w:r>
          </w:p>
        </w:tc>
      </w:tr>
      <w:tr>
        <w:trPr>
          <w:trHeight w:val="20"/>
        </w:trPr>
        <w:tc>
          <w:tcPr>
            <w:tcW w:w="1280" w:type="dxa"/>
            <w:vAlign w:val="bottom"/>
            <w:shd w:val="clear" w:color="auto" w:fill="CCEEFF"/>
          </w:tcPr>
          <w:p>
            <w:pPr>
              <w:spacing w:after="0" w:line="20" w:lineRule="exact"/>
              <w:rPr>
                <w:sz w:val="1"/>
                <w:szCs w:val="1"/>
                <w:color w:val="auto"/>
              </w:rPr>
            </w:pPr>
          </w:p>
        </w:tc>
        <w:tc>
          <w:tcPr>
            <w:tcW w:w="506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6340" w:type="dxa"/>
            <w:vAlign w:val="bottom"/>
            <w:gridSpan w:val="2"/>
          </w:tcPr>
          <w:p>
            <w:pPr>
              <w:ind w:left="180"/>
              <w:spacing w:after="0"/>
              <w:rPr>
                <w:sz w:val="20"/>
                <w:szCs w:val="20"/>
                <w:color w:val="auto"/>
              </w:rPr>
            </w:pPr>
            <w:r>
              <w:rPr>
                <w:rFonts w:ascii="Arial" w:cs="Arial" w:eastAsia="Arial" w:hAnsi="Arial"/>
                <w:sz w:val="18"/>
                <w:szCs w:val="18"/>
                <w:color w:val="auto"/>
              </w:rPr>
              <w:t>Total unrecognized tax benefits</w:t>
            </w:r>
          </w:p>
        </w:tc>
        <w:tc>
          <w:tcPr>
            <w:tcW w:w="920" w:type="dxa"/>
            <w:vAlign w:val="bottom"/>
          </w:tcPr>
          <w:p>
            <w:pPr>
              <w:jc w:val="right"/>
              <w:ind w:right="796"/>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10,542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9,676</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8,855</w:t>
            </w:r>
          </w:p>
        </w:tc>
      </w:tr>
      <w:tr>
        <w:trPr>
          <w:trHeight w:val="20"/>
        </w:trPr>
        <w:tc>
          <w:tcPr>
            <w:tcW w:w="12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unrecognized tax benefits, if recognized, would impact the income tax provision by $5.3 million, $4.9 million and $4.6 million as of December 31, 2022, 2021 and 2020, respectively. The remaining amount would result in the recognition of a corresponding deferred tax asset that is then offset by a full valuation allowance. As of December 31, 2022, the Company does not believe that its estimates, as otherwise provided for, on such tax positions will significantly increase or decrease within the next twelve months. The Company has elected to include interest and penalties as a component of income tax expense. The amounts were not material for the years ended December 31, 2022, 2021 and 2020.</w:t>
      </w:r>
    </w:p>
    <w:p>
      <w:pPr>
        <w:spacing w:after="0" w:line="17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files income tax returns in the United States, including various state jurisdictions. The Company’s subsidiaries file tax returns in various foreign jurisdictions. The tax years 2001 through 2021 remain open to examination by the major taxing jurisdictions in which the Company is subject to tax. The Company is also currently subject to tax audits in various jurisdictions. The Company believes that an adequate provision has been made for any adjustments that may result from tax examinations. However, the outcome of tax audits cannot be predicted with certainty. If any issues addressed in the Company's tax audits are resolved in a manner inconsistent with its expectations, the Company could be required to adjust its income tax provision in the period such resolution occurs.</w:t>
      </w:r>
    </w:p>
    <w:p>
      <w:pPr>
        <w:spacing w:after="0" w:line="19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December 31, 2022, the Company has undistributed earnings in certain foreign subsidiaries that the Company has indefinitely reinvested outside the United States. As a result, the Company has not provided for deferred tax liabilities on those earnings. The Company may be required to pay additional income taxes if the Company repatriates those earnings in the future.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Segment and Geographic Area Information</w:t>
      </w:r>
    </w:p>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ASC 280 Segment Reporting, operating segments are defined as components of an entity about which separate financial information is evaluated regularly by the chief operating decision maker in deciding how to allocate resources and in assessing performance. The Company operates in one segment and has only one reportable segment. The Company’s chief operating decision maker is the Chief Executive Officer, who makes operating decisions, assesses performance and allocates resources on a consolidated basis. All of the Company’s principal operations and decision-making functions are located in the United States.</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Revenue by geographic area, based on the customer's billing address,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292,291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252,428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229,484</w:t>
            </w: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Foreign</w:t>
            </w:r>
          </w:p>
        </w:tc>
        <w:tc>
          <w:tcPr>
            <w:tcW w:w="2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197,432</w:t>
            </w: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158,744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133,479</w:t>
            </w:r>
          </w:p>
        </w:tc>
      </w:tr>
      <w:tr>
        <w:trPr>
          <w:trHeight w:val="20"/>
        </w:trPr>
        <w:tc>
          <w:tcPr>
            <w:tcW w:w="36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489,723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411,172</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362,963</w:t>
            </w:r>
          </w:p>
        </w:tc>
      </w:tr>
      <w:tr>
        <w:trPr>
          <w:trHeight w:val="20"/>
        </w:trPr>
        <w:tc>
          <w:tcPr>
            <w:tcW w:w="368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7"/>
          <w:szCs w:val="17"/>
          <w:color w:val="auto"/>
        </w:rPr>
        <w:t>Long-lived assets, which consist of Property and equipment, net and Operating leases - right of use asset, by geographic area,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700" w:type="dxa"/>
            <w:vAlign w:val="bottom"/>
            <w:gridSpan w:val="3"/>
          </w:tcPr>
          <w:p>
            <w:pPr>
              <w:jc w:val="right"/>
              <w:spacing w:after="0"/>
              <w:rPr>
                <w:sz w:val="20"/>
                <w:szCs w:val="20"/>
                <w:color w:val="auto"/>
              </w:rPr>
            </w:pPr>
            <w:r>
              <w:rPr>
                <w:rFonts w:ascii="Arial" w:cs="Arial" w:eastAsia="Arial" w:hAnsi="Arial"/>
                <w:sz w:val="16"/>
                <w:szCs w:val="16"/>
                <w:b w:val="1"/>
                <w:bCs w:val="1"/>
                <w:color w:val="auto"/>
                <w:w w:val="71"/>
              </w:rPr>
              <w:t>thousands)</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58,775</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66,440</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Arial" w:cs="Arial" w:eastAsia="Arial" w:hAnsi="Arial"/>
                <w:sz w:val="18"/>
                <w:szCs w:val="18"/>
                <w:color w:val="auto"/>
              </w:rPr>
              <w:t>India</w:t>
            </w: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16,057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216"/>
        </w:trPr>
        <w:tc>
          <w:tcPr>
            <w:tcW w:w="1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Rest of world</w:t>
            </w:r>
          </w:p>
        </w:tc>
        <w:tc>
          <w:tcPr>
            <w:tcW w:w="49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20"/>
                <w:szCs w:val="20"/>
                <w:color w:val="auto"/>
              </w:rPr>
            </w:pPr>
            <w:r>
              <w:rPr>
                <w:rFonts w:ascii="Arial" w:cs="Arial" w:eastAsia="Arial" w:hAnsi="Arial"/>
                <w:sz w:val="18"/>
                <w:szCs w:val="18"/>
                <w:color w:val="auto"/>
              </w:rPr>
              <w:t>Total Long-lived Assets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81,180</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98,870</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NOTE 14.</w:t>
            </w:r>
          </w:p>
        </w:tc>
        <w:tc>
          <w:tcPr>
            <w:tcW w:w="49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Income Per Share</w:t>
            </w: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20" w:type="dxa"/>
            <w:vAlign w:val="bottom"/>
            <w:vMerge w:val="continue"/>
          </w:tcPr>
          <w:p>
            <w:pPr>
              <w:spacing w:after="0"/>
              <w:rPr>
                <w:sz w:val="24"/>
                <w:szCs w:val="24"/>
                <w:color w:val="auto"/>
              </w:rPr>
            </w:pPr>
          </w:p>
        </w:tc>
        <w:tc>
          <w:tcPr>
            <w:tcW w:w="4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80" w:type="dxa"/>
            <w:vAlign w:val="bottom"/>
            <w:gridSpan w:val="2"/>
          </w:tcPr>
          <w:p>
            <w:pPr>
              <w:ind w:left="420"/>
              <w:spacing w:after="0"/>
              <w:rPr>
                <w:sz w:val="20"/>
                <w:szCs w:val="20"/>
                <w:color w:val="auto"/>
              </w:rPr>
            </w:pPr>
            <w:r>
              <w:rPr>
                <w:rFonts w:ascii="Arial" w:cs="Arial" w:eastAsia="Arial" w:hAnsi="Arial"/>
                <w:sz w:val="18"/>
                <w:szCs w:val="18"/>
                <w:color w:val="auto"/>
                <w:w w:val="93"/>
              </w:rPr>
              <w:t>The computations for basic and diluted net income per share are as follows:</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gridSpan w:val="8"/>
          </w:tcPr>
          <w:p>
            <w:pPr>
              <w:jc w:val="right"/>
              <w:ind w:right="3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w w:val="94"/>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2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540" w:type="dxa"/>
            <w:vAlign w:val="bottom"/>
            <w:gridSpan w:val="8"/>
          </w:tcPr>
          <w:p>
            <w:pPr>
              <w:jc w:val="right"/>
              <w:spacing w:after="0"/>
              <w:rPr>
                <w:sz w:val="20"/>
                <w:szCs w:val="20"/>
                <w:color w:val="auto"/>
              </w:rPr>
            </w:pPr>
            <w:r>
              <w:rPr>
                <w:rFonts w:ascii="Arial" w:cs="Arial" w:eastAsia="Arial" w:hAnsi="Arial"/>
                <w:sz w:val="18"/>
                <w:szCs w:val="18"/>
                <w:b w:val="1"/>
                <w:bCs w:val="1"/>
                <w:color w:val="auto"/>
              </w:rPr>
              <w:t>(in thousands, except per share data)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960" w:type="dxa"/>
            <w:vAlign w:val="bottom"/>
          </w:tcPr>
          <w:p>
            <w:pPr>
              <w:spacing w:after="0"/>
              <w:rPr>
                <w:sz w:val="18"/>
                <w:szCs w:val="18"/>
                <w:color w:val="auto"/>
              </w:rPr>
            </w:pPr>
          </w:p>
        </w:tc>
        <w:tc>
          <w:tcPr>
            <w:tcW w:w="5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107,992</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70,960</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91,572</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Denominator:</w:t>
            </w:r>
          </w:p>
        </w:tc>
        <w:tc>
          <w:tcPr>
            <w:tcW w:w="4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180"/>
              <w:spacing w:after="0"/>
              <w:rPr>
                <w:sz w:val="20"/>
                <w:szCs w:val="20"/>
                <w:color w:val="auto"/>
              </w:rPr>
            </w:pPr>
            <w:r>
              <w:rPr>
                <w:rFonts w:ascii="Arial" w:cs="Arial" w:eastAsia="Arial" w:hAnsi="Arial"/>
                <w:sz w:val="18"/>
                <w:szCs w:val="18"/>
                <w:color w:val="auto"/>
              </w:rPr>
              <w:t>Basic weighted average shares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38,453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39,030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39,167</w:t>
            </w:r>
          </w:p>
        </w:tc>
        <w:tc>
          <w:tcPr>
            <w:tcW w:w="0" w:type="dxa"/>
            <w:vAlign w:val="bottom"/>
          </w:tcPr>
          <w:p>
            <w:pPr>
              <w:spacing w:after="0"/>
              <w:rPr>
                <w:sz w:val="1"/>
                <w:szCs w:val="1"/>
                <w:color w:val="auto"/>
              </w:rPr>
            </w:pPr>
          </w:p>
        </w:tc>
      </w:tr>
      <w:tr>
        <w:trPr>
          <w:trHeight w:val="216"/>
        </w:trPr>
        <w:tc>
          <w:tcPr>
            <w:tcW w:w="6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Effect of potentially dilutive shares:</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2"/>
          </w:tcPr>
          <w:p>
            <w:pPr>
              <w:ind w:left="500"/>
              <w:spacing w:after="0"/>
              <w:rPr>
                <w:sz w:val="20"/>
                <w:szCs w:val="20"/>
                <w:color w:val="auto"/>
              </w:rPr>
            </w:pPr>
            <w:r>
              <w:rPr>
                <w:rFonts w:ascii="Arial" w:cs="Arial" w:eastAsia="Arial" w:hAnsi="Arial"/>
                <w:sz w:val="18"/>
                <w:szCs w:val="18"/>
                <w:color w:val="auto"/>
              </w:rPr>
              <w:t>Stock options</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672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30"/>
        </w:trPr>
        <w:tc>
          <w:tcPr>
            <w:tcW w:w="60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Restricted stock units</w:t>
            </w: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6080" w:type="dxa"/>
            <w:vAlign w:val="bottom"/>
            <w:gridSpan w:val="2"/>
          </w:tcPr>
          <w:p>
            <w:pPr>
              <w:ind w:left="500"/>
              <w:spacing w:after="0"/>
              <w:rPr>
                <w:sz w:val="20"/>
                <w:szCs w:val="20"/>
                <w:color w:val="auto"/>
              </w:rPr>
            </w:pPr>
            <w:r>
              <w:rPr>
                <w:rFonts w:ascii="Arial" w:cs="Arial" w:eastAsia="Arial" w:hAnsi="Arial"/>
                <w:sz w:val="18"/>
                <w:szCs w:val="18"/>
                <w:color w:val="auto"/>
              </w:rPr>
              <w:t>Employee stock purchase plan</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08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income per share:</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49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w:t>
            </w: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1.82</w:t>
            </w:r>
          </w:p>
        </w:tc>
        <w:tc>
          <w:tcPr>
            <w:tcW w:w="6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0"/>
        </w:trPr>
        <w:tc>
          <w:tcPr>
            <w:tcW w:w="1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4960" w:type="dxa"/>
            <w:vAlign w:val="bottom"/>
          </w:tcPr>
          <w:p>
            <w:pPr>
              <w:spacing w:after="0"/>
              <w:rPr>
                <w:sz w:val="20"/>
                <w:szCs w:val="20"/>
                <w:color w:val="auto"/>
              </w:rPr>
            </w:pPr>
          </w:p>
        </w:tc>
        <w:tc>
          <w:tcPr>
            <w:tcW w:w="56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w:t>
            </w: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1"/>
              <w:spacing w:after="0"/>
              <w:rPr>
                <w:sz w:val="20"/>
                <w:szCs w:val="20"/>
                <w:color w:val="auto"/>
              </w:rPr>
            </w:pPr>
            <w:r>
              <w:rPr>
                <w:rFonts w:ascii="Arial" w:cs="Arial" w:eastAsia="Arial" w:hAnsi="Arial"/>
                <w:sz w:val="18"/>
                <w:szCs w:val="18"/>
                <w:color w:val="auto"/>
              </w:rPr>
              <w:t>1.77</w:t>
            </w:r>
          </w:p>
        </w:tc>
        <w:tc>
          <w:tcPr>
            <w:tcW w:w="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20"/>
        <w:spacing w:after="0"/>
        <w:rPr>
          <w:sz w:val="20"/>
          <w:szCs w:val="20"/>
          <w:color w:val="auto"/>
        </w:rPr>
      </w:pPr>
      <w:r>
        <w:rPr>
          <w:rFonts w:ascii="Arial" w:cs="Arial" w:eastAsia="Arial" w:hAnsi="Arial"/>
          <w:sz w:val="17"/>
          <w:szCs w:val="17"/>
          <w:color w:val="auto"/>
        </w:rPr>
        <w:t>Potentially dilutive shares not included in the calculation of diluted net income per share because doing so would be anti-dilutive are as follows:</w:t>
      </w:r>
    </w:p>
    <w:p>
      <w:pPr>
        <w:spacing w:after="0" w:line="233" w:lineRule="exact"/>
        <w:rPr>
          <w:sz w:val="20"/>
          <w:szCs w:val="20"/>
          <w:color w:val="auto"/>
        </w:rPr>
      </w:pPr>
    </w:p>
    <w:p>
      <w:pPr>
        <w:ind w:left="772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3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ind w:right="130"/>
              <w:spacing w:after="0"/>
              <w:rPr>
                <w:sz w:val="20"/>
                <w:szCs w:val="20"/>
                <w:color w:val="auto"/>
              </w:rPr>
            </w:pPr>
            <w:r>
              <w:rPr>
                <w:rFonts w:ascii="Arial" w:cs="Arial" w:eastAsia="Arial" w:hAnsi="Arial"/>
                <w:sz w:val="18"/>
                <w:szCs w:val="18"/>
                <w:b w:val="1"/>
                <w:bCs w:val="1"/>
                <w:color w:val="auto"/>
                <w:w w:val="98"/>
              </w:rPr>
              <w:t>(in thousands)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options</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w:t>
            </w: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color w:val="auto"/>
              </w:rPr>
              <w:t>Restricted stock units</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9"/>
                <w:szCs w:val="19"/>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61</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0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09"/>
        </w:trPr>
        <w:tc>
          <w:tcPr>
            <w:tcW w:w="7380" w:type="dxa"/>
            <w:vAlign w:val="bottom"/>
            <w:gridSpan w:val="2"/>
          </w:tcPr>
          <w:p>
            <w:pPr>
              <w:spacing w:after="0"/>
              <w:rPr>
                <w:sz w:val="20"/>
                <w:szCs w:val="20"/>
                <w:color w:val="auto"/>
              </w:rPr>
            </w:pPr>
            <w:r>
              <w:rPr>
                <w:rFonts w:ascii="Arial" w:cs="Arial" w:eastAsia="Arial" w:hAnsi="Arial"/>
                <w:sz w:val="18"/>
                <w:szCs w:val="18"/>
                <w:color w:val="auto"/>
              </w:rPr>
              <w:t>Total anti-dilutive shares</w:t>
            </w:r>
          </w:p>
        </w:tc>
        <w:tc>
          <w:tcPr>
            <w:tcW w:w="400" w:type="dxa"/>
            <w:vAlign w:val="bottom"/>
          </w:tcPr>
          <w:p>
            <w:pPr>
              <w:jc w:val="right"/>
              <w:spacing w:after="0"/>
              <w:rPr>
                <w:sz w:val="20"/>
                <w:szCs w:val="20"/>
                <w:color w:val="auto"/>
              </w:rPr>
            </w:pPr>
            <w:r>
              <w:rPr>
                <w:rFonts w:ascii="Arial" w:cs="Arial" w:eastAsia="Arial" w:hAnsi="Arial"/>
                <w:sz w:val="18"/>
                <w:szCs w:val="18"/>
                <w:color w:val="auto"/>
              </w:rPr>
              <w:t>781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595</w:t>
            </w: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584</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December 31,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2022, our Chief Executive Officer and Chief Financial Officer concluded that, as of such date, our disclosure controls and procedures were effective at the reasonable assurance level.</w:t>
      </w:r>
    </w:p>
    <w:p>
      <w:pPr>
        <w:spacing w:after="0" w:line="17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spacing w:after="0" w:line="17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internal control over financial reporting as of December 31, 2022 based on the criteria established in the 2013 Internal Control - Integrated Framework issued by the Committee of Sponsoring Organizations of the Treadway Commission, or COSO. Based on our evaluation under the criteria set forth in the 2013 Internal Control - Integrated Framework issued by the COSO, our management concluded our internal control over financial reporting was effective as of December 31, 2022.</w:t>
      </w:r>
    </w:p>
    <w:p>
      <w:pPr>
        <w:spacing w:after="0" w:line="188"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December 31, 2022 has been audited by Grant Thornton LLP, an independent registered public accounting firm, as stated in its report, which is included in Item 8 of this Annual Report on Form 10-K.</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fourth quarter ended December 31, 2022 that has materially affected, or is reasonably likely to materially affect, our internal control over financial reporting.</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6"/>
          <w:szCs w:val="16"/>
          <w:b w:val="1"/>
          <w:bCs w:val="1"/>
          <w:color w:val="auto"/>
        </w:rPr>
        <w:t>Disclosure Regarding Foreign Jurisdictions that Prevent Inspections</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Except as set forth below, the information required by this item is incorporated by reference to our Proxy Statement for our 2023 Annual Meeting of Stockholders to be filed with the SEC within 120 days after the end of the fiscal year ended December 31, 2022.</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Codes of Business Conduct and Ethics</w:t>
      </w:r>
    </w:p>
    <w:p>
      <w:pPr>
        <w:spacing w:after="0" w:line="22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Board of Directors has adopted a code of business conduct and ethics that applies to all of our employees, officers and directors, including our Chief Executive Officer, Chief Financial Officer and other executive and senior financial officers. The code of business conduct and ethics is available on our website. We expect that, to the extent required by law, any amendments to the code, or any waivers of its requirements, will be disclosed on our website. We intend to disclose any waiver to the provisions of the code of business conduct and ethics that applies specifically to directors or executive officers by filing such information on a Current Report on Form 8-K with the SEC, to the extent such filing is required by the NASDAQ Stock Market's listing requirements; otherwise, we will disclose such waiver by posting such information on our website.</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2023 Annual Meeting of Stockholders to be filed with the SEC within 120 days after the end of the fiscal year ended December 31, 2022.</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information required by this item with respect to Item 403 of Regulation S-K regarding security ownership of certain beneficial owners and management is incorporated by reference to our Proxy Statement for our 2023 Annual Meeting of Stockholders to be filed with the SEC within 120 days after the end of the fiscal year ended December 31, 2022. For the information required by this item with respect to Item 201(d) of Regulation S-K regarding securities authorized for issuance under equity compensation plans, see “Market for Registrant’s Common Equity, Related Stockholder Matters and Issuer Purchases of Equity Securities—Securities Authorized for Issuance under Equity Compensation Plans” in Item 5 of this Annual Report on Form 10-K.</w:t>
      </w:r>
    </w:p>
    <w:p>
      <w:pPr>
        <w:spacing w:after="0" w:line="15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2023 Annual Meeting of Stockholders to be filed with the SEC within 120 days after the end of the fiscal year ended December 31, 2022.</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information required by this item is incorporated by reference to our Proxy Statement for our 2023 Annual Meeting of Stockholders to be filed with the SEC within 120 days after the end of the fiscal year ended December 31, 2022.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229"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(a)(1) Financial Statements - The financial statements filed as part of this Annual Report on Form 10-K are listed on the Index to Consolidated Financial Statements in Item 8.</w:t>
      </w:r>
    </w:p>
    <w:p>
      <w:pPr>
        <w:spacing w:after="0" w:line="170"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(a)(2) Financial Statement Schedules - All financial statement schedules have been omitted since the required information is not applicable or has been included in the consolidated financial statements and accompanying notes included in this Form 10-K.</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9"/>
              </w:rPr>
              <w:t>Exhibit</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Incorporated by Reference</w:t>
            </w: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7"/>
              </w:rPr>
              <w:t>Filed</w:t>
            </w:r>
          </w:p>
        </w:tc>
        <w:tc>
          <w:tcPr>
            <w:tcW w:w="1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tcPr>
          <w:p>
            <w:pPr>
              <w:jc w:val="center"/>
              <w:spacing w:after="0" w:line="195" w:lineRule="exact"/>
              <w:rPr>
                <w:sz w:val="20"/>
                <w:szCs w:val="20"/>
                <w:color w:val="auto"/>
              </w:rPr>
            </w:pPr>
            <w:r>
              <w:rPr>
                <w:rFonts w:ascii="Arial" w:cs="Arial" w:eastAsia="Arial" w:hAnsi="Arial"/>
                <w:sz w:val="18"/>
                <w:szCs w:val="18"/>
                <w:color w:val="auto"/>
                <w:w w:val="99"/>
              </w:rPr>
              <w:t>Exhibit</w:t>
            </w: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5720" w:type="dxa"/>
            <w:vAlign w:val="bottom"/>
            <w:tcBorders>
              <w:bottom w:val="single" w:sz="8" w:color="auto"/>
            </w:tcBorders>
            <w:gridSpan w:val="17"/>
          </w:tcPr>
          <w:p>
            <w:pPr>
              <w:ind w:left="160"/>
              <w:spacing w:after="0"/>
              <w:rPr>
                <w:sz w:val="20"/>
                <w:szCs w:val="20"/>
                <w:color w:val="auto"/>
              </w:rPr>
            </w:pPr>
            <w:r>
              <w:rPr>
                <w:rFonts w:ascii="Arial" w:cs="Arial" w:eastAsia="Arial" w:hAnsi="Arial"/>
                <w:sz w:val="18"/>
                <w:szCs w:val="18"/>
                <w:color w:val="auto"/>
              </w:rPr>
              <w:t>Description</w:t>
            </w: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Herewith</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Form</w:t>
            </w: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File No.</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411"/>
        </w:trPr>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200" w:type="dxa"/>
            <w:vAlign w:val="bottom"/>
          </w:tcPr>
          <w:p>
            <w:pPr>
              <w:spacing w:after="0"/>
              <w:rPr>
                <w:sz w:val="24"/>
                <w:szCs w:val="24"/>
                <w:color w:val="auto"/>
              </w:rPr>
            </w:pPr>
          </w:p>
        </w:tc>
        <w:tc>
          <w:tcPr>
            <w:tcW w:w="5520" w:type="dxa"/>
            <w:vAlign w:val="bottom"/>
            <w:gridSpan w:val="16"/>
            <w:vMerge w:val="restart"/>
          </w:tcPr>
          <w:p>
            <w:pPr>
              <w:spacing w:after="0"/>
              <w:rPr>
                <w:rFonts w:ascii="Arial" w:cs="Arial" w:eastAsia="Arial" w:hAnsi="Arial"/>
                <w:sz w:val="18"/>
                <w:szCs w:val="18"/>
                <w:color w:val="0000EE"/>
              </w:rPr>
            </w:pPr>
            <w:hyperlink r:id="rId97">
              <w:r>
                <w:rPr>
                  <w:rFonts w:ascii="Arial" w:cs="Arial" w:eastAsia="Arial" w:hAnsi="Arial"/>
                  <w:sz w:val="18"/>
                  <w:szCs w:val="18"/>
                  <w:color w:val="0000EE"/>
                </w:rPr>
                <w:t>Amended and Restated Certificate of Incorporation of Qualys, Inc.</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54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w w:val="96"/>
              </w:rPr>
              <w:t>333-182027   3.3</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September 12,</w:t>
            </w:r>
          </w:p>
        </w:tc>
        <w:tc>
          <w:tcPr>
            <w:tcW w:w="0" w:type="dxa"/>
            <w:vAlign w:val="bottom"/>
          </w:tcPr>
          <w:p>
            <w:pPr>
              <w:spacing w:after="0"/>
              <w:rPr>
                <w:sz w:val="1"/>
                <w:szCs w:val="1"/>
                <w:color w:val="auto"/>
              </w:rPr>
            </w:pPr>
          </w:p>
        </w:tc>
      </w:tr>
      <w:tr>
        <w:trPr>
          <w:trHeight w:val="82"/>
        </w:trPr>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520" w:type="dxa"/>
            <w:vAlign w:val="bottom"/>
            <w:gridSpan w:val="16"/>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120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200" w:type="dxa"/>
            <w:vAlign w:val="bottom"/>
            <w:tcBorders>
              <w:top w:val="single" w:sz="8" w:color="0000EE"/>
            </w:tcBorders>
          </w:tcPr>
          <w:p>
            <w:pPr>
              <w:spacing w:after="0"/>
              <w:rPr>
                <w:sz w:val="11"/>
                <w:szCs w:val="11"/>
                <w:color w:val="auto"/>
              </w:rPr>
            </w:pPr>
          </w:p>
        </w:tc>
        <w:tc>
          <w:tcPr>
            <w:tcW w:w="900" w:type="dxa"/>
            <w:vAlign w:val="bottom"/>
            <w:tcBorders>
              <w:top w:val="single" w:sz="8" w:color="0000EE"/>
            </w:tcBorders>
          </w:tcPr>
          <w:p>
            <w:pPr>
              <w:spacing w:after="0"/>
              <w:rPr>
                <w:sz w:val="11"/>
                <w:szCs w:val="11"/>
                <w:color w:val="auto"/>
              </w:rPr>
            </w:pPr>
          </w:p>
        </w:tc>
        <w:tc>
          <w:tcPr>
            <w:tcW w:w="300" w:type="dxa"/>
            <w:vAlign w:val="bottom"/>
            <w:tcBorders>
              <w:top w:val="single" w:sz="8" w:color="0000EE"/>
            </w:tcBorders>
          </w:tcPr>
          <w:p>
            <w:pPr>
              <w:spacing w:after="0"/>
              <w:rPr>
                <w:sz w:val="11"/>
                <w:szCs w:val="11"/>
                <w:color w:val="auto"/>
              </w:rPr>
            </w:pPr>
          </w:p>
        </w:tc>
        <w:tc>
          <w:tcPr>
            <w:tcW w:w="4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24"/>
                <w:szCs w:val="24"/>
                <w:color w:val="auto"/>
              </w:rPr>
            </w:pPr>
          </w:p>
        </w:tc>
        <w:tc>
          <w:tcPr>
            <w:tcW w:w="5520" w:type="dxa"/>
            <w:vAlign w:val="bottom"/>
            <w:gridSpan w:val="16"/>
            <w:vMerge w:val="restart"/>
          </w:tcPr>
          <w:p>
            <w:pPr>
              <w:spacing w:after="0"/>
              <w:rPr>
                <w:rFonts w:ascii="Arial" w:cs="Arial" w:eastAsia="Arial" w:hAnsi="Arial"/>
                <w:sz w:val="18"/>
                <w:szCs w:val="18"/>
                <w:color w:val="0000EE"/>
              </w:rPr>
            </w:pPr>
            <w:hyperlink r:id="rId98">
              <w:r>
                <w:rPr>
                  <w:rFonts w:ascii="Arial" w:cs="Arial" w:eastAsia="Arial" w:hAnsi="Arial"/>
                  <w:sz w:val="18"/>
                  <w:szCs w:val="18"/>
                  <w:color w:val="0000EE"/>
                </w:rPr>
                <w:t>Amended and Restated Bylaws of Qualys, Inc.</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001-35662</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87"/>
              </w:rPr>
              <w:t>3.1</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November 2,</w:t>
            </w:r>
          </w:p>
        </w:tc>
        <w:tc>
          <w:tcPr>
            <w:tcW w:w="0" w:type="dxa"/>
            <w:vAlign w:val="bottom"/>
          </w:tcPr>
          <w:p>
            <w:pPr>
              <w:spacing w:after="0"/>
              <w:rPr>
                <w:sz w:val="1"/>
                <w:szCs w:val="1"/>
                <w:color w:val="auto"/>
              </w:rPr>
            </w:pPr>
          </w:p>
        </w:tc>
      </w:tr>
      <w:tr>
        <w:trPr>
          <w:trHeight w:val="82"/>
        </w:trPr>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520" w:type="dxa"/>
            <w:vAlign w:val="bottom"/>
            <w:gridSpan w:val="16"/>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128"/>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120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180" w:type="dxa"/>
            <w:vAlign w:val="bottom"/>
            <w:tcBorders>
              <w:top w:val="single" w:sz="8" w:color="0000EE"/>
            </w:tcBorders>
          </w:tcPr>
          <w:p>
            <w:pPr>
              <w:spacing w:after="0"/>
              <w:rPr>
                <w:sz w:val="11"/>
                <w:szCs w:val="11"/>
                <w:color w:val="auto"/>
              </w:rPr>
            </w:pPr>
          </w:p>
        </w:tc>
        <w:tc>
          <w:tcPr>
            <w:tcW w:w="700" w:type="dxa"/>
            <w:vAlign w:val="bottom"/>
            <w:tcBorders>
              <w:top w:val="single" w:sz="8" w:color="0000EE"/>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18"/>
        </w:trPr>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24"/>
                <w:szCs w:val="24"/>
                <w:color w:val="auto"/>
              </w:rPr>
            </w:pPr>
          </w:p>
        </w:tc>
        <w:tc>
          <w:tcPr>
            <w:tcW w:w="5520" w:type="dxa"/>
            <w:vAlign w:val="bottom"/>
            <w:gridSpan w:val="16"/>
            <w:vMerge w:val="restart"/>
          </w:tcPr>
          <w:p>
            <w:pPr>
              <w:spacing w:after="0"/>
              <w:rPr>
                <w:rFonts w:ascii="Arial" w:cs="Arial" w:eastAsia="Arial" w:hAnsi="Arial"/>
                <w:sz w:val="18"/>
                <w:szCs w:val="18"/>
                <w:color w:val="0000EE"/>
              </w:rPr>
            </w:pPr>
            <w:hyperlink r:id="rId99">
              <w:r>
                <w:rPr>
                  <w:rFonts w:ascii="Arial" w:cs="Arial" w:eastAsia="Arial" w:hAnsi="Arial"/>
                  <w:sz w:val="18"/>
                  <w:szCs w:val="18"/>
                  <w:color w:val="0000EE"/>
                </w:rPr>
                <w:t>Form of common stock certificate.</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3"/>
              </w:rPr>
              <w:t>S-1/A</w:t>
            </w:r>
          </w:p>
        </w:tc>
        <w:tc>
          <w:tcPr>
            <w:tcW w:w="154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w w:val="96"/>
              </w:rPr>
              <w:t>333-182027   4.1</w:t>
            </w: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September 12,</w:t>
            </w:r>
          </w:p>
        </w:tc>
        <w:tc>
          <w:tcPr>
            <w:tcW w:w="0" w:type="dxa"/>
            <w:vAlign w:val="bottom"/>
          </w:tcPr>
          <w:p>
            <w:pPr>
              <w:spacing w:after="0"/>
              <w:rPr>
                <w:sz w:val="1"/>
                <w:szCs w:val="1"/>
                <w:color w:val="auto"/>
              </w:rPr>
            </w:pPr>
          </w:p>
        </w:tc>
      </w:tr>
      <w:tr>
        <w:trPr>
          <w:trHeight w:val="82"/>
        </w:trPr>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520" w:type="dxa"/>
            <w:vAlign w:val="bottom"/>
            <w:gridSpan w:val="16"/>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Borders>
              <w:top w:val="single" w:sz="8" w:color="0000EE"/>
            </w:tcBorders>
          </w:tcPr>
          <w:p>
            <w:pPr>
              <w:spacing w:after="0"/>
              <w:rPr>
                <w:sz w:val="11"/>
                <w:szCs w:val="11"/>
                <w:color w:val="auto"/>
              </w:rPr>
            </w:pPr>
          </w:p>
        </w:tc>
        <w:tc>
          <w:tcPr>
            <w:tcW w:w="1200" w:type="dxa"/>
            <w:vAlign w:val="bottom"/>
            <w:tcBorders>
              <w:top w:val="single" w:sz="8" w:color="0000EE"/>
            </w:tcBorders>
          </w:tcPr>
          <w:p>
            <w:pPr>
              <w:spacing w:after="0"/>
              <w:rPr>
                <w:sz w:val="11"/>
                <w:szCs w:val="11"/>
                <w:color w:val="auto"/>
              </w:rPr>
            </w:pPr>
          </w:p>
        </w:tc>
        <w:tc>
          <w:tcPr>
            <w:tcW w:w="880" w:type="dxa"/>
            <w:vAlign w:val="bottom"/>
            <w:tcBorders>
              <w:top w:val="single" w:sz="8" w:color="0000EE"/>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91"/>
        </w:trPr>
        <w:tc>
          <w:tcPr>
            <w:tcW w:w="8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24"/>
                <w:szCs w:val="24"/>
                <w:color w:val="auto"/>
              </w:rPr>
            </w:pPr>
          </w:p>
        </w:tc>
        <w:tc>
          <w:tcPr>
            <w:tcW w:w="2660" w:type="dxa"/>
            <w:vAlign w:val="bottom"/>
            <w:tcBorders>
              <w:bottom w:val="single" w:sz="8" w:color="0000EE"/>
            </w:tcBorders>
            <w:gridSpan w:val="4"/>
          </w:tcPr>
          <w:p>
            <w:pPr>
              <w:spacing w:after="0"/>
              <w:rPr>
                <w:rFonts w:ascii="Arial" w:cs="Arial" w:eastAsia="Arial" w:hAnsi="Arial"/>
                <w:sz w:val="18"/>
                <w:szCs w:val="18"/>
                <w:color w:val="0000EE"/>
                <w:w w:val="90"/>
              </w:rPr>
            </w:pPr>
            <w:hyperlink r:id="rId100">
              <w:r>
                <w:rPr>
                  <w:rFonts w:ascii="Arial" w:cs="Arial" w:eastAsia="Arial" w:hAnsi="Arial"/>
                  <w:sz w:val="18"/>
                  <w:szCs w:val="18"/>
                  <w:color w:val="0000EE"/>
                  <w:w w:val="90"/>
                </w:rPr>
                <w:t>Description of Registrant’s securities</w:t>
              </w:r>
            </w:hyperlink>
          </w:p>
        </w:tc>
        <w:tc>
          <w:tcPr>
            <w:tcW w:w="2860" w:type="dxa"/>
            <w:vAlign w:val="bottom"/>
            <w:gridSpan w:val="12"/>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001-35662</w:t>
            </w:r>
          </w:p>
        </w:tc>
        <w:tc>
          <w:tcPr>
            <w:tcW w:w="6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February 21, 2020</w:t>
            </w:r>
          </w:p>
        </w:tc>
        <w:tc>
          <w:tcPr>
            <w:tcW w:w="0" w:type="dxa"/>
            <w:vAlign w:val="bottom"/>
          </w:tcPr>
          <w:p>
            <w:pPr>
              <w:spacing w:after="0"/>
              <w:rPr>
                <w:sz w:val="1"/>
                <w:szCs w:val="1"/>
                <w:color w:val="auto"/>
              </w:rPr>
            </w:pPr>
          </w:p>
        </w:tc>
      </w:tr>
      <w:tr>
        <w:trPr>
          <w:trHeight w:val="412"/>
        </w:trPr>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5"/>
              </w:rPr>
              <w:t>10.1*</w:t>
            </w:r>
          </w:p>
        </w:tc>
        <w:tc>
          <w:tcPr>
            <w:tcW w:w="200" w:type="dxa"/>
            <w:vAlign w:val="bottom"/>
          </w:tcPr>
          <w:p>
            <w:pPr>
              <w:spacing w:after="0"/>
              <w:rPr>
                <w:sz w:val="24"/>
                <w:szCs w:val="24"/>
                <w:color w:val="auto"/>
              </w:rPr>
            </w:pPr>
          </w:p>
        </w:tc>
        <w:tc>
          <w:tcPr>
            <w:tcW w:w="5520" w:type="dxa"/>
            <w:vAlign w:val="bottom"/>
            <w:gridSpan w:val="16"/>
          </w:tcPr>
          <w:p>
            <w:pPr>
              <w:spacing w:after="0"/>
              <w:rPr>
                <w:rFonts w:ascii="Arial" w:cs="Arial" w:eastAsia="Arial" w:hAnsi="Arial"/>
                <w:sz w:val="18"/>
                <w:szCs w:val="18"/>
                <w:color w:val="0000EE"/>
                <w:w w:val="99"/>
              </w:rPr>
            </w:pPr>
            <w:hyperlink r:id="rId101">
              <w:r>
                <w:rPr>
                  <w:rFonts w:ascii="Arial" w:cs="Arial" w:eastAsia="Arial" w:hAnsi="Arial"/>
                  <w:sz w:val="18"/>
                  <w:szCs w:val="18"/>
                  <w:color w:val="0000EE"/>
                  <w:w w:val="99"/>
                </w:rPr>
                <w:t>2000 Equity Incentive Plan, as amended, and the form of stock option</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333-182027</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6"/>
              </w:rPr>
              <w:t>June 8, 2012</w:t>
            </w: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00" w:type="dxa"/>
            <w:vAlign w:val="bottom"/>
            <w:tcBorders>
              <w:top w:val="single" w:sz="8" w:color="0000EE"/>
            </w:tcBorders>
            <w:gridSpan w:val="2"/>
            <w:vMerge w:val="restart"/>
          </w:tcPr>
          <w:p>
            <w:pPr>
              <w:spacing w:after="0" w:line="196" w:lineRule="exact"/>
              <w:rPr>
                <w:rFonts w:ascii="Arial" w:cs="Arial" w:eastAsia="Arial" w:hAnsi="Arial"/>
                <w:sz w:val="18"/>
                <w:szCs w:val="18"/>
                <w:color w:val="0000EE"/>
                <w:w w:val="86"/>
              </w:rPr>
            </w:pPr>
            <w:hyperlink r:id="rId101">
              <w:r>
                <w:rPr>
                  <w:rFonts w:ascii="Arial" w:cs="Arial" w:eastAsia="Arial" w:hAnsi="Arial"/>
                  <w:sz w:val="18"/>
                  <w:szCs w:val="18"/>
                  <w:color w:val="0000EE"/>
                  <w:w w:val="86"/>
                </w:rPr>
                <w:t>agreement thereunder.</w:t>
              </w:r>
            </w:hyperlink>
          </w:p>
        </w:tc>
        <w:tc>
          <w:tcPr>
            <w:tcW w:w="3420" w:type="dxa"/>
            <w:vAlign w:val="bottom"/>
            <w:tcBorders>
              <w:top w:val="single" w:sz="8" w:color="0000EE"/>
            </w:tcBorders>
            <w:gridSpan w:val="8"/>
            <w:vMerge w:val="restart"/>
          </w:tcPr>
          <w:p>
            <w:pPr>
              <w:spacing w:after="0"/>
              <w:rPr>
                <w:sz w:val="11"/>
                <w:szCs w:val="11"/>
                <w:color w:val="auto"/>
              </w:rPr>
            </w:pPr>
          </w:p>
        </w:tc>
        <w:tc>
          <w:tcPr>
            <w:tcW w:w="500" w:type="dxa"/>
            <w:vAlign w:val="bottom"/>
            <w:gridSpan w:val="6"/>
            <w:vMerge w:val="restart"/>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0" w:type="dxa"/>
            <w:vAlign w:val="bottom"/>
            <w:tcBorders>
              <w:bottom w:val="single" w:sz="8" w:color="0000EE"/>
            </w:tcBorders>
            <w:gridSpan w:val="2"/>
            <w:vMerge w:val="continue"/>
          </w:tcPr>
          <w:p>
            <w:pPr>
              <w:spacing w:after="0"/>
              <w:rPr>
                <w:sz w:val="5"/>
                <w:szCs w:val="5"/>
                <w:color w:val="auto"/>
              </w:rPr>
            </w:pPr>
          </w:p>
        </w:tc>
        <w:tc>
          <w:tcPr>
            <w:tcW w:w="3420" w:type="dxa"/>
            <w:vAlign w:val="bottom"/>
            <w:gridSpan w:val="8"/>
            <w:vMerge w:val="continue"/>
          </w:tcPr>
          <w:p>
            <w:pPr>
              <w:spacing w:after="0"/>
              <w:rPr>
                <w:sz w:val="5"/>
                <w:szCs w:val="5"/>
                <w:color w:val="auto"/>
              </w:rPr>
            </w:pPr>
          </w:p>
        </w:tc>
        <w:tc>
          <w:tcPr>
            <w:tcW w:w="50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200" w:type="dxa"/>
            <w:vAlign w:val="bottom"/>
          </w:tcPr>
          <w:p>
            <w:pPr>
              <w:spacing w:after="0"/>
              <w:rPr>
                <w:sz w:val="24"/>
                <w:szCs w:val="24"/>
                <w:color w:val="auto"/>
              </w:rPr>
            </w:pPr>
          </w:p>
        </w:tc>
        <w:tc>
          <w:tcPr>
            <w:tcW w:w="5520" w:type="dxa"/>
            <w:vAlign w:val="bottom"/>
            <w:gridSpan w:val="16"/>
          </w:tcPr>
          <w:p>
            <w:pPr>
              <w:spacing w:after="0"/>
              <w:rPr>
                <w:rFonts w:ascii="Arial" w:cs="Arial" w:eastAsia="Arial" w:hAnsi="Arial"/>
                <w:sz w:val="18"/>
                <w:szCs w:val="18"/>
                <w:color w:val="0000EE"/>
                <w:w w:val="89"/>
              </w:rPr>
            </w:pPr>
            <w:hyperlink r:id="rId102">
              <w:r>
                <w:rPr>
                  <w:rFonts w:ascii="Arial" w:cs="Arial" w:eastAsia="Arial" w:hAnsi="Arial"/>
                  <w:sz w:val="18"/>
                  <w:szCs w:val="18"/>
                  <w:color w:val="0000EE"/>
                  <w:w w:val="89"/>
                </w:rPr>
                <w:t>Qualys, Inc. 2012 Equity Incentive Plan, as amended, restated and extended.</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001-35662</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June 10, 2022</w:t>
            </w: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5"/>
              </w:rPr>
              <w:t>10.3*</w:t>
            </w:r>
          </w:p>
        </w:tc>
        <w:tc>
          <w:tcPr>
            <w:tcW w:w="200" w:type="dxa"/>
            <w:vAlign w:val="bottom"/>
          </w:tcPr>
          <w:p>
            <w:pPr>
              <w:spacing w:after="0"/>
              <w:rPr>
                <w:sz w:val="24"/>
                <w:szCs w:val="24"/>
                <w:color w:val="auto"/>
              </w:rPr>
            </w:pPr>
          </w:p>
        </w:tc>
        <w:tc>
          <w:tcPr>
            <w:tcW w:w="5500" w:type="dxa"/>
            <w:vAlign w:val="bottom"/>
            <w:tcBorders>
              <w:top w:val="single" w:sz="8" w:color="0000EE"/>
            </w:tcBorders>
            <w:gridSpan w:val="15"/>
          </w:tcPr>
          <w:p>
            <w:pPr>
              <w:spacing w:after="0"/>
              <w:rPr>
                <w:rFonts w:ascii="Arial" w:cs="Arial" w:eastAsia="Arial" w:hAnsi="Arial"/>
                <w:sz w:val="18"/>
                <w:szCs w:val="18"/>
                <w:color w:val="0000EE"/>
              </w:rPr>
            </w:pPr>
            <w:hyperlink r:id="rId103">
              <w:r>
                <w:rPr>
                  <w:rFonts w:ascii="Arial" w:cs="Arial" w:eastAsia="Arial" w:hAnsi="Arial"/>
                  <w:sz w:val="18"/>
                  <w:szCs w:val="18"/>
                  <w:color w:val="0000EE"/>
                </w:rPr>
                <w:t>Qualys, Inc. 2021 Employee Stock Purchase Plan</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001-35662</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360" w:type="dxa"/>
            <w:vAlign w:val="bottom"/>
          </w:tcPr>
          <w:p>
            <w:pPr>
              <w:jc w:val="center"/>
              <w:spacing w:after="0"/>
              <w:rPr>
                <w:sz w:val="20"/>
                <w:szCs w:val="20"/>
                <w:color w:val="auto"/>
              </w:rPr>
            </w:pPr>
            <w:r>
              <w:rPr>
                <w:rFonts w:ascii="Arial" w:cs="Arial" w:eastAsia="Arial" w:hAnsi="Arial"/>
                <w:sz w:val="18"/>
                <w:szCs w:val="18"/>
                <w:color w:val="auto"/>
                <w:w w:val="87"/>
              </w:rPr>
              <w:t>June 11, 2021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60" w:type="dxa"/>
            <w:vAlign w:val="bottom"/>
            <w:tcBorders>
              <w:right w:val="single" w:sz="8" w:color="0000EE"/>
            </w:tcBorders>
            <w:gridSpan w:val="5"/>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5"/>
              </w:rPr>
              <w:t>10.4*</w:t>
            </w:r>
          </w:p>
        </w:tc>
        <w:tc>
          <w:tcPr>
            <w:tcW w:w="200" w:type="dxa"/>
            <w:vAlign w:val="bottom"/>
          </w:tcPr>
          <w:p>
            <w:pPr>
              <w:spacing w:after="0"/>
              <w:rPr>
                <w:sz w:val="24"/>
                <w:szCs w:val="24"/>
                <w:color w:val="auto"/>
              </w:rPr>
            </w:pPr>
          </w:p>
        </w:tc>
        <w:tc>
          <w:tcPr>
            <w:tcW w:w="5520" w:type="dxa"/>
            <w:vAlign w:val="bottom"/>
            <w:gridSpan w:val="16"/>
          </w:tcPr>
          <w:p>
            <w:pPr>
              <w:spacing w:after="0"/>
              <w:rPr>
                <w:rFonts w:ascii="Arial" w:cs="Arial" w:eastAsia="Arial" w:hAnsi="Arial"/>
                <w:sz w:val="18"/>
                <w:szCs w:val="18"/>
                <w:color w:val="0000EE"/>
                <w:w w:val="89"/>
              </w:rPr>
            </w:pPr>
            <w:hyperlink r:id="rId104">
              <w:r>
                <w:rPr>
                  <w:rFonts w:ascii="Arial" w:cs="Arial" w:eastAsia="Arial" w:hAnsi="Arial"/>
                  <w:sz w:val="18"/>
                  <w:szCs w:val="18"/>
                  <w:color w:val="0000EE"/>
                  <w:w w:val="89"/>
                </w:rPr>
                <w:t>Offer Letter, between Qualys, Inc. and Sumedh S. Thakar, dated January 20,</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1"/>
              </w:rPr>
              <w:t>333-182027</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1"/>
              </w:rPr>
              <w:t>10.5</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86"/>
              </w:rPr>
              <w:t>June 8, 2012</w:t>
            </w:r>
          </w:p>
        </w:tc>
        <w:tc>
          <w:tcPr>
            <w:tcW w:w="0" w:type="dxa"/>
            <w:vAlign w:val="bottom"/>
          </w:tcPr>
          <w:p>
            <w:pPr>
              <w:spacing w:after="0"/>
              <w:rPr>
                <w:sz w:val="1"/>
                <w:szCs w:val="1"/>
                <w:color w:val="auto"/>
              </w:rPr>
            </w:pPr>
          </w:p>
        </w:tc>
      </w:tr>
      <w:tr>
        <w:trPr>
          <w:trHeight w:val="20"/>
        </w:trPr>
        <w:tc>
          <w:tcPr>
            <w:tcW w:w="840" w:type="dxa"/>
            <w:vAlign w:val="bottom"/>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3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40" w:type="dxa"/>
            <w:vAlign w:val="bottom"/>
            <w:vMerge w:val="continue"/>
          </w:tcPr>
          <w:p>
            <w:pPr>
              <w:spacing w:after="0"/>
              <w:rPr>
                <w:sz w:val="11"/>
                <w:szCs w:val="11"/>
                <w:color w:val="auto"/>
              </w:rPr>
            </w:pPr>
          </w:p>
        </w:tc>
        <w:tc>
          <w:tcPr>
            <w:tcW w:w="1800" w:type="dxa"/>
            <w:vAlign w:val="bottom"/>
            <w:gridSpan w:val="3"/>
            <w:vMerge w:val="restart"/>
          </w:tcPr>
          <w:p>
            <w:pPr>
              <w:ind w:left="200"/>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2003.</w:t>
              </w:r>
            </w:hyperlink>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840" w:type="dxa"/>
            <w:vAlign w:val="bottom"/>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880" w:type="dxa"/>
            <w:vAlign w:val="bottom"/>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5"/>
              </w:rPr>
              <w:t>10.5*</w:t>
            </w:r>
          </w:p>
        </w:tc>
        <w:tc>
          <w:tcPr>
            <w:tcW w:w="200" w:type="dxa"/>
            <w:vAlign w:val="bottom"/>
          </w:tcPr>
          <w:p>
            <w:pPr>
              <w:spacing w:after="0"/>
              <w:rPr>
                <w:sz w:val="24"/>
                <w:szCs w:val="24"/>
                <w:color w:val="auto"/>
              </w:rPr>
            </w:pPr>
          </w:p>
        </w:tc>
        <w:tc>
          <w:tcPr>
            <w:tcW w:w="5260" w:type="dxa"/>
            <w:vAlign w:val="bottom"/>
            <w:tcBorders>
              <w:bottom w:val="single" w:sz="8" w:color="0000EE"/>
            </w:tcBorders>
            <w:gridSpan w:val="11"/>
          </w:tcPr>
          <w:p>
            <w:pPr>
              <w:spacing w:after="0"/>
              <w:rPr>
                <w:rFonts w:ascii="Arial" w:cs="Arial" w:eastAsia="Arial" w:hAnsi="Arial"/>
                <w:sz w:val="18"/>
                <w:szCs w:val="18"/>
                <w:color w:val="0000EE"/>
                <w:w w:val="91"/>
              </w:rPr>
            </w:pPr>
            <w:hyperlink r:id="rId105">
              <w:r>
                <w:rPr>
                  <w:rFonts w:ascii="Arial" w:cs="Arial" w:eastAsia="Arial" w:hAnsi="Arial"/>
                  <w:sz w:val="18"/>
                  <w:szCs w:val="18"/>
                  <w:color w:val="0000EE"/>
                  <w:w w:val="91"/>
                </w:rPr>
                <w:t>Offer Letter, between Qualys, Inc. and Joo Mi Kim, dated May 21, 2020.</w:t>
              </w:r>
            </w:hyperlink>
          </w:p>
        </w:tc>
        <w:tc>
          <w:tcPr>
            <w:tcW w:w="260" w:type="dxa"/>
            <w:vAlign w:val="bottom"/>
            <w:gridSpan w:val="5"/>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001-35662</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May 26, 2020</w:t>
            </w: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5"/>
              </w:rPr>
              <w:t>10.6*</w:t>
            </w:r>
          </w:p>
        </w:tc>
        <w:tc>
          <w:tcPr>
            <w:tcW w:w="200" w:type="dxa"/>
            <w:vAlign w:val="bottom"/>
          </w:tcPr>
          <w:p>
            <w:pPr>
              <w:spacing w:after="0"/>
              <w:rPr>
                <w:sz w:val="24"/>
                <w:szCs w:val="24"/>
                <w:color w:val="auto"/>
              </w:rPr>
            </w:pPr>
          </w:p>
        </w:tc>
        <w:tc>
          <w:tcPr>
            <w:tcW w:w="5520" w:type="dxa"/>
            <w:vAlign w:val="bottom"/>
            <w:gridSpan w:val="16"/>
          </w:tcPr>
          <w:p>
            <w:pPr>
              <w:spacing w:after="0"/>
              <w:rPr>
                <w:rFonts w:ascii="Arial" w:cs="Arial" w:eastAsia="Arial" w:hAnsi="Arial"/>
                <w:sz w:val="18"/>
                <w:szCs w:val="18"/>
                <w:color w:val="0000EE"/>
                <w:w w:val="92"/>
              </w:rPr>
            </w:pPr>
            <w:hyperlink r:id="rId106">
              <w:r>
                <w:rPr>
                  <w:rFonts w:ascii="Arial" w:cs="Arial" w:eastAsia="Arial" w:hAnsi="Arial"/>
                  <w:sz w:val="18"/>
                  <w:szCs w:val="18"/>
                  <w:color w:val="0000EE"/>
                  <w:w w:val="92"/>
                </w:rPr>
                <w:t>Offer Letter, between Qualys, Inc. and Bruce K. Posey, dated May 8, 2012.</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333-182027</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360" w:type="dxa"/>
            <w:vAlign w:val="bottom"/>
          </w:tcPr>
          <w:p>
            <w:pPr>
              <w:jc w:val="center"/>
              <w:spacing w:after="0"/>
              <w:rPr>
                <w:sz w:val="20"/>
                <w:szCs w:val="20"/>
                <w:color w:val="auto"/>
              </w:rPr>
            </w:pPr>
            <w:r>
              <w:rPr>
                <w:rFonts w:ascii="Arial" w:cs="Arial" w:eastAsia="Arial" w:hAnsi="Arial"/>
                <w:sz w:val="18"/>
                <w:szCs w:val="18"/>
                <w:color w:val="auto"/>
                <w:w w:val="86"/>
              </w:rPr>
              <w:t>June 8, 2012</w:t>
            </w: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5"/>
              </w:rPr>
              <w:t>10.7*</w:t>
            </w:r>
          </w:p>
        </w:tc>
        <w:tc>
          <w:tcPr>
            <w:tcW w:w="200" w:type="dxa"/>
            <w:vAlign w:val="bottom"/>
          </w:tcPr>
          <w:p>
            <w:pPr>
              <w:spacing w:after="0"/>
              <w:rPr>
                <w:sz w:val="24"/>
                <w:szCs w:val="24"/>
                <w:color w:val="auto"/>
              </w:rPr>
            </w:pPr>
          </w:p>
        </w:tc>
        <w:tc>
          <w:tcPr>
            <w:tcW w:w="5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1"/>
              </w:rPr>
            </w:pPr>
            <w:hyperlink r:id="rId107">
              <w:r>
                <w:rPr>
                  <w:rFonts w:ascii="Arial" w:cs="Arial" w:eastAsia="Arial" w:hAnsi="Arial"/>
                  <w:sz w:val="18"/>
                  <w:szCs w:val="18"/>
                  <w:color w:val="0000EE"/>
                  <w:w w:val="91"/>
                </w:rPr>
                <w:t>Offer Letter, between Qualys, Inc. and Allan Peters, dated April 26, 2021.</w:t>
              </w:r>
            </w:hyperlink>
          </w:p>
        </w:tc>
        <w:tc>
          <w:tcPr>
            <w:tcW w:w="80" w:type="dxa"/>
            <w:vAlign w:val="bottom"/>
            <w:tcBorders>
              <w:top w:val="single" w:sz="8" w:color="0000EE"/>
            </w:tcBorders>
          </w:tcPr>
          <w:p>
            <w:pPr>
              <w:spacing w:after="0"/>
              <w:rPr>
                <w:sz w:val="24"/>
                <w:szCs w:val="24"/>
                <w:color w:val="auto"/>
              </w:rPr>
            </w:pPr>
          </w:p>
        </w:tc>
        <w:tc>
          <w:tcPr>
            <w:tcW w:w="12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001-35662</w:t>
            </w:r>
          </w:p>
        </w:tc>
        <w:tc>
          <w:tcPr>
            <w:tcW w:w="6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February 22, 2022</w:t>
            </w: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5"/>
              </w:rPr>
              <w:t>10.8*</w:t>
            </w:r>
          </w:p>
        </w:tc>
        <w:tc>
          <w:tcPr>
            <w:tcW w:w="200" w:type="dxa"/>
            <w:vAlign w:val="bottom"/>
          </w:tcPr>
          <w:p>
            <w:pPr>
              <w:spacing w:after="0"/>
              <w:rPr>
                <w:sz w:val="24"/>
                <w:szCs w:val="24"/>
                <w:color w:val="auto"/>
              </w:rPr>
            </w:pPr>
          </w:p>
        </w:tc>
        <w:tc>
          <w:tcPr>
            <w:tcW w:w="6200" w:type="dxa"/>
            <w:vAlign w:val="bottom"/>
            <w:gridSpan w:val="18"/>
          </w:tcPr>
          <w:p>
            <w:pPr>
              <w:spacing w:after="0"/>
              <w:rPr>
                <w:rFonts w:ascii="Arial" w:cs="Arial" w:eastAsia="Arial" w:hAnsi="Arial"/>
                <w:sz w:val="18"/>
                <w:szCs w:val="18"/>
                <w:color w:val="0000EE"/>
              </w:rPr>
            </w:pPr>
            <w:hyperlink r:id="rId108">
              <w:r>
                <w:rPr>
                  <w:rFonts w:ascii="Arial" w:cs="Arial" w:eastAsia="Arial" w:hAnsi="Arial"/>
                  <w:sz w:val="18"/>
                  <w:szCs w:val="18"/>
                  <w:color w:val="0000EE"/>
                </w:rPr>
                <w:t>Form of Performance-Based Restricted Stock Unit Agreement for Executives</w:t>
              </w:r>
            </w:hyperlink>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r:id="rId108">
              <w:r>
                <w:rPr>
                  <w:rFonts w:ascii="Arial" w:cs="Arial" w:eastAsia="Arial" w:hAnsi="Arial"/>
                  <w:sz w:val="18"/>
                  <w:szCs w:val="18"/>
                  <w:color w:val="0000EE"/>
                  <w:w w:val="89"/>
                </w:rPr>
                <w:t>under the 2012 Equity Incentive Plan, dated October 28, 2021</w:t>
              </w:r>
            </w:hyperlink>
          </w:p>
        </w:tc>
        <w:tc>
          <w:tcPr>
            <w:tcW w:w="1060" w:type="dxa"/>
            <w:vAlign w:val="bottom"/>
            <w:tcBorders>
              <w:top w:val="single" w:sz="8" w:color="0000EE"/>
            </w:tcBorders>
            <w:gridSpan w:val="9"/>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20" w:type="dxa"/>
            <w:vAlign w:val="bottom"/>
          </w:tcPr>
          <w:p>
            <w:pPr>
              <w:spacing w:after="0"/>
              <w:rPr>
                <w:sz w:val="17"/>
                <w:szCs w:val="17"/>
                <w:color w:val="auto"/>
              </w:rPr>
            </w:pPr>
          </w:p>
        </w:tc>
        <w:tc>
          <w:tcPr>
            <w:tcW w:w="11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920" w:type="dxa"/>
            <w:vAlign w:val="bottom"/>
          </w:tcPr>
          <w:p>
            <w:pPr>
              <w:jc w:val="center"/>
              <w:spacing w:after="0" w:line="196" w:lineRule="exact"/>
              <w:rPr>
                <w:sz w:val="20"/>
                <w:szCs w:val="20"/>
                <w:color w:val="auto"/>
              </w:rPr>
            </w:pPr>
            <w:r>
              <w:rPr>
                <w:rFonts w:ascii="Arial" w:cs="Arial" w:eastAsia="Arial" w:hAnsi="Arial"/>
                <w:sz w:val="18"/>
                <w:szCs w:val="18"/>
                <w:color w:val="auto"/>
                <w:w w:val="90"/>
              </w:rPr>
              <w:t>001-35662</w:t>
            </w: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91"/>
              </w:rPr>
              <w:t>10.8</w:t>
            </w:r>
          </w:p>
        </w:tc>
        <w:tc>
          <w:tcPr>
            <w:tcW w:w="1360" w:type="dxa"/>
            <w:vAlign w:val="bottom"/>
          </w:tcPr>
          <w:p>
            <w:pPr>
              <w:jc w:val="center"/>
              <w:spacing w:after="0" w:line="196" w:lineRule="exact"/>
              <w:rPr>
                <w:sz w:val="20"/>
                <w:szCs w:val="20"/>
                <w:color w:val="auto"/>
              </w:rPr>
            </w:pPr>
            <w:r>
              <w:rPr>
                <w:rFonts w:ascii="Arial" w:cs="Arial" w:eastAsia="Arial" w:hAnsi="Arial"/>
                <w:sz w:val="18"/>
                <w:szCs w:val="18"/>
                <w:color w:val="auto"/>
                <w:w w:val="91"/>
              </w:rPr>
              <w:t>February 22, 2022</w:t>
            </w:r>
          </w:p>
        </w:tc>
        <w:tc>
          <w:tcPr>
            <w:tcW w:w="0" w:type="dxa"/>
            <w:vAlign w:val="bottom"/>
          </w:tcPr>
          <w:p>
            <w:pPr>
              <w:spacing w:after="0"/>
              <w:rPr>
                <w:sz w:val="1"/>
                <w:szCs w:val="1"/>
                <w:color w:val="auto"/>
              </w:rPr>
            </w:pPr>
          </w:p>
        </w:tc>
      </w:tr>
      <w:tr>
        <w:trPr>
          <w:trHeight w:val="412"/>
        </w:trPr>
        <w:tc>
          <w:tcPr>
            <w:tcW w:w="84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200" w:type="dxa"/>
            <w:vAlign w:val="bottom"/>
          </w:tcPr>
          <w:p>
            <w:pPr>
              <w:spacing w:after="0"/>
              <w:rPr>
                <w:sz w:val="24"/>
                <w:szCs w:val="24"/>
                <w:color w:val="auto"/>
              </w:rPr>
            </w:pPr>
          </w:p>
        </w:tc>
        <w:tc>
          <w:tcPr>
            <w:tcW w:w="5520" w:type="dxa"/>
            <w:vAlign w:val="bottom"/>
            <w:gridSpan w:val="16"/>
          </w:tcPr>
          <w:p>
            <w:pPr>
              <w:spacing w:after="0"/>
              <w:rPr>
                <w:rFonts w:ascii="Arial" w:cs="Arial" w:eastAsia="Arial" w:hAnsi="Arial"/>
                <w:sz w:val="18"/>
                <w:szCs w:val="18"/>
                <w:color w:val="0000EE"/>
              </w:rPr>
            </w:pPr>
            <w:hyperlink r:id="rId109">
              <w:r>
                <w:rPr>
                  <w:rFonts w:ascii="Arial" w:cs="Arial" w:eastAsia="Arial" w:hAnsi="Arial"/>
                  <w:sz w:val="18"/>
                  <w:szCs w:val="18"/>
                  <w:color w:val="0000EE"/>
                </w:rPr>
                <w:t>Form of director and executive officer indemnification agreement.</w:t>
              </w:r>
            </w:hyperlink>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333-182027</w:t>
            </w:r>
          </w:p>
        </w:tc>
        <w:tc>
          <w:tcPr>
            <w:tcW w:w="6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August 10, 2012</w:t>
            </w:r>
          </w:p>
        </w:tc>
        <w:tc>
          <w:tcPr>
            <w:tcW w:w="0" w:type="dxa"/>
            <w:vAlign w:val="bottom"/>
          </w:tcPr>
          <w:p>
            <w:pPr>
              <w:spacing w:after="0"/>
              <w:rPr>
                <w:sz w:val="1"/>
                <w:szCs w:val="1"/>
                <w:color w:val="auto"/>
              </w:rPr>
            </w:pPr>
          </w:p>
        </w:tc>
      </w:tr>
      <w:tr>
        <w:trPr>
          <w:trHeight w:val="438"/>
        </w:trPr>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5"/>
              </w:rPr>
              <w:t>10.10*</w:t>
            </w:r>
          </w:p>
        </w:tc>
        <w:tc>
          <w:tcPr>
            <w:tcW w:w="200" w:type="dxa"/>
            <w:vAlign w:val="bottom"/>
          </w:tcPr>
          <w:p>
            <w:pPr>
              <w:spacing w:after="0"/>
              <w:rPr>
                <w:sz w:val="24"/>
                <w:szCs w:val="24"/>
                <w:color w:val="auto"/>
              </w:rPr>
            </w:pPr>
          </w:p>
        </w:tc>
        <w:tc>
          <w:tcPr>
            <w:tcW w:w="3560" w:type="dxa"/>
            <w:vAlign w:val="bottom"/>
            <w:tcBorders>
              <w:top w:val="single" w:sz="8" w:color="0000EE"/>
            </w:tcBorders>
            <w:gridSpan w:val="6"/>
            <w:vMerge w:val="restart"/>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Qualys, Inc. Executive Performance Bonus Plan.</w:t>
              </w:r>
            </w:hyperlink>
          </w:p>
        </w:tc>
        <w:tc>
          <w:tcPr>
            <w:tcW w:w="9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Schedule 14A,</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auto"/>
                <w:w w:val="90"/>
              </w:rPr>
              <w:t>001-35662</w:t>
            </w:r>
          </w:p>
        </w:tc>
        <w:tc>
          <w:tcPr>
            <w:tcW w:w="620" w:type="dxa"/>
            <w:vAlign w:val="bottom"/>
            <w:vMerge w:val="restart"/>
          </w:tcPr>
          <w:p>
            <w:pPr>
              <w:jc w:val="center"/>
              <w:spacing w:after="0"/>
              <w:rPr>
                <w:sz w:val="20"/>
                <w:szCs w:val="20"/>
                <w:color w:val="auto"/>
              </w:rPr>
            </w:pPr>
            <w:r>
              <w:rPr>
                <w:rFonts w:ascii="Arial" w:cs="Arial" w:eastAsia="Arial" w:hAnsi="Arial"/>
                <w:sz w:val="18"/>
                <w:szCs w:val="18"/>
                <w:color w:val="auto"/>
                <w:w w:val="99"/>
              </w:rPr>
              <w:t>N/A</w:t>
            </w:r>
          </w:p>
        </w:tc>
        <w:tc>
          <w:tcPr>
            <w:tcW w:w="1360" w:type="dxa"/>
            <w:vAlign w:val="bottom"/>
            <w:vMerge w:val="restart"/>
          </w:tcPr>
          <w:p>
            <w:pPr>
              <w:jc w:val="center"/>
              <w:spacing w:after="0"/>
              <w:rPr>
                <w:sz w:val="20"/>
                <w:szCs w:val="20"/>
                <w:color w:val="auto"/>
              </w:rPr>
            </w:pPr>
            <w:r>
              <w:rPr>
                <w:rFonts w:ascii="Arial" w:cs="Arial" w:eastAsia="Arial" w:hAnsi="Arial"/>
                <w:sz w:val="18"/>
                <w:szCs w:val="18"/>
                <w:color w:val="auto"/>
                <w:w w:val="95"/>
              </w:rPr>
              <w:t>April 25, 2016</w:t>
            </w:r>
          </w:p>
        </w:tc>
        <w:tc>
          <w:tcPr>
            <w:tcW w:w="0" w:type="dxa"/>
            <w:vAlign w:val="bottom"/>
          </w:tcPr>
          <w:p>
            <w:pPr>
              <w:spacing w:after="0"/>
              <w:rPr>
                <w:sz w:val="1"/>
                <w:szCs w:val="1"/>
                <w:color w:val="auto"/>
              </w:rPr>
            </w:pPr>
          </w:p>
        </w:tc>
      </w:tr>
      <w:tr>
        <w:trPr>
          <w:trHeight w:val="87"/>
        </w:trPr>
        <w:tc>
          <w:tcPr>
            <w:tcW w:w="8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3560" w:type="dxa"/>
            <w:vAlign w:val="bottom"/>
            <w:tcBorders>
              <w:bottom w:val="single" w:sz="8" w:color="0000EE"/>
            </w:tcBorders>
            <w:gridSpan w:val="6"/>
            <w:vMerge w:val="continue"/>
          </w:tcPr>
          <w:p>
            <w:pPr>
              <w:spacing w:after="0"/>
              <w:rPr>
                <w:sz w:val="7"/>
                <w:szCs w:val="7"/>
                <w:color w:val="auto"/>
              </w:rPr>
            </w:pPr>
          </w:p>
        </w:tc>
        <w:tc>
          <w:tcPr>
            <w:tcW w:w="1960" w:type="dxa"/>
            <w:vAlign w:val="bottom"/>
            <w:gridSpan w:val="10"/>
            <w:vMerge w:val="restart"/>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7"/>
              </w:rPr>
              <w:t>Appendix A</w:t>
            </w:r>
          </w:p>
        </w:tc>
        <w:tc>
          <w:tcPr>
            <w:tcW w:w="9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8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560" w:type="dxa"/>
            <w:vAlign w:val="bottom"/>
            <w:gridSpan w:val="6"/>
          </w:tcPr>
          <w:p>
            <w:pPr>
              <w:spacing w:after="0"/>
              <w:rPr>
                <w:sz w:val="11"/>
                <w:szCs w:val="11"/>
                <w:color w:val="auto"/>
              </w:rPr>
            </w:pPr>
          </w:p>
        </w:tc>
        <w:tc>
          <w:tcPr>
            <w:tcW w:w="1960" w:type="dxa"/>
            <w:vAlign w:val="bottom"/>
            <w:gridSpan w:val="10"/>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840" w:type="dxa"/>
            <w:vAlign w:val="bottom"/>
          </w:tcPr>
          <w:p>
            <w:pPr>
              <w:spacing w:after="0"/>
              <w:rPr>
                <w:sz w:val="24"/>
                <w:szCs w:val="24"/>
                <w:color w:val="auto"/>
              </w:rPr>
            </w:pPr>
          </w:p>
        </w:tc>
        <w:tc>
          <w:tcPr>
            <w:tcW w:w="4960" w:type="dxa"/>
            <w:vAlign w:val="bottom"/>
            <w:gridSpan w:val="9"/>
          </w:tcPr>
          <w:p>
            <w:pPr>
              <w:jc w:val="right"/>
              <w:ind w:right="80"/>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89" w:name="page90"/>
    <w:bookmarkEnd w:id="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60" w:type="dxa"/>
            <w:vAlign w:val="bottom"/>
            <w:gridSpan w:val="16"/>
          </w:tcPr>
          <w:p>
            <w:pPr>
              <w:spacing w:after="0"/>
              <w:rPr>
                <w:sz w:val="20"/>
                <w:szCs w:val="20"/>
                <w:color w:val="auto"/>
              </w:rPr>
            </w:pPr>
            <w:r>
              <w:rPr>
                <w:rFonts w:ascii="Arial" w:cs="Arial" w:eastAsia="Arial" w:hAnsi="Arial"/>
                <w:sz w:val="18"/>
                <w:szCs w:val="18"/>
                <w:color w:val="0000EE"/>
              </w:rPr>
              <w:t>Table of Contents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60" w:type="dxa"/>
            <w:vAlign w:val="bottom"/>
            <w:tcBorders>
              <w:top w:val="single" w:sz="8" w:color="0000EE"/>
              <w:bottom w:val="single" w:sz="8" w:color="0000EE"/>
            </w:tcBorders>
            <w:vMerge w:val="restart"/>
          </w:tcPr>
          <w:p>
            <w:pPr>
              <w:jc w:val="center"/>
              <w:spacing w:after="0"/>
              <w:rPr>
                <w:sz w:val="20"/>
                <w:szCs w:val="20"/>
                <w:color w:val="auto"/>
              </w:rPr>
            </w:pPr>
            <w:r>
              <w:rPr>
                <w:rFonts w:ascii="Arial" w:cs="Arial" w:eastAsia="Arial" w:hAnsi="Arial"/>
                <w:sz w:val="18"/>
                <w:szCs w:val="18"/>
                <w:color w:val="auto"/>
                <w:w w:val="99"/>
              </w:rPr>
              <w:t>Exhibit</w:t>
            </w: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w w:val="91"/>
              </w:rPr>
              <w:t>Incorporated by Reference</w:t>
            </w: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8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ind w:left="40"/>
              <w:spacing w:after="0" w:line="195" w:lineRule="exact"/>
              <w:rPr>
                <w:sz w:val="20"/>
                <w:szCs w:val="20"/>
                <w:color w:val="auto"/>
              </w:rPr>
            </w:pPr>
            <w:r>
              <w:rPr>
                <w:rFonts w:ascii="Arial" w:cs="Arial" w:eastAsia="Arial" w:hAnsi="Arial"/>
                <w:sz w:val="18"/>
                <w:szCs w:val="18"/>
                <w:color w:val="auto"/>
              </w:rPr>
              <w:t>Filed</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60" w:type="dxa"/>
            <w:vAlign w:val="bottom"/>
          </w:tcPr>
          <w:p>
            <w:pPr>
              <w:jc w:val="center"/>
              <w:spacing w:after="0" w:line="195" w:lineRule="exact"/>
              <w:rPr>
                <w:sz w:val="20"/>
                <w:szCs w:val="20"/>
                <w:color w:val="auto"/>
              </w:rPr>
            </w:pPr>
            <w:r>
              <w:rPr>
                <w:rFonts w:ascii="Arial" w:cs="Arial" w:eastAsia="Arial" w:hAnsi="Arial"/>
                <w:sz w:val="18"/>
                <w:szCs w:val="18"/>
                <w:color w:val="auto"/>
                <w:w w:val="99"/>
              </w:rPr>
              <w:t>Exhibit</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Number</w:t>
            </w:r>
          </w:p>
        </w:tc>
        <w:tc>
          <w:tcPr>
            <w:tcW w:w="5700" w:type="dxa"/>
            <w:vAlign w:val="bottom"/>
            <w:tcBorders>
              <w:bottom w:val="single" w:sz="8" w:color="auto"/>
            </w:tcBorders>
            <w:gridSpan w:val="15"/>
          </w:tcPr>
          <w:p>
            <w:pPr>
              <w:ind w:left="140"/>
              <w:spacing w:after="0"/>
              <w:rPr>
                <w:sz w:val="20"/>
                <w:szCs w:val="20"/>
                <w:color w:val="auto"/>
              </w:rPr>
            </w:pPr>
            <w:r>
              <w:rPr>
                <w:rFonts w:ascii="Arial" w:cs="Arial" w:eastAsia="Arial" w:hAnsi="Arial"/>
                <w:sz w:val="18"/>
                <w:szCs w:val="18"/>
                <w:color w:val="auto"/>
              </w:rPr>
              <w:t>Description</w:t>
            </w: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Herewith</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Form</w:t>
            </w:r>
          </w:p>
        </w:tc>
        <w:tc>
          <w:tcPr>
            <w:tcW w:w="104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color w:val="auto"/>
                <w:w w:val="96"/>
              </w:rPr>
              <w:t>File No.</w:t>
            </w: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No.</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Filing Date</w:t>
            </w:r>
          </w:p>
        </w:tc>
        <w:tc>
          <w:tcPr>
            <w:tcW w:w="0" w:type="dxa"/>
            <w:vAlign w:val="bottom"/>
          </w:tcPr>
          <w:p>
            <w:pPr>
              <w:spacing w:after="0"/>
              <w:rPr>
                <w:sz w:val="1"/>
                <w:szCs w:val="1"/>
                <w:color w:val="auto"/>
              </w:rPr>
            </w:pPr>
          </w:p>
        </w:tc>
      </w:tr>
      <w:tr>
        <w:trPr>
          <w:trHeight w:val="385"/>
        </w:trPr>
        <w:tc>
          <w:tcPr>
            <w:tcW w:w="860" w:type="dxa"/>
            <w:vAlign w:val="bottom"/>
          </w:tcPr>
          <w:p>
            <w:pPr>
              <w:jc w:val="center"/>
              <w:spacing w:after="0"/>
              <w:rPr>
                <w:sz w:val="20"/>
                <w:szCs w:val="20"/>
                <w:color w:val="auto"/>
              </w:rPr>
            </w:pPr>
            <w:r>
              <w:rPr>
                <w:rFonts w:ascii="Arial" w:cs="Arial" w:eastAsia="Arial" w:hAnsi="Arial"/>
                <w:sz w:val="18"/>
                <w:szCs w:val="18"/>
                <w:color w:val="auto"/>
                <w:w w:val="93"/>
              </w:rPr>
              <w:t>10.11*#</w:t>
            </w:r>
          </w:p>
        </w:tc>
        <w:tc>
          <w:tcPr>
            <w:tcW w:w="180" w:type="dxa"/>
            <w:vAlign w:val="bottom"/>
          </w:tcPr>
          <w:p>
            <w:pPr>
              <w:spacing w:after="0"/>
              <w:rPr>
                <w:sz w:val="24"/>
                <w:szCs w:val="24"/>
                <w:color w:val="auto"/>
              </w:rPr>
            </w:pPr>
          </w:p>
        </w:tc>
        <w:tc>
          <w:tcPr>
            <w:tcW w:w="29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9"/>
              </w:rPr>
              <w:t>Qualys, Inc. 2022 Corporate Bonus Plan.</w:t>
            </w:r>
          </w:p>
        </w:tc>
        <w:tc>
          <w:tcPr>
            <w:tcW w:w="256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8"/>
              </w:rPr>
              <w:t>10.12</w:t>
            </w:r>
          </w:p>
        </w:tc>
        <w:tc>
          <w:tcPr>
            <w:tcW w:w="180" w:type="dxa"/>
            <w:vAlign w:val="bottom"/>
          </w:tcPr>
          <w:p>
            <w:pPr>
              <w:spacing w:after="0"/>
              <w:rPr>
                <w:sz w:val="24"/>
                <w:szCs w:val="24"/>
                <w:color w:val="auto"/>
              </w:rPr>
            </w:pPr>
          </w:p>
        </w:tc>
        <w:tc>
          <w:tcPr>
            <w:tcW w:w="5260" w:type="dxa"/>
            <w:vAlign w:val="bottom"/>
            <w:tcBorders>
              <w:bottom w:val="single" w:sz="8" w:color="0000EE"/>
            </w:tcBorders>
            <w:gridSpan w:val="8"/>
          </w:tcPr>
          <w:p>
            <w:pPr>
              <w:spacing w:after="0"/>
              <w:rPr>
                <w:rFonts w:ascii="Arial" w:cs="Arial" w:eastAsia="Arial" w:hAnsi="Arial"/>
                <w:sz w:val="18"/>
                <w:szCs w:val="18"/>
                <w:color w:val="0000EE"/>
                <w:w w:val="90"/>
              </w:rPr>
            </w:pPr>
            <w:hyperlink r:id="rId111">
              <w:r>
                <w:rPr>
                  <w:rFonts w:ascii="Arial" w:cs="Arial" w:eastAsia="Arial" w:hAnsi="Arial"/>
                  <w:sz w:val="18"/>
                  <w:szCs w:val="18"/>
                  <w:color w:val="0000EE"/>
                  <w:w w:val="90"/>
                </w:rPr>
                <w:t>Lease Agreement, between Qualys, Inc. and Hudson Metro Center, LLC,</w:t>
              </w:r>
            </w:hyperlink>
          </w:p>
        </w:tc>
        <w:tc>
          <w:tcPr>
            <w:tcW w:w="26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9"/>
              </w:rPr>
              <w:t>8-K</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001-35662</w:t>
            </w:r>
          </w:p>
        </w:tc>
        <w:tc>
          <w:tcPr>
            <w:tcW w:w="66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340" w:type="dxa"/>
            <w:vAlign w:val="bottom"/>
            <w:vMerge w:val="restart"/>
          </w:tcPr>
          <w:p>
            <w:pPr>
              <w:jc w:val="center"/>
              <w:spacing w:after="0"/>
              <w:rPr>
                <w:sz w:val="20"/>
                <w:szCs w:val="20"/>
                <w:color w:val="auto"/>
              </w:rPr>
            </w:pPr>
            <w:r>
              <w:rPr>
                <w:rFonts w:ascii="Arial" w:cs="Arial" w:eastAsia="Arial" w:hAnsi="Arial"/>
                <w:sz w:val="18"/>
                <w:szCs w:val="18"/>
                <w:color w:val="auto"/>
                <w:w w:val="90"/>
              </w:rPr>
              <w:t>October 19, 2016</w:t>
            </w: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520" w:type="dxa"/>
            <w:vAlign w:val="bottom"/>
            <w:gridSpan w:val="14"/>
            <w:vMerge w:val="restart"/>
          </w:tcPr>
          <w:p>
            <w:pPr>
              <w:spacing w:after="0" w:line="196" w:lineRule="exact"/>
              <w:rPr>
                <w:rFonts w:ascii="Arial" w:cs="Arial" w:eastAsia="Arial" w:hAnsi="Arial"/>
                <w:sz w:val="18"/>
                <w:szCs w:val="18"/>
                <w:color w:val="0000EE"/>
              </w:rPr>
            </w:pPr>
            <w:hyperlink r:id="rId111">
              <w:r>
                <w:rPr>
                  <w:rFonts w:ascii="Arial" w:cs="Arial" w:eastAsia="Arial" w:hAnsi="Arial"/>
                  <w:sz w:val="18"/>
                  <w:szCs w:val="18"/>
                  <w:color w:val="0000EE"/>
                </w:rPr>
                <w:t>dated October 14, 2016.</w:t>
              </w:r>
            </w:hyperlink>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520" w:type="dxa"/>
            <w:vAlign w:val="bottom"/>
            <w:gridSpan w:val="14"/>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80" w:type="dxa"/>
            <w:vAlign w:val="bottom"/>
          </w:tcPr>
          <w:p>
            <w:pPr>
              <w:spacing w:after="0"/>
              <w:rPr>
                <w:sz w:val="24"/>
                <w:szCs w:val="24"/>
                <w:color w:val="auto"/>
              </w:rPr>
            </w:pPr>
          </w:p>
        </w:tc>
        <w:tc>
          <w:tcPr>
            <w:tcW w:w="24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List of subsidiaries of Qualys, Inc.</w:t>
            </w:r>
          </w:p>
        </w:tc>
        <w:tc>
          <w:tcPr>
            <w:tcW w:w="3040" w:type="dxa"/>
            <w:vAlign w:val="bottom"/>
            <w:gridSpan w:val="10"/>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23.1</w:t>
            </w:r>
          </w:p>
        </w:tc>
        <w:tc>
          <w:tcPr>
            <w:tcW w:w="18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0000EE"/>
                <w:w w:val="93"/>
              </w:rPr>
              <w:t>Consent of Grant Thornton LLP, independent registered public accounting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vMerge w:val="restart"/>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5340" w:type="dxa"/>
            <w:vAlign w:val="bottom"/>
            <w:tcBorders>
              <w:top w:val="single" w:sz="8" w:color="0000EE"/>
            </w:tcBorders>
            <w:gridSpan w:val="10"/>
            <w:vMerge w:val="restart"/>
          </w:tcPr>
          <w:p>
            <w:pPr>
              <w:spacing w:after="0" w:line="196" w:lineRule="exact"/>
              <w:rPr>
                <w:sz w:val="20"/>
                <w:szCs w:val="20"/>
                <w:color w:val="auto"/>
              </w:rPr>
            </w:pPr>
            <w:r>
              <w:rPr>
                <w:rFonts w:ascii="Arial" w:cs="Arial" w:eastAsia="Arial" w:hAnsi="Arial"/>
                <w:sz w:val="18"/>
                <w:szCs w:val="18"/>
                <w:color w:val="0000EE"/>
              </w:rPr>
              <w:t>firm.</w:t>
            </w:r>
          </w:p>
        </w:tc>
        <w:tc>
          <w:tcPr>
            <w:tcW w:w="180" w:type="dxa"/>
            <w:vAlign w:val="bottom"/>
            <w:gridSpan w:val="4"/>
            <w:vMerge w:val="restart"/>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7"/>
        </w:trPr>
        <w:tc>
          <w:tcPr>
            <w:tcW w:w="8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340" w:type="dxa"/>
            <w:vAlign w:val="bottom"/>
            <w:gridSpan w:val="10"/>
            <w:vMerge w:val="continue"/>
          </w:tcPr>
          <w:p>
            <w:pPr>
              <w:spacing w:after="0"/>
              <w:rPr>
                <w:sz w:val="5"/>
                <w:szCs w:val="5"/>
                <w:color w:val="auto"/>
              </w:rPr>
            </w:pPr>
          </w:p>
        </w:tc>
        <w:tc>
          <w:tcPr>
            <w:tcW w:w="18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0000EE"/>
                <w:w w:val="93"/>
              </w:rPr>
              <w:t>Certification of Chief Executive Officer pursuant to Rule 13a-14(a) or Rule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1"/>
              </w:rPr>
              <w:t>31.1</w:t>
            </w:r>
          </w:p>
        </w:tc>
        <w:tc>
          <w:tcPr>
            <w:tcW w:w="180" w:type="dxa"/>
            <w:vAlign w:val="bottom"/>
          </w:tcPr>
          <w:p>
            <w:pPr>
              <w:spacing w:after="0"/>
              <w:rPr>
                <w:sz w:val="17"/>
                <w:szCs w:val="17"/>
                <w:color w:val="auto"/>
              </w:rPr>
            </w:pPr>
          </w:p>
        </w:tc>
        <w:tc>
          <w:tcPr>
            <w:tcW w:w="5420" w:type="dxa"/>
            <w:vAlign w:val="bottom"/>
            <w:tcBorders>
              <w:top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1"/>
              </w:rPr>
              <w:t>15d-14(a) of the Securities Exchange Act of 1934, as adopted pursuant to</w:t>
            </w:r>
          </w:p>
        </w:tc>
        <w:tc>
          <w:tcPr>
            <w:tcW w:w="1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220"/>
              <w:spacing w:after="0" w:line="196"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1760" w:type="dxa"/>
            <w:vAlign w:val="bottom"/>
            <w:tcBorders>
              <w:top w:val="single" w:sz="8" w:color="0000EE"/>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3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2"/>
              </w:rPr>
              <w:t>Certification of Chief Financial Officer pursuant to Rule 13a-14(a) or Rule</w:t>
            </w:r>
          </w:p>
        </w:tc>
        <w:tc>
          <w:tcPr>
            <w:tcW w:w="14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1"/>
              </w:rPr>
              <w:t>31.2</w:t>
            </w:r>
          </w:p>
        </w:tc>
        <w:tc>
          <w:tcPr>
            <w:tcW w:w="180" w:type="dxa"/>
            <w:vAlign w:val="bottom"/>
          </w:tcPr>
          <w:p>
            <w:pPr>
              <w:spacing w:after="0"/>
              <w:rPr>
                <w:sz w:val="17"/>
                <w:szCs w:val="17"/>
                <w:color w:val="auto"/>
              </w:rPr>
            </w:pPr>
          </w:p>
        </w:tc>
        <w:tc>
          <w:tcPr>
            <w:tcW w:w="5520" w:type="dxa"/>
            <w:vAlign w:val="bottom"/>
            <w:gridSpan w:val="14"/>
          </w:tcPr>
          <w:p>
            <w:pPr>
              <w:spacing w:after="0" w:line="196" w:lineRule="exact"/>
              <w:rPr>
                <w:sz w:val="20"/>
                <w:szCs w:val="20"/>
                <w:color w:val="auto"/>
              </w:rPr>
            </w:pPr>
            <w:r>
              <w:rPr>
                <w:rFonts w:ascii="Arial" w:cs="Arial" w:eastAsia="Arial" w:hAnsi="Arial"/>
                <w:sz w:val="18"/>
                <w:szCs w:val="18"/>
                <w:color w:val="0000EE"/>
                <w:w w:val="93"/>
              </w:rPr>
              <w:t>15d-14(a) of the Securities Exchange Act of 1934, as adopted pursuant to</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220"/>
              <w:spacing w:after="0" w:line="196"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Section 302 of The Sarbanes-Oxley Act of 2002.</w:t>
            </w:r>
          </w:p>
        </w:tc>
        <w:tc>
          <w:tcPr>
            <w:tcW w:w="1760" w:type="dxa"/>
            <w:vAlign w:val="bottom"/>
            <w:tcBorders>
              <w:top w:val="single" w:sz="8" w:color="0000EE"/>
            </w:tcBorders>
            <w:gridSpan w:val="3"/>
          </w:tcPr>
          <w:p>
            <w:pPr>
              <w:spacing w:after="0"/>
              <w:rPr>
                <w:sz w:val="17"/>
                <w:szCs w:val="17"/>
                <w:color w:val="auto"/>
              </w:rPr>
            </w:pPr>
          </w:p>
        </w:tc>
        <w:tc>
          <w:tcPr>
            <w:tcW w:w="240" w:type="dxa"/>
            <w:vAlign w:val="bottom"/>
            <w:gridSpan w:val="5"/>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4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92"/>
              </w:rPr>
              <w:t>Certification of Chief Executive Officer pursuant to Rule 13a-14(b) or Rule</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1"/>
              </w:rPr>
              <w:t>32.1</w:t>
            </w:r>
          </w:p>
        </w:tc>
        <w:tc>
          <w:tcPr>
            <w:tcW w:w="180" w:type="dxa"/>
            <w:vAlign w:val="bottom"/>
          </w:tcPr>
          <w:p>
            <w:pPr>
              <w:spacing w:after="0"/>
              <w:rPr>
                <w:sz w:val="17"/>
                <w:szCs w:val="17"/>
                <w:color w:val="auto"/>
              </w:rPr>
            </w:pPr>
          </w:p>
        </w:tc>
        <w:tc>
          <w:tcPr>
            <w:tcW w:w="524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15d-14(b) of the Securities Exchange Act of 1934 and 18 U.S.C. Section</w:t>
            </w:r>
          </w:p>
        </w:tc>
        <w:tc>
          <w:tcPr>
            <w:tcW w:w="280" w:type="dxa"/>
            <w:vAlign w:val="bottom"/>
            <w:gridSpan w:val="7"/>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220"/>
              <w:spacing w:after="0" w:line="196"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gridSpan w:val="16"/>
          </w:tcPr>
          <w:p>
            <w:pPr>
              <w:spacing w:after="0" w:line="196" w:lineRule="exact"/>
              <w:rPr>
                <w:sz w:val="20"/>
                <w:szCs w:val="20"/>
                <w:color w:val="auto"/>
              </w:rPr>
            </w:pPr>
            <w:r>
              <w:rPr>
                <w:rFonts w:ascii="Arial" w:cs="Arial" w:eastAsia="Arial" w:hAnsi="Arial"/>
                <w:sz w:val="18"/>
                <w:szCs w:val="18"/>
                <w:color w:val="0000EE"/>
                <w:w w:val="90"/>
              </w:rPr>
              <w:t>1350 as adopted pursuant to Section 906 of The Sarbanes-Oxley Act of 2002.</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w w:val="94"/>
              </w:rPr>
              <w:t>Certification of Chief Financial Officer pursuant to Rule 13a-14(b) or Rule</w:t>
            </w: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1"/>
              </w:rPr>
              <w:t>32.2</w:t>
            </w:r>
          </w:p>
        </w:tc>
        <w:tc>
          <w:tcPr>
            <w:tcW w:w="180" w:type="dxa"/>
            <w:vAlign w:val="bottom"/>
          </w:tcPr>
          <w:p>
            <w:pPr>
              <w:spacing w:after="0"/>
              <w:rPr>
                <w:sz w:val="17"/>
                <w:szCs w:val="17"/>
                <w:color w:val="auto"/>
              </w:rPr>
            </w:pPr>
          </w:p>
        </w:tc>
        <w:tc>
          <w:tcPr>
            <w:tcW w:w="524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15d-14(b) of the Securities Exchange Act of 1934 and 18 U.S.C. Section</w:t>
            </w:r>
          </w:p>
        </w:tc>
        <w:tc>
          <w:tcPr>
            <w:tcW w:w="140" w:type="dxa"/>
            <w:vAlign w:val="bottom"/>
            <w:tcBorders>
              <w:top w:val="single" w:sz="8" w:color="0000EE"/>
            </w:tcBorders>
            <w:gridSpan w:val="4"/>
          </w:tcPr>
          <w:p>
            <w:pPr>
              <w:spacing w:after="0"/>
              <w:rPr>
                <w:sz w:val="17"/>
                <w:szCs w:val="17"/>
                <w:color w:val="auto"/>
              </w:rPr>
            </w:pPr>
          </w:p>
        </w:tc>
        <w:tc>
          <w:tcPr>
            <w:tcW w:w="140" w:type="dxa"/>
            <w:vAlign w:val="bottom"/>
            <w:gridSpan w:val="3"/>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ind w:left="220"/>
              <w:spacing w:after="0" w:line="196" w:lineRule="exact"/>
              <w:rPr>
                <w:sz w:val="20"/>
                <w:szCs w:val="20"/>
                <w:color w:val="auto"/>
              </w:rPr>
            </w:pPr>
            <w:r>
              <w:rPr>
                <w:rFonts w:ascii="Arial" w:cs="Arial" w:eastAsia="Arial" w:hAnsi="Arial"/>
                <w:sz w:val="18"/>
                <w:szCs w:val="18"/>
                <w:color w:val="auto"/>
              </w:rPr>
              <w:t>X</w:t>
            </w: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gridSpan w:val="16"/>
          </w:tcPr>
          <w:p>
            <w:pPr>
              <w:spacing w:after="0" w:line="196" w:lineRule="exact"/>
              <w:rPr>
                <w:sz w:val="20"/>
                <w:szCs w:val="20"/>
                <w:color w:val="auto"/>
              </w:rPr>
            </w:pPr>
            <w:r>
              <w:rPr>
                <w:rFonts w:ascii="Arial" w:cs="Arial" w:eastAsia="Arial" w:hAnsi="Arial"/>
                <w:sz w:val="18"/>
                <w:szCs w:val="18"/>
                <w:color w:val="0000EE"/>
                <w:w w:val="90"/>
              </w:rPr>
              <w:t>1350 as adopted pursuant to Section 906 of The Sarbanes-Oxley Act of 2002.</w:t>
            </w:r>
          </w:p>
        </w:tc>
        <w:tc>
          <w:tcPr>
            <w:tcW w:w="7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8"/>
        </w:trPr>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2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auto"/>
                <w:w w:val="90"/>
              </w:rPr>
              <w:t>Inline XBRL Instance Document - the instance document does not appear in</w:t>
            </w: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180" w:type="dxa"/>
            <w:vAlign w:val="bottom"/>
          </w:tcPr>
          <w:p>
            <w:pPr>
              <w:spacing w:after="0"/>
              <w:rPr>
                <w:sz w:val="18"/>
                <w:szCs w:val="18"/>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auto"/>
                <w:w w:val="94"/>
              </w:rPr>
              <w:t>the Interactive Data File because its XBRL tags are embedded within the</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auto"/>
              </w:rPr>
              <w:t>Inline XBRL document.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8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auto"/>
              </w:rPr>
              <w:t>Inline XBRL Taxonomy Extension Schema Document.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18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8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auto"/>
              </w:rPr>
              <w:t>Inline XBRL Taxonomy Extension Definition Linkbase.</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8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auto"/>
              </w:rPr>
              <w:t>Inline XBRL Taxonomy Extension Labels Linkbase Document.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180" w:type="dxa"/>
            <w:vAlign w:val="bottom"/>
          </w:tcPr>
          <w:p>
            <w:pPr>
              <w:spacing w:after="0"/>
              <w:rPr>
                <w:sz w:val="24"/>
                <w:szCs w:val="24"/>
                <w:color w:val="auto"/>
              </w:rPr>
            </w:pPr>
          </w:p>
        </w:tc>
        <w:tc>
          <w:tcPr>
            <w:tcW w:w="5520" w:type="dxa"/>
            <w:vAlign w:val="bottom"/>
            <w:gridSpan w:val="14"/>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6"/>
              </w:rPr>
              <w:t>104</w:t>
            </w:r>
          </w:p>
        </w:tc>
        <w:tc>
          <w:tcPr>
            <w:tcW w:w="180" w:type="dxa"/>
            <w:vAlign w:val="bottom"/>
          </w:tcPr>
          <w:p>
            <w:pPr>
              <w:spacing w:after="0"/>
              <w:rPr>
                <w:sz w:val="24"/>
                <w:szCs w:val="24"/>
                <w:color w:val="auto"/>
              </w:rPr>
            </w:pPr>
          </w:p>
        </w:tc>
        <w:tc>
          <w:tcPr>
            <w:tcW w:w="5620" w:type="dxa"/>
            <w:vAlign w:val="bottom"/>
            <w:gridSpan w:val="16"/>
          </w:tcPr>
          <w:p>
            <w:pPr>
              <w:spacing w:after="0"/>
              <w:rPr>
                <w:sz w:val="20"/>
                <w:szCs w:val="20"/>
                <w:color w:val="auto"/>
              </w:rPr>
            </w:pPr>
            <w:r>
              <w:rPr>
                <w:rFonts w:ascii="Arial" w:cs="Arial" w:eastAsia="Arial" w:hAnsi="Arial"/>
                <w:sz w:val="18"/>
                <w:szCs w:val="18"/>
                <w:color w:val="auto"/>
                <w:w w:val="92"/>
              </w:rPr>
              <w:t>Cover Page Interactive Data File - formatted in Inline XBRL and included as</w:t>
            </w:r>
          </w:p>
        </w:tc>
        <w:tc>
          <w:tcPr>
            <w:tcW w:w="760" w:type="dxa"/>
            <w:vAlign w:val="bottom"/>
            <w:vMerge w:val="restart"/>
          </w:tcPr>
          <w:p>
            <w:pPr>
              <w:ind w:left="220"/>
              <w:spacing w:after="0"/>
              <w:rPr>
                <w:sz w:val="20"/>
                <w:szCs w:val="20"/>
                <w:color w:val="auto"/>
              </w:rPr>
            </w:pPr>
            <w:r>
              <w:rPr>
                <w:rFonts w:ascii="Arial" w:cs="Arial" w:eastAsia="Arial" w:hAnsi="Arial"/>
                <w:sz w:val="18"/>
                <w:szCs w:val="18"/>
                <w:color w:val="auto"/>
              </w:rPr>
              <w:t>X</w:t>
            </w: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5520" w:type="dxa"/>
            <w:vAlign w:val="bottom"/>
            <w:gridSpan w:val="14"/>
            <w:vMerge w:val="restart"/>
          </w:tcPr>
          <w:p>
            <w:pPr>
              <w:spacing w:after="0"/>
              <w:rPr>
                <w:sz w:val="20"/>
                <w:szCs w:val="20"/>
                <w:color w:val="auto"/>
              </w:rPr>
            </w:pPr>
            <w:r>
              <w:rPr>
                <w:rFonts w:ascii="Arial" w:cs="Arial" w:eastAsia="Arial" w:hAnsi="Arial"/>
                <w:sz w:val="18"/>
                <w:szCs w:val="18"/>
                <w:color w:val="auto"/>
              </w:rPr>
              <w:t>Exhibit 101.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520" w:type="dxa"/>
            <w:vAlign w:val="bottom"/>
            <w:gridSpan w:val="14"/>
            <w:vMerge w:val="continue"/>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40" w:hanging="236"/>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rFonts w:ascii="Arial" w:cs="Arial" w:eastAsia="Arial" w:hAnsi="Arial"/>
          <w:sz w:val="18"/>
          <w:szCs w:val="18"/>
          <w:color w:val="auto"/>
        </w:rPr>
      </w:pPr>
    </w:p>
    <w:p>
      <w:pPr>
        <w:ind w:left="1040" w:right="4800" w:hanging="230"/>
        <w:spacing w:after="0" w:line="250" w:lineRule="auto"/>
        <w:rPr>
          <w:rFonts w:ascii="Arial" w:cs="Arial" w:eastAsia="Arial" w:hAnsi="Arial"/>
          <w:sz w:val="18"/>
          <w:szCs w:val="18"/>
          <w:color w:val="auto"/>
        </w:rPr>
      </w:pPr>
      <w:r>
        <w:rPr>
          <w:rFonts w:ascii="Arial" w:cs="Arial" w:eastAsia="Arial" w:hAnsi="Arial"/>
          <w:sz w:val="18"/>
          <w:szCs w:val="18"/>
          <w:color w:val="auto"/>
        </w:rPr>
        <w:t>† Portions of this exhibit have been omitted due to a determination by the Securities and Exchange Commission that these portions should be granted confidential treatment.</w:t>
      </w:r>
    </w:p>
    <w:p>
      <w:pPr>
        <w:spacing w:after="0" w:line="1" w:lineRule="exact"/>
        <w:rPr>
          <w:rFonts w:ascii="Arial" w:cs="Arial" w:eastAsia="Arial" w:hAnsi="Arial"/>
          <w:sz w:val="18"/>
          <w:szCs w:val="18"/>
          <w:color w:val="auto"/>
        </w:rPr>
      </w:pPr>
    </w:p>
    <w:p>
      <w:pPr>
        <w:ind w:left="1040" w:right="4620" w:hanging="230"/>
        <w:spacing w:after="0" w:line="255" w:lineRule="auto"/>
        <w:rPr>
          <w:rFonts w:ascii="Arial" w:cs="Arial" w:eastAsia="Arial" w:hAnsi="Arial"/>
          <w:sz w:val="18"/>
          <w:szCs w:val="18"/>
          <w:color w:val="auto"/>
        </w:rPr>
      </w:pPr>
      <w:r>
        <w:rPr>
          <w:rFonts w:ascii="Arial" w:cs="Arial" w:eastAsia="Arial" w:hAnsi="Arial"/>
          <w:sz w:val="18"/>
          <w:szCs w:val="18"/>
          <w:color w:val="auto"/>
        </w:rPr>
        <w:t># Portions of the exhibit, marked by brackets, have been omitted because the omitted information (i) is not material and (ii) would likely cause competitive harm if publicly disclosed.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Annual Report on Form 10-K to be signed on its behalf by the undersigned, thereunto duly authorized, in the City of Foster City, State of California on February 23, 2023.</w:t>
      </w:r>
    </w:p>
    <w:p>
      <w:pPr>
        <w:sectPr>
          <w:pgSz w:w="11900" w:h="16838" w:orient="portrait"/>
          <w:cols w:equalWidth="0" w:num="1">
            <w:col w:w="11160"/>
          </w:cols>
          <w:pgMar w:left="320" w:top="125" w:right="4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QUALYS, INC.</w:t>
      </w:r>
    </w:p>
    <w:p>
      <w:pPr>
        <w:spacing w:after="0" w:line="25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/s/ SUMEDH THAKAR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236601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Sumedh Thakar</w:t>
      </w:r>
    </w:p>
    <w:p>
      <w:pPr>
        <w:spacing w:after="0" w:line="23" w:lineRule="exact"/>
        <w:rPr>
          <w:sz w:val="20"/>
          <w:szCs w:val="20"/>
          <w:color w:val="auto"/>
        </w:rPr>
      </w:pPr>
    </w:p>
    <w:p>
      <w:pPr>
        <w:ind w:right="900"/>
        <w:spacing w:after="0" w:line="260" w:lineRule="auto"/>
        <w:rPr>
          <w:sz w:val="20"/>
          <w:szCs w:val="20"/>
          <w:color w:val="auto"/>
        </w:rPr>
      </w:pPr>
      <w:r>
        <w:rPr>
          <w:rFonts w:ascii="Arial" w:cs="Arial" w:eastAsia="Arial" w:hAnsi="Arial"/>
          <w:sz w:val="18"/>
          <w:szCs w:val="18"/>
          <w:color w:val="auto"/>
        </w:rPr>
        <w:t>President and Chief Executive Officer (principal executive officer)</w:t>
      </w:r>
    </w:p>
    <w:p>
      <w:pPr>
        <w:sectPr>
          <w:pgSz w:w="11900" w:h="16838" w:orient="portrait"/>
          <w:cols w:equalWidth="0" w:num="2">
            <w:col w:w="7360" w:space="160"/>
            <w:col w:w="3640"/>
          </w:cols>
          <w:pgMar w:left="320" w:top="125" w:right="41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SUMEDH THAKAR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8846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5">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Sumedh Thakar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 JOO MI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884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6">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Joo Mi Kim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JEFFREY P. 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884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7">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Hank</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WILLIAM BERUTTI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884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8">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William Berutti</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/s/ GENERAL PETER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16884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9">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General Peter Pace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KRISTI M.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884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0">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Kristi M. Rogers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WENDY M. PFEIFFER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884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1">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Wendy M. Pfeiffer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 JOHN A. ZANGARDI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6884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A. Zangardi</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Director, President and Chief Executive Officer (principal</w:t>
      </w:r>
    </w:p>
    <w:p>
      <w:pPr>
        <w:spacing w:after="0" w:line="23"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executive officer)</w:t>
      </w:r>
      <w:r>
        <w:rPr>
          <w:sz w:val="20"/>
          <w:szCs w:val="20"/>
          <w:color w:val="auto"/>
        </w:rPr>
        <w:tab/>
      </w:r>
      <w:r>
        <w:rPr>
          <w:rFonts w:ascii="Arial" w:cs="Arial" w:eastAsia="Arial" w:hAnsi="Arial"/>
          <w:sz w:val="16"/>
          <w:szCs w:val="16"/>
          <w:color w:val="auto"/>
        </w:rPr>
        <w:t>February 23, 2023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 and principal</w:t>
      </w:r>
    </w:p>
    <w:p>
      <w:pPr>
        <w:spacing w:after="0" w:line="23"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accounting officer)</w:t>
      </w:r>
      <w:r>
        <w:rPr>
          <w:sz w:val="20"/>
          <w:szCs w:val="20"/>
          <w:color w:val="auto"/>
        </w:rPr>
        <w:tab/>
      </w:r>
      <w:r>
        <w:rPr>
          <w:rFonts w:ascii="Arial" w:cs="Arial" w:eastAsia="Arial" w:hAnsi="Arial"/>
          <w:sz w:val="16"/>
          <w:szCs w:val="16"/>
          <w:color w:val="auto"/>
        </w:rPr>
        <w:t>February 23, 2023</w:t>
      </w:r>
    </w:p>
    <w:p>
      <w:pPr>
        <w:spacing w:after="0" w:line="200" w:lineRule="exact"/>
        <w:rPr>
          <w:sz w:val="20"/>
          <w:szCs w:val="20"/>
          <w:color w:val="auto"/>
        </w:rPr>
      </w:pPr>
    </w:p>
    <w:p>
      <w:pPr>
        <w:spacing w:after="0" w:line="240"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Chair of the Board of Directors</w:t>
      </w:r>
      <w:r>
        <w:rPr>
          <w:sz w:val="20"/>
          <w:szCs w:val="20"/>
          <w:color w:val="auto"/>
        </w:rPr>
        <w:tab/>
      </w:r>
      <w:r>
        <w:rPr>
          <w:rFonts w:ascii="Arial" w:cs="Arial" w:eastAsia="Arial" w:hAnsi="Arial"/>
          <w:sz w:val="16"/>
          <w:szCs w:val="16"/>
          <w:color w:val="auto"/>
        </w:rPr>
        <w:t>February 23, 2023</w:t>
      </w:r>
    </w:p>
    <w:p>
      <w:pPr>
        <w:spacing w:after="0" w:line="200" w:lineRule="exact"/>
        <w:rPr>
          <w:sz w:val="20"/>
          <w:szCs w:val="20"/>
          <w:color w:val="auto"/>
        </w:rPr>
      </w:pPr>
    </w:p>
    <w:p>
      <w:pPr>
        <w:spacing w:after="0" w:line="255"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23, 2023</w:t>
      </w:r>
    </w:p>
    <w:p>
      <w:pPr>
        <w:spacing w:after="0" w:line="200" w:lineRule="exact"/>
        <w:rPr>
          <w:sz w:val="20"/>
          <w:szCs w:val="20"/>
          <w:color w:val="auto"/>
        </w:rPr>
      </w:pPr>
    </w:p>
    <w:p>
      <w:pPr>
        <w:spacing w:after="0" w:line="278"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23, 2023</w:t>
      </w:r>
    </w:p>
    <w:p>
      <w:pPr>
        <w:spacing w:after="0" w:line="200" w:lineRule="exact"/>
        <w:rPr>
          <w:sz w:val="20"/>
          <w:szCs w:val="20"/>
          <w:color w:val="auto"/>
        </w:rPr>
      </w:pPr>
    </w:p>
    <w:p>
      <w:pPr>
        <w:spacing w:after="0" w:line="278"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23, 2023</w:t>
      </w:r>
    </w:p>
    <w:p>
      <w:pPr>
        <w:spacing w:after="0" w:line="200" w:lineRule="exact"/>
        <w:rPr>
          <w:sz w:val="20"/>
          <w:szCs w:val="20"/>
          <w:color w:val="auto"/>
        </w:rPr>
      </w:pPr>
    </w:p>
    <w:p>
      <w:pPr>
        <w:spacing w:after="0" w:line="278"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23, 2023</w:t>
      </w:r>
    </w:p>
    <w:p>
      <w:pPr>
        <w:spacing w:after="0" w:line="200" w:lineRule="exact"/>
        <w:rPr>
          <w:sz w:val="20"/>
          <w:szCs w:val="20"/>
          <w:color w:val="auto"/>
        </w:rPr>
      </w:pPr>
    </w:p>
    <w:p>
      <w:pPr>
        <w:spacing w:after="0" w:line="278"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February 23, 2023</w:t>
      </w:r>
    </w:p>
    <w:p>
      <w:pPr>
        <w:spacing w:after="0" w:line="200" w:lineRule="exact"/>
        <w:rPr>
          <w:sz w:val="20"/>
          <w:szCs w:val="20"/>
          <w:color w:val="auto"/>
        </w:rPr>
      </w:pPr>
    </w:p>
    <w:p>
      <w:pPr>
        <w:spacing w:after="0" w:line="264"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85</w:t>
      </w:r>
    </w:p>
    <w:p>
      <w:pPr>
        <w:sectPr>
          <w:pgSz w:w="11900" w:h="16838" w:orient="portrait"/>
          <w:cols w:equalWidth="0" w:num="2">
            <w:col w:w="3680" w:space="720"/>
            <w:col w:w="6840"/>
          </w:cols>
          <w:pgMar w:left="320" w:top="125" w:right="339" w:bottom="1440" w:gutter="0" w:footer="0" w:header="0"/>
          <w:type w:val="continuous"/>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10.11</w:t>
      </w:r>
    </w:p>
    <w:p>
      <w:pPr>
        <w:spacing w:after="0" w:line="27" w:lineRule="exact"/>
        <w:rPr>
          <w:sz w:val="20"/>
          <w:szCs w:val="20"/>
          <w:color w:val="auto"/>
        </w:rPr>
      </w:pPr>
    </w:p>
    <w:p>
      <w:pPr>
        <w:ind w:right="280" w:firstLine="8"/>
        <w:spacing w:after="0" w:line="260" w:lineRule="auto"/>
        <w:tabs>
          <w:tab w:leader="none" w:pos="435"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Certain information in this document has been excluded because it both (i) is not material and (ii) would likely cause competitive harm to the registrant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148715" cy="9861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114871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2022 CORPORATE BONUS PLAN</w:t>
      </w:r>
    </w:p>
    <w:p>
      <w:pPr>
        <w:spacing w:after="0" w:line="225" w:lineRule="exact"/>
        <w:rPr>
          <w:sz w:val="20"/>
          <w:szCs w:val="20"/>
          <w:color w:val="auto"/>
        </w:rPr>
      </w:pPr>
    </w:p>
    <w:p>
      <w:pPr>
        <w:ind w:left="120" w:right="840" w:firstLine="644"/>
        <w:spacing w:after="0" w:line="347" w:lineRule="auto"/>
        <w:tabs>
          <w:tab w:leader="none" w:pos="1083" w:val="left"/>
        </w:tabs>
        <w:numPr>
          <w:ilvl w:val="0"/>
          <w:numId w:val="29"/>
        </w:numPr>
        <w:rPr>
          <w:rFonts w:ascii="Arial" w:cs="Arial" w:eastAsia="Arial" w:hAnsi="Arial"/>
          <w:sz w:val="16"/>
          <w:szCs w:val="16"/>
          <w:b w:val="1"/>
          <w:bCs w:val="1"/>
          <w:color w:val="auto"/>
        </w:rPr>
      </w:pPr>
      <w:r>
        <w:rPr>
          <w:rFonts w:ascii="Arial" w:cs="Arial" w:eastAsia="Arial" w:hAnsi="Arial"/>
          <w:sz w:val="16"/>
          <w:szCs w:val="16"/>
          <w:b w:val="1"/>
          <w:bCs w:val="1"/>
          <w:color w:val="auto"/>
        </w:rPr>
        <w:t>Purpose</w:t>
      </w:r>
      <w:r>
        <w:rPr>
          <w:rFonts w:ascii="Arial" w:cs="Arial" w:eastAsia="Arial" w:hAnsi="Arial"/>
          <w:sz w:val="16"/>
          <w:szCs w:val="16"/>
          <w:color w:val="auto"/>
        </w:rPr>
        <w:t>. The purpose of this 2022 Corporate Bonus Plan (the “Plan”) is to motivate and encourage the employees of Qualys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achieve its stated goals and to assist the Company in attracting, motivating and retaining employees on a competitive basis.</w:t>
      </w:r>
    </w:p>
    <w:p>
      <w:pPr>
        <w:spacing w:after="0" w:line="115" w:lineRule="exact"/>
        <w:rPr>
          <w:rFonts w:ascii="Arial" w:cs="Arial" w:eastAsia="Arial" w:hAnsi="Arial"/>
          <w:sz w:val="16"/>
          <w:szCs w:val="16"/>
          <w:b w:val="1"/>
          <w:bCs w:val="1"/>
          <w:color w:val="auto"/>
        </w:rPr>
      </w:pPr>
    </w:p>
    <w:p>
      <w:pPr>
        <w:ind w:left="1080" w:hanging="316"/>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00" w:lineRule="exact"/>
        <w:rPr>
          <w:rFonts w:ascii="Arial" w:cs="Arial" w:eastAsia="Arial" w:hAnsi="Arial"/>
          <w:sz w:val="18"/>
          <w:szCs w:val="18"/>
          <w:b w:val="1"/>
          <w:bCs w:val="1"/>
          <w:color w:val="auto"/>
        </w:rPr>
      </w:pPr>
    </w:p>
    <w:p>
      <w:pPr>
        <w:spacing w:after="0" w:line="245" w:lineRule="exact"/>
        <w:rPr>
          <w:rFonts w:ascii="Arial" w:cs="Arial" w:eastAsia="Arial" w:hAnsi="Arial"/>
          <w:sz w:val="18"/>
          <w:szCs w:val="18"/>
          <w:b w:val="1"/>
          <w:bCs w:val="1"/>
          <w:color w:val="auto"/>
        </w:rPr>
      </w:pPr>
    </w:p>
    <w:p>
      <w:pPr>
        <w:ind w:left="120" w:right="60" w:firstLine="1292"/>
        <w:spacing w:after="0" w:line="263" w:lineRule="auto"/>
        <w:tabs>
          <w:tab w:leader="none" w:pos="178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 officer or employee of the Company is designated as a participant in the Plan (“Participant”) and shall be eligible to participate in the Plan if he or she is a regular full- time or regular part-time employee (working greater than 20 hours a week) and he or she is not already participating in a separate Compensation Plan or MBO plan.</w:t>
      </w:r>
    </w:p>
    <w:p>
      <w:pPr>
        <w:spacing w:after="0" w:line="179" w:lineRule="exact"/>
        <w:rPr>
          <w:rFonts w:ascii="Arial" w:cs="Arial" w:eastAsia="Arial" w:hAnsi="Arial"/>
          <w:sz w:val="18"/>
          <w:szCs w:val="18"/>
          <w:color w:val="auto"/>
        </w:rPr>
      </w:pPr>
    </w:p>
    <w:p>
      <w:pPr>
        <w:ind w:left="120" w:right="580" w:firstLine="1292"/>
        <w:spacing w:after="0" w:line="282" w:lineRule="auto"/>
        <w:tabs>
          <w:tab w:leader="none" w:pos="1806"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New Hires</w:t>
      </w:r>
      <w:r>
        <w:rPr>
          <w:rFonts w:ascii="Arial" w:cs="Arial" w:eastAsia="Arial" w:hAnsi="Arial"/>
          <w:sz w:val="18"/>
          <w:szCs w:val="18"/>
          <w:color w:val="auto"/>
        </w:rPr>
        <w:t>. New employees hired in the first or second month of a quarter will be eligible to participate in the Plan for that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such participation will be prorated based on the number of days employed in the quarter.</w:t>
      </w:r>
    </w:p>
    <w:p>
      <w:pPr>
        <w:spacing w:after="0" w:line="161" w:lineRule="exact"/>
        <w:rPr>
          <w:rFonts w:ascii="Arial" w:cs="Arial" w:eastAsia="Arial" w:hAnsi="Arial"/>
          <w:sz w:val="18"/>
          <w:szCs w:val="18"/>
          <w:color w:val="auto"/>
        </w:rPr>
      </w:pPr>
    </w:p>
    <w:p>
      <w:pPr>
        <w:ind w:left="1780" w:hanging="368"/>
        <w:spacing w:after="0"/>
        <w:tabs>
          <w:tab w:leader="none" w:pos="1780" w:val="left"/>
        </w:tabs>
        <w:numPr>
          <w:ilvl w:val="1"/>
          <w:numId w:val="29"/>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Employment. </w:t>
      </w:r>
      <w:r>
        <w:rPr>
          <w:rFonts w:ascii="Arial" w:cs="Arial" w:eastAsia="Arial" w:hAnsi="Arial"/>
          <w:sz w:val="17"/>
          <w:szCs w:val="17"/>
          <w:color w:val="auto"/>
        </w:rPr>
        <w:t>To be eligible for the bonus, the employee must be employed as of the last day of the quarter.</w:t>
      </w:r>
    </w:p>
    <w:p>
      <w:pPr>
        <w:spacing w:after="0" w:line="236" w:lineRule="exact"/>
        <w:rPr>
          <w:rFonts w:ascii="Arial" w:cs="Arial" w:eastAsia="Arial" w:hAnsi="Arial"/>
          <w:sz w:val="17"/>
          <w:szCs w:val="17"/>
          <w:color w:val="auto"/>
        </w:rPr>
      </w:pPr>
    </w:p>
    <w:p>
      <w:pPr>
        <w:ind w:left="120" w:right="140" w:firstLine="1292"/>
        <w:spacing w:after="0" w:line="266" w:lineRule="auto"/>
        <w:tabs>
          <w:tab w:leader="none" w:pos="1796" w:val="left"/>
        </w:tabs>
        <w:numPr>
          <w:ilvl w:val="1"/>
          <w:numId w:val="29"/>
        </w:numPr>
        <w:rPr>
          <w:rFonts w:ascii="Arial" w:cs="Arial" w:eastAsia="Arial" w:hAnsi="Arial"/>
          <w:sz w:val="18"/>
          <w:szCs w:val="18"/>
          <w:color w:val="auto"/>
        </w:rPr>
      </w:pPr>
      <w:r>
        <w:rPr>
          <w:rFonts w:ascii="Arial" w:cs="Arial" w:eastAsia="Arial" w:hAnsi="Arial"/>
          <w:sz w:val="18"/>
          <w:szCs w:val="18"/>
          <w:b w:val="1"/>
          <w:bCs w:val="1"/>
          <w:color w:val="auto"/>
        </w:rPr>
        <w:t xml:space="preserve">Absence during Performance Period. </w:t>
      </w:r>
      <w:r>
        <w:rPr>
          <w:rFonts w:ascii="Arial" w:cs="Arial" w:eastAsia="Arial" w:hAnsi="Arial"/>
          <w:sz w:val="18"/>
          <w:szCs w:val="18"/>
          <w:color w:val="auto"/>
        </w:rPr>
        <w:t>If a Participant is absent for a period of more than one-half of the scheduled workdays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a quarter, for any reason, the Participant’s bonus payment will be prorated based on the number of days the Participant actually worked compared to the total number of scheduled work days during that quarter.</w:t>
      </w:r>
    </w:p>
    <w:p>
      <w:pPr>
        <w:spacing w:after="0" w:line="175" w:lineRule="exact"/>
        <w:rPr>
          <w:rFonts w:ascii="Arial" w:cs="Arial" w:eastAsia="Arial" w:hAnsi="Arial"/>
          <w:sz w:val="18"/>
          <w:szCs w:val="18"/>
          <w:color w:val="auto"/>
        </w:rPr>
      </w:pPr>
    </w:p>
    <w:p>
      <w:pPr>
        <w:ind w:left="1080" w:hanging="316"/>
        <w:spacing w:after="0"/>
        <w:tabs>
          <w:tab w:leader="none" w:pos="108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Bonus Criteria</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1840" w:hanging="374"/>
        <w:spacing w:after="0"/>
        <w:tabs>
          <w:tab w:leader="none" w:pos="1840" w:val="left"/>
        </w:tabs>
        <w:numPr>
          <w:ilvl w:val="2"/>
          <w:numId w:val="29"/>
        </w:numPr>
        <w:rPr>
          <w:rFonts w:ascii="Arial" w:cs="Arial" w:eastAsia="Arial" w:hAnsi="Arial"/>
          <w:sz w:val="16"/>
          <w:szCs w:val="16"/>
          <w:color w:val="auto"/>
        </w:rPr>
      </w:pPr>
      <w:r>
        <w:rPr>
          <w:rFonts w:ascii="Arial" w:cs="Arial" w:eastAsia="Arial" w:hAnsi="Arial"/>
          <w:sz w:val="16"/>
          <w:szCs w:val="16"/>
          <w:b w:val="1"/>
          <w:bCs w:val="1"/>
          <w:color w:val="auto"/>
        </w:rPr>
        <w:t xml:space="preserve">Bonus Period. </w:t>
      </w:r>
      <w:r>
        <w:rPr>
          <w:rFonts w:ascii="Arial" w:cs="Arial" w:eastAsia="Arial" w:hAnsi="Arial"/>
          <w:sz w:val="16"/>
          <w:szCs w:val="16"/>
          <w:color w:val="auto"/>
        </w:rPr>
        <w:t>The Bonus Plan is effective from January 1, 2022 through December 31, 2022. Each calendar quarter is a separate</w:t>
      </w:r>
    </w:p>
    <w:p>
      <w:pPr>
        <w:spacing w:after="0" w:line="50"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bonus period.</w:t>
      </w:r>
    </w:p>
    <w:p>
      <w:pPr>
        <w:spacing w:after="0" w:line="206" w:lineRule="exact"/>
        <w:rPr>
          <w:rFonts w:ascii="Arial" w:cs="Arial" w:eastAsia="Arial" w:hAnsi="Arial"/>
          <w:sz w:val="16"/>
          <w:szCs w:val="16"/>
          <w:color w:val="auto"/>
        </w:rPr>
      </w:pPr>
    </w:p>
    <w:p>
      <w:pPr>
        <w:ind w:left="120" w:right="560" w:firstLine="1292"/>
        <w:spacing w:after="0" w:line="347" w:lineRule="auto"/>
        <w:tabs>
          <w:tab w:leader="none" w:pos="1806"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Bonus Level. </w:t>
      </w:r>
      <w:r>
        <w:rPr>
          <w:rFonts w:ascii="Arial" w:cs="Arial" w:eastAsia="Arial" w:hAnsi="Arial"/>
          <w:sz w:val="16"/>
          <w:szCs w:val="16"/>
          <w:color w:val="auto"/>
        </w:rPr>
        <w:t>A Participant’s level of participation in the Plan is set based on their grade level as determined by the Human</w:t>
      </w:r>
      <w:r>
        <w:rPr>
          <w:rFonts w:ascii="Arial" w:cs="Arial" w:eastAsia="Arial" w:hAnsi="Arial"/>
          <w:sz w:val="16"/>
          <w:szCs w:val="16"/>
          <w:b w:val="1"/>
          <w:bCs w:val="1"/>
          <w:color w:val="auto"/>
        </w:rPr>
        <w:t xml:space="preserve"> </w:t>
      </w:r>
      <w:r>
        <w:rPr>
          <w:rFonts w:ascii="Arial" w:cs="Arial" w:eastAsia="Arial" w:hAnsi="Arial"/>
          <w:sz w:val="16"/>
          <w:szCs w:val="16"/>
          <w:color w:val="auto"/>
        </w:rPr>
        <w:t>Resources Department and is applied to the Participant’s base salary as of the last day of that quarter to determine the bonus amount.</w:t>
      </w:r>
    </w:p>
    <w:p>
      <w:pPr>
        <w:spacing w:after="0" w:line="115" w:lineRule="exact"/>
        <w:rPr>
          <w:rFonts w:ascii="Arial" w:cs="Arial" w:eastAsia="Arial" w:hAnsi="Arial"/>
          <w:sz w:val="16"/>
          <w:szCs w:val="16"/>
          <w:color w:val="auto"/>
        </w:rPr>
      </w:pPr>
    </w:p>
    <w:p>
      <w:pPr>
        <w:ind w:left="120" w:right="240" w:firstLine="1292"/>
        <w:spacing w:after="0" w:line="282" w:lineRule="auto"/>
        <w:tabs>
          <w:tab w:leader="none" w:pos="1795" w:val="left"/>
        </w:tabs>
        <w:numPr>
          <w:ilvl w:val="1"/>
          <w:numId w:val="30"/>
        </w:numPr>
        <w:rPr>
          <w:rFonts w:ascii="Arial" w:cs="Arial" w:eastAsia="Arial" w:hAnsi="Arial"/>
          <w:sz w:val="18"/>
          <w:szCs w:val="18"/>
          <w:color w:val="auto"/>
        </w:rPr>
      </w:pPr>
      <w:r>
        <w:rPr>
          <w:rFonts w:ascii="Arial" w:cs="Arial" w:eastAsia="Arial" w:hAnsi="Arial"/>
          <w:sz w:val="18"/>
          <w:szCs w:val="18"/>
          <w:b w:val="1"/>
          <w:bCs w:val="1"/>
          <w:color w:val="auto"/>
        </w:rPr>
        <w:t xml:space="preserve">Objective Criteria: </w:t>
      </w:r>
      <w:r>
        <w:rPr>
          <w:rFonts w:ascii="Arial" w:cs="Arial" w:eastAsia="Arial" w:hAnsi="Arial"/>
          <w:sz w:val="18"/>
          <w:szCs w:val="18"/>
          <w:color w:val="auto"/>
        </w:rPr>
        <w:t>The Plan payments will be based on ASV (as defined below), Revenue (as defined below) and Non-GAAP</w:t>
      </w:r>
      <w:r>
        <w:rPr>
          <w:rFonts w:ascii="Arial" w:cs="Arial" w:eastAsia="Arial" w:hAnsi="Arial"/>
          <w:sz w:val="18"/>
          <w:szCs w:val="18"/>
          <w:b w:val="1"/>
          <w:bCs w:val="1"/>
          <w:color w:val="auto"/>
        </w:rPr>
        <w:t xml:space="preserve"> </w:t>
      </w:r>
      <w:r>
        <w:rPr>
          <w:rFonts w:ascii="Arial" w:cs="Arial" w:eastAsia="Arial" w:hAnsi="Arial"/>
          <w:sz w:val="18"/>
          <w:szCs w:val="18"/>
          <w:color w:val="auto"/>
        </w:rPr>
        <w:t>EPS (as defined below).</w:t>
      </w:r>
    </w:p>
    <w:p>
      <w:pPr>
        <w:spacing w:after="0" w:line="161" w:lineRule="exact"/>
        <w:rPr>
          <w:rFonts w:ascii="Arial" w:cs="Arial" w:eastAsia="Arial" w:hAnsi="Arial"/>
          <w:sz w:val="18"/>
          <w:szCs w:val="18"/>
          <w:color w:val="auto"/>
        </w:rPr>
      </w:pPr>
    </w:p>
    <w:p>
      <w:pPr>
        <w:ind w:left="120" w:right="40" w:firstLine="1940"/>
        <w:spacing w:after="0" w:line="261" w:lineRule="auto"/>
        <w:tabs>
          <w:tab w:leader="none" w:pos="2444" w:val="left"/>
        </w:tabs>
        <w:numPr>
          <w:ilvl w:val="3"/>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ASV</w:t>
      </w:r>
      <w:r>
        <w:rPr>
          <w:rFonts w:ascii="Arial" w:cs="Arial" w:eastAsia="Arial" w:hAnsi="Arial"/>
          <w:sz w:val="18"/>
          <w:szCs w:val="18"/>
          <w:color w:val="auto"/>
        </w:rPr>
        <w:t>. The stated goal is the growth in company-wide bookings as represented by Annual Subscription Value (“ASV”)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current quarter over the same quarter of the prior year. ASV is the sum of one year’s worth of subscribed revenues to Qualys for all new, renewal and upsell subscriptions contracted by customers and channel partners in each quarter. ASV is determined by policies and practices administered by the Controller and the final quarterly ASV amount is approved by the CFO.</w:t>
      </w:r>
    </w:p>
    <w:p>
      <w:pPr>
        <w:spacing w:after="0" w:line="179" w:lineRule="exact"/>
        <w:rPr>
          <w:rFonts w:ascii="Arial" w:cs="Arial" w:eastAsia="Arial" w:hAnsi="Arial"/>
          <w:sz w:val="18"/>
          <w:szCs w:val="18"/>
          <w:b w:val="1"/>
          <w:bCs w:val="1"/>
          <w:color w:val="auto"/>
        </w:rPr>
      </w:pPr>
    </w:p>
    <w:p>
      <w:pPr>
        <w:ind w:left="120" w:right="60" w:firstLine="1940"/>
        <w:spacing w:after="0" w:line="282" w:lineRule="auto"/>
        <w:tabs>
          <w:tab w:leader="none" w:pos="2454" w:val="left"/>
        </w:tabs>
        <w:numPr>
          <w:ilvl w:val="3"/>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stated goal is the growth in company-wide revenue (as determined in accordance with GAAP and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quarterly and annual financial statements) for the current quarter over the same quarter of the prior year.</w:t>
      </w:r>
    </w:p>
    <w:p>
      <w:pPr>
        <w:spacing w:after="0" w:line="161" w:lineRule="exact"/>
        <w:rPr>
          <w:rFonts w:ascii="Arial" w:cs="Arial" w:eastAsia="Arial" w:hAnsi="Arial"/>
          <w:sz w:val="18"/>
          <w:szCs w:val="18"/>
          <w:b w:val="1"/>
          <w:bCs w:val="1"/>
          <w:color w:val="auto"/>
        </w:rPr>
      </w:pPr>
    </w:p>
    <w:p>
      <w:pPr>
        <w:jc w:val="both"/>
        <w:ind w:left="120" w:right="200" w:firstLine="1940"/>
        <w:spacing w:after="0" w:line="266" w:lineRule="auto"/>
        <w:tabs>
          <w:tab w:leader="none" w:pos="2454" w:val="left"/>
        </w:tabs>
        <w:numPr>
          <w:ilvl w:val="3"/>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Non-GAAP EPS</w:t>
      </w:r>
      <w:r>
        <w:rPr>
          <w:rFonts w:ascii="Arial" w:cs="Arial" w:eastAsia="Arial" w:hAnsi="Arial"/>
          <w:sz w:val="18"/>
          <w:szCs w:val="18"/>
          <w:color w:val="auto"/>
        </w:rPr>
        <w:t>. The stated goal is Non-GAAP earnings per diluted share. Non-GAAP EPS is GAAP net income less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stock-based compensation expense, acquisition-related expenses (except for ordinary course advisory fees), tax adjustments and bonus payments under this Plan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weighted average shares (diluted) for the applicable quarter.</w:t>
      </w:r>
    </w:p>
    <w:p>
      <w:pPr>
        <w:spacing w:after="0" w:line="391" w:lineRule="exact"/>
        <w:rPr>
          <w:rFonts w:ascii="Arial" w:cs="Arial" w:eastAsia="Arial" w:hAnsi="Arial"/>
          <w:sz w:val="18"/>
          <w:szCs w:val="18"/>
          <w:b w:val="1"/>
          <w:bCs w:val="1"/>
          <w:color w:val="auto"/>
        </w:rPr>
      </w:pPr>
    </w:p>
    <w:p>
      <w:pPr>
        <w:ind w:left="1800" w:hanging="388"/>
        <w:spacing w:after="0"/>
        <w:tabs>
          <w:tab w:leader="none" w:pos="1800"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Payout Calculation</w:t>
      </w:r>
      <w:r>
        <w:rPr>
          <w:rFonts w:ascii="Arial" w:cs="Arial" w:eastAsia="Arial" w:hAnsi="Arial"/>
          <w:sz w:val="16"/>
          <w:szCs w:val="16"/>
          <w:color w:val="auto"/>
        </w:rPr>
        <w:t>. A Participant’s bonus amount will be equal to the aggregate for each of the applicable objective goals as</w:t>
      </w:r>
    </w:p>
    <w:p>
      <w:pPr>
        <w:spacing w:after="0" w:line="50" w:lineRule="exact"/>
        <w:rPr>
          <w:rFonts w:ascii="Arial" w:cs="Arial" w:eastAsia="Arial" w:hAnsi="Arial"/>
          <w:sz w:val="16"/>
          <w:szCs w:val="16"/>
          <w:color w:val="auto"/>
        </w:rPr>
      </w:pPr>
    </w:p>
    <w:p>
      <w:pPr>
        <w:ind w:left="120" w:right="240"/>
        <w:spacing w:after="0" w:line="250" w:lineRule="auto"/>
        <w:rPr>
          <w:rFonts w:ascii="Arial" w:cs="Arial" w:eastAsia="Arial" w:hAnsi="Arial"/>
          <w:sz w:val="16"/>
          <w:szCs w:val="16"/>
          <w:color w:val="auto"/>
        </w:rPr>
      </w:pPr>
      <w:r>
        <w:rPr>
          <w:rFonts w:ascii="Arial" w:cs="Arial" w:eastAsia="Arial" w:hAnsi="Arial"/>
          <w:sz w:val="18"/>
          <w:szCs w:val="18"/>
          <w:color w:val="auto"/>
        </w:rPr>
        <w:t xml:space="preserve">follows: the payment percentage described below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weighting percentage for the applicable goal. ASV Growth, Revenue Growth and Non-GAAP EPS shall be the 3 goals and shall be equally weighted.</w:t>
      </w:r>
    </w:p>
    <w:p>
      <w:pPr>
        <w:ind w:left="2440" w:hanging="380"/>
        <w:spacing w:after="0"/>
        <w:tabs>
          <w:tab w:leader="none" w:pos="2440" w:val="left"/>
        </w:tabs>
        <w:numPr>
          <w:ilvl w:val="3"/>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ASV. </w:t>
      </w:r>
      <w:r>
        <w:rPr>
          <w:rFonts w:ascii="Arial" w:cs="Arial" w:eastAsia="Arial" w:hAnsi="Arial"/>
          <w:sz w:val="17"/>
          <w:szCs w:val="17"/>
          <w:color w:val="auto"/>
        </w:rPr>
        <w:t>The payout percentage scales based upon achievement of ASV as described in Section 1 of the Appendix.</w:t>
      </w:r>
    </w:p>
    <w:p>
      <w:pPr>
        <w:spacing w:after="0" w:line="218" w:lineRule="exact"/>
        <w:rPr>
          <w:rFonts w:ascii="Arial" w:cs="Arial" w:eastAsia="Arial" w:hAnsi="Arial"/>
          <w:sz w:val="17"/>
          <w:szCs w:val="17"/>
          <w:b w:val="1"/>
          <w:bCs w:val="1"/>
          <w:color w:val="auto"/>
        </w:rPr>
      </w:pPr>
    </w:p>
    <w:p>
      <w:pPr>
        <w:ind w:left="2440" w:hanging="380"/>
        <w:spacing w:after="0"/>
        <w:tabs>
          <w:tab w:leader="none" w:pos="2440" w:val="left"/>
        </w:tabs>
        <w:numPr>
          <w:ilvl w:val="3"/>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The payout percentage scales based upon achievement of Revenue as described in Section 2 of the Appendix.</w:t>
      </w:r>
    </w:p>
    <w:p>
      <w:pPr>
        <w:spacing w:after="0" w:line="248" w:lineRule="exact"/>
        <w:rPr>
          <w:rFonts w:ascii="Arial" w:cs="Arial" w:eastAsia="Arial" w:hAnsi="Arial"/>
          <w:sz w:val="16"/>
          <w:szCs w:val="16"/>
          <w:b w:val="1"/>
          <w:bCs w:val="1"/>
          <w:color w:val="auto"/>
        </w:rPr>
      </w:pPr>
    </w:p>
    <w:p>
      <w:pPr>
        <w:ind w:left="2440" w:hanging="380"/>
        <w:spacing w:after="0"/>
        <w:tabs>
          <w:tab w:leader="none" w:pos="2440" w:val="left"/>
        </w:tabs>
        <w:numPr>
          <w:ilvl w:val="3"/>
          <w:numId w:val="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Non-GAAP EPS. </w:t>
      </w:r>
      <w:r>
        <w:rPr>
          <w:rFonts w:ascii="Arial" w:cs="Arial" w:eastAsia="Arial" w:hAnsi="Arial"/>
          <w:sz w:val="16"/>
          <w:szCs w:val="16"/>
          <w:color w:val="auto"/>
        </w:rPr>
        <w:t>The payout percentage scales based upon achievement of Non-GAAP EPS as described in Section 3 of</w:t>
      </w:r>
    </w:p>
    <w:p>
      <w:pPr>
        <w:spacing w:after="0" w:line="50" w:lineRule="exact"/>
        <w:rPr>
          <w:rFonts w:ascii="Arial" w:cs="Arial" w:eastAsia="Arial" w:hAnsi="Arial"/>
          <w:sz w:val="16"/>
          <w:szCs w:val="16"/>
          <w:b w:val="1"/>
          <w:bCs w:val="1"/>
          <w:color w:val="auto"/>
        </w:rPr>
      </w:pPr>
    </w:p>
    <w:p>
      <w:pPr>
        <w:ind w:left="120"/>
        <w:spacing w:after="0"/>
        <w:rPr>
          <w:rFonts w:ascii="Arial" w:cs="Arial" w:eastAsia="Arial" w:hAnsi="Arial"/>
          <w:sz w:val="16"/>
          <w:szCs w:val="16"/>
          <w:b w:val="1"/>
          <w:bCs w:val="1"/>
          <w:color w:val="auto"/>
        </w:rPr>
      </w:pPr>
      <w:r>
        <w:rPr>
          <w:rFonts w:ascii="Arial" w:cs="Arial" w:eastAsia="Arial" w:hAnsi="Arial"/>
          <w:sz w:val="18"/>
          <w:szCs w:val="18"/>
          <w:color w:val="auto"/>
        </w:rPr>
        <w:t>the Appendix.</w:t>
      </w:r>
    </w:p>
    <w:p>
      <w:pPr>
        <w:spacing w:after="0" w:line="206" w:lineRule="exact"/>
        <w:rPr>
          <w:rFonts w:ascii="Arial" w:cs="Arial" w:eastAsia="Arial" w:hAnsi="Arial"/>
          <w:sz w:val="16"/>
          <w:szCs w:val="16"/>
          <w:b w:val="1"/>
          <w:bCs w:val="1"/>
          <w:color w:val="auto"/>
        </w:rPr>
      </w:pPr>
    </w:p>
    <w:p>
      <w:pPr>
        <w:ind w:left="120" w:right="460" w:firstLine="1292"/>
        <w:spacing w:after="0" w:line="298" w:lineRule="auto"/>
        <w:tabs>
          <w:tab w:leader="none" w:pos="1795" w:val="left"/>
        </w:tabs>
        <w:numPr>
          <w:ilvl w:val="1"/>
          <w:numId w:val="30"/>
        </w:numPr>
        <w:rPr>
          <w:rFonts w:ascii="Arial" w:cs="Arial" w:eastAsia="Arial" w:hAnsi="Arial"/>
          <w:sz w:val="16"/>
          <w:szCs w:val="16"/>
          <w:color w:val="auto"/>
        </w:rPr>
      </w:pPr>
      <w:r>
        <w:rPr>
          <w:rFonts w:ascii="Arial" w:cs="Arial" w:eastAsia="Arial" w:hAnsi="Arial"/>
          <w:sz w:val="16"/>
          <w:szCs w:val="16"/>
          <w:b w:val="1"/>
          <w:bCs w:val="1"/>
          <w:color w:val="auto"/>
        </w:rPr>
        <w:t xml:space="preserve">Bonus Payments. </w:t>
      </w:r>
      <w:r>
        <w:rPr>
          <w:rFonts w:ascii="Arial" w:cs="Arial" w:eastAsia="Arial" w:hAnsi="Arial"/>
          <w:sz w:val="16"/>
          <w:szCs w:val="16"/>
          <w:color w:val="auto"/>
        </w:rPr>
        <w:t>Bonus payments to Participants under this Plan will be made with the first payroll of the second month</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end of the quarter. Bonus payments are “gross” amounts, meaning that they constitute the full amount and that there will be no other increases (for example, to cover income taxes). The company will deduct from any payment under the Plan the amount of all applicable income and employment taxes, and any other amounts required by law to be withheld or deducted from such payment. None of the payments will be “benefits bearing” (i.e., the bonus amounts will not be used for purposes of determining any other company-provided benefits or compensation).</w:t>
      </w:r>
    </w:p>
    <w:p>
      <w:pPr>
        <w:sectPr>
          <w:pgSz w:w="11900" w:h="16838" w:orient="portrait"/>
          <w:cols w:equalWidth="0" w:num="1">
            <w:col w:w="11240"/>
          </w:cols>
          <w:pgMar w:left="320" w:top="121" w:right="339" w:bottom="0" w:gutter="0" w:footer="0" w:header="0"/>
        </w:sectPr>
      </w:pPr>
    </w:p>
    <w:bookmarkStart w:id="93" w:name="page94"/>
    <w:bookmarkEnd w:id="93"/>
    <w:p>
      <w:pPr>
        <w:ind w:left="60" w:right="140"/>
        <w:spacing w:after="0" w:line="271" w:lineRule="auto"/>
        <w:rPr>
          <w:sz w:val="20"/>
          <w:szCs w:val="20"/>
          <w:color w:val="auto"/>
        </w:rPr>
      </w:pPr>
      <w:r>
        <w:rPr>
          <w:rFonts w:ascii="Arial" w:cs="Arial" w:eastAsia="Arial" w:hAnsi="Arial"/>
          <w:sz w:val="17"/>
          <w:szCs w:val="17"/>
          <w:b w:val="1"/>
          <w:bCs w:val="1"/>
          <w:color w:val="auto"/>
        </w:rPr>
        <w:t xml:space="preserve">Administration. </w:t>
      </w:r>
      <w:r>
        <w:rPr>
          <w:rFonts w:ascii="Arial" w:cs="Arial" w:eastAsia="Arial" w:hAnsi="Arial"/>
          <w:sz w:val="17"/>
          <w:szCs w:val="17"/>
          <w:color w:val="auto"/>
        </w:rPr>
        <w:t>This Plan shall be administered by the Company’s CFO (except with respect to Participants who are the Company’s executive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in which case the Compensation Committee of the Board of Directors will serve as the administrator), who may make and apply such rules deemed desirable or necessary to administer the Plan in the best interests of the Company. All questions of interpretation or application of the Plan may be addressed in writing to the CFO (or as applicable, the Compensation Committee), who shall review each inquiry in good faith, and each such determination shall be final and binding. With the approval of the Compensation Committee, the results with respect to determination of ASV, Revenue, and Non- GAAP EPS will be adjusted to remove the effects of charges for restructurings, discontinued operations, extraordinary items and all items of gain, loss or expense determined to be extraordinary or unusual in nature or related to the disposal of a segment of a business or related to a change in accounting principle, asset write-downs, litigation, claims, judgments or settlements, the effect of changes in tax law or other such laws or provisions affecting reported results, accruals for reorganization and restructuring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ind w:left="320" w:right="280" w:hanging="318"/>
        <w:spacing w:after="0" w:line="257" w:lineRule="auto"/>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b w:val="1"/>
          <w:bCs w:val="1"/>
          <w:color w:val="auto"/>
        </w:rPr>
        <w:t xml:space="preserve">ASV. </w:t>
      </w:r>
      <w:r>
        <w:rPr>
          <w:rFonts w:ascii="Arial" w:cs="Arial" w:eastAsia="Arial" w:hAnsi="Arial"/>
          <w:sz w:val="18"/>
          <w:szCs w:val="18"/>
          <w:color w:val="auto"/>
        </w:rPr>
        <w:t>The bonus will be equal to 100% if the company plan number is achieved, as indicated in the table below. For ASV achievement below</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plan targets, a sliding scale will be used. ASV achievement will be rounded to the nearest ten thousand. The floor indicates the minimum required achievement for payout. Below is the current year targets and payout schedule:</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23" w:lineRule="exact"/>
        <w:rPr>
          <w:sz w:val="20"/>
          <w:szCs w:val="20"/>
          <w:color w:val="auto"/>
        </w:rPr>
      </w:pPr>
    </w:p>
    <w:p>
      <w:pPr>
        <w:ind w:left="320" w:hanging="318"/>
        <w:spacing w:after="0" w:line="266"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The bonus will be equal to 100% if the company plan number is achieved, as indicated in the table below. For revenue achievement below</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plan targets, a sliding scale will be used. Revenue achievement will be rounded to the nearest ten thousand. The floor indicates the minimum required achievement for payout. Below is the current year targets and payout schedule:</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ind w:left="320" w:right="120" w:hanging="318"/>
        <w:spacing w:after="0" w:line="266" w:lineRule="auto"/>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Non-GAAP EPS. </w:t>
      </w:r>
      <w:r>
        <w:rPr>
          <w:rFonts w:ascii="Arial" w:cs="Arial" w:eastAsia="Arial" w:hAnsi="Arial"/>
          <w:sz w:val="18"/>
          <w:szCs w:val="18"/>
          <w:color w:val="auto"/>
        </w:rPr>
        <w:t>The bonus will be equal to 100% if the company plan number is achieved, as indicated in the table below. For Non-GAAP EPS</w:t>
      </w:r>
      <w:r>
        <w:rPr>
          <w:rFonts w:ascii="Arial" w:cs="Arial" w:eastAsia="Arial" w:hAnsi="Arial"/>
          <w:sz w:val="18"/>
          <w:szCs w:val="18"/>
          <w:b w:val="1"/>
          <w:bCs w:val="1"/>
          <w:color w:val="auto"/>
        </w:rPr>
        <w:t xml:space="preserve"> </w:t>
      </w:r>
      <w:r>
        <w:rPr>
          <w:rFonts w:ascii="Arial" w:cs="Arial" w:eastAsia="Arial" w:hAnsi="Arial"/>
          <w:sz w:val="18"/>
          <w:szCs w:val="18"/>
          <w:color w:val="auto"/>
        </w:rPr>
        <w:t>achievement below company plan targets, a sliding scale will be used. Non-GAAP EPS achievement will be rounded to one cent. The floor indicates the minimum required achievement for payout.</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t>
      </w:r>
    </w:p>
    <w:p>
      <w:pPr>
        <w:sectPr>
          <w:pgSz w:w="11900" w:h="16838" w:orient="portrait"/>
          <w:cols w:equalWidth="0" w:num="1">
            <w:col w:w="11160"/>
          </w:cols>
          <w:pgMar w:left="380" w:top="121" w:right="35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21.1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List of subsidiaries of Qualys, Inc.*</w:t>
            </w:r>
          </w:p>
        </w:tc>
        <w:tc>
          <w:tcPr>
            <w:tcW w:w="34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Subsidiary</w:t>
            </w:r>
          </w:p>
        </w:tc>
        <w:tc>
          <w:tcPr>
            <w:tcW w:w="34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Qualys International, Inc.</w:t>
            </w: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Blue Jay Acquisition Sub, Inc.</w:t>
            </w: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02"/>
        </w:trPr>
        <w:tc>
          <w:tcPr>
            <w:tcW w:w="5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Qualys Brazil Desenvolvimento de Produtos e Consultoria de Tecnologias</w:t>
            </w:r>
          </w:p>
        </w:tc>
        <w:tc>
          <w:tcPr>
            <w:tcW w:w="584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122"/>
        </w:trPr>
        <w:tc>
          <w:tcPr>
            <w:tcW w:w="54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de Seguranca LTDA.</w:t>
            </w:r>
          </w:p>
        </w:tc>
        <w:tc>
          <w:tcPr>
            <w:tcW w:w="584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400" w:type="dxa"/>
            <w:vAlign w:val="bottom"/>
            <w:vMerge w:val="continue"/>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55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Qualys Canada, Ltd.</w:t>
            </w: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Qualys Technologies, S.A.</w:t>
            </w: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Qualys GmbH</w:t>
            </w: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Qualys Hong Kong Limited</w:t>
            </w: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Qualys Security TechServices Private Ltd.</w:t>
            </w: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Qualys Japan K.K.</w:t>
            </w: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Qualys Singapore Pte. Ltd.</w:t>
            </w: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Qualys Middle East FZE</w:t>
            </w: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United Arab Emirates</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Qualys Ltd.</w:t>
            </w: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Qualys Australia Pty Ltd.</w:t>
            </w: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Qualys Switzerland Sarl</w:t>
            </w: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Qualys Colombia S.A.S.</w:t>
            </w: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Colombia</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Qualys South Africa Proprietary Limited</w:t>
            </w:r>
          </w:p>
        </w:tc>
        <w:tc>
          <w:tcPr>
            <w:tcW w:w="5840" w:type="dxa"/>
            <w:vAlign w:val="bottom"/>
            <w:gridSpan w:val="2"/>
          </w:tcPr>
          <w:p>
            <w:pPr>
              <w:ind w:left="34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Qualys Netherlands B.V.</w:t>
            </w:r>
          </w:p>
        </w:tc>
        <w:tc>
          <w:tcPr>
            <w:tcW w:w="5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The Netherlands</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60" w:right="80" w:hanging="8"/>
        <w:spacing w:after="0" w:line="277" w:lineRule="auto"/>
        <w:tabs>
          <w:tab w:leader="none" w:pos="2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Inclusion on the list above is not an admission that any of the above entities, individually or in the aggregate, constitutes a significant subsidiary within the meaning of Rule 1-02(w) of Regulation S-X and Item 601(b)(21)(ii) of Regulation S-K.</w:t>
      </w:r>
    </w:p>
    <w:p>
      <w:pPr>
        <w:sectPr>
          <w:pgSz w:w="11900" w:h="16838" w:orient="portrait"/>
          <w:cols w:equalWidth="0" w:num="1">
            <w:col w:w="11240"/>
          </w:cols>
          <w:pgMar w:left="320" w:top="121"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issued our reports dated February 23, 2023, with respect to the consolidated financial statements and internal control over financial reporting included in the Annual Report of Qualys, Inc. on Form 10-K for the year ended December 31, 2022. We consent to the incorporation by reference of said reports in the Registration Statements of Qualys, Inc. on Forms S-8 (File Nos. 333-262912, 333-184394, 333-193576, 333-202587, 333-209735, 333-216232, 333-223192, 333-229908, 333-236576, 333-253373 and 333-257657).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/s/ GRANT THORNTON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2023</w:t>
      </w:r>
    </w:p>
    <w:p>
      <w:pPr>
        <w:sectPr>
          <w:pgSz w:w="11900" w:h="16838" w:orient="portrait"/>
          <w:cols w:equalWidth="0" w:num="1">
            <w:col w:w="11240"/>
          </w:cols>
          <w:pgMar w:left="320" w:top="121"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Sumedh Thakar, certify that:</w:t>
      </w:r>
    </w:p>
    <w:p>
      <w:pPr>
        <w:spacing w:after="0" w:line="225"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820" w:hanging="326"/>
        <w:spacing w:after="0" w:line="263"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820" w:right="20" w:hanging="326"/>
        <w:spacing w:after="0" w:line="277" w:lineRule="auto"/>
        <w:tabs>
          <w:tab w:leader="none" w:pos="82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23, 2023</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121" w:right="3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Joo Mi Kim, certify that:</w:t>
      </w:r>
    </w:p>
    <w:p>
      <w:pPr>
        <w:spacing w:after="0" w:line="225"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Qualys, Inc.;</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820" w:hanging="326"/>
        <w:spacing w:after="0" w:line="263"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820" w:hanging="326"/>
        <w:spacing w:after="0" w:line="308" w:lineRule="auto"/>
        <w:tabs>
          <w:tab w:leader="none" w:pos="8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820" w:hanging="326"/>
        <w:spacing w:after="0" w:line="263"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20" w:hanging="326"/>
        <w:spacing w:after="0" w:line="277"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20" w:right="20" w:hanging="326"/>
        <w:spacing w:after="0" w:line="277" w:lineRule="auto"/>
        <w:tabs>
          <w:tab w:leader="none" w:pos="8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23, 2023</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121"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2022, as filed with the Securities and Exchange Commission on the date hereof (the “Report”), I, Sumedh Thakar, Chief Executive Officer of the Company, certify, pursuant to 18 U.S.C. § 1350, as adopted pursuant to § 906 of the Sarbanes-Oxley Act of 2002, that, to the best of my knowledge:</w:t>
      </w:r>
    </w:p>
    <w:p>
      <w:pPr>
        <w:spacing w:after="0" w:line="3" w:lineRule="exact"/>
        <w:rPr>
          <w:sz w:val="20"/>
          <w:szCs w:val="20"/>
          <w:color w:val="auto"/>
        </w:rPr>
      </w:pPr>
    </w:p>
    <w:p>
      <w:pPr>
        <w:ind w:left="720" w:hanging="262"/>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720" w:hanging="262"/>
        <w:spacing w:after="0"/>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23, 2023</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SUMEDH THAKAR</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Sumedh Thakar</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Qualys, Inc.</w:t>
            </w:r>
          </w:p>
        </w:tc>
      </w:tr>
    </w:tbl>
    <w:p>
      <w:pPr>
        <w:sectPr>
          <w:pgSz w:w="11900" w:h="16838" w:orient="portrait"/>
          <w:cols w:equalWidth="0" w:num="1">
            <w:col w:w="11240"/>
          </w:cols>
          <w:pgMar w:left="320" w:top="121" w:right="339" w:bottom="1440" w:gutter="0" w:footer="0" w:header="0"/>
        </w:sectPr>
      </w:pPr>
    </w:p>
    <w:bookmarkStart w:id="99" w:name="page100"/>
    <w:bookmarkEnd w:id="99"/>
    <w:p>
      <w:pPr>
        <w:ind w:left="103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Annual Report of Qualys, Inc. (the “Company”) on Form 10-K for the year ended December 31, 2022, as filed with the Securities and Exchange Commission on the date hereof (the “Report”), I, Joo Mi Kim, Chief Financial Officer of the Company, certify, pursuant to 18 U.S.C. § 1350, as adopted pursuant to § 906 of the Sarbanes-Oxley Act of 2002, that, to the best of my knowledge:</w:t>
      </w:r>
    </w:p>
    <w:p>
      <w:pPr>
        <w:spacing w:after="0" w:line="3" w:lineRule="exact"/>
        <w:rPr>
          <w:sz w:val="20"/>
          <w:szCs w:val="20"/>
          <w:color w:val="auto"/>
        </w:rPr>
      </w:pPr>
    </w:p>
    <w:p>
      <w:pPr>
        <w:ind w:left="720" w:hanging="26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 w:lineRule="exact"/>
        <w:rPr>
          <w:rFonts w:ascii="Arial" w:cs="Arial" w:eastAsia="Arial" w:hAnsi="Arial"/>
          <w:sz w:val="18"/>
          <w:szCs w:val="18"/>
          <w:color w:val="auto"/>
        </w:rPr>
      </w:pPr>
    </w:p>
    <w:p>
      <w:pPr>
        <w:ind w:left="720" w:hanging="262"/>
        <w:spacing w:after="0"/>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Date:</w:t>
            </w:r>
          </w:p>
        </w:tc>
        <w:tc>
          <w:tcPr>
            <w:tcW w:w="4820" w:type="dxa"/>
            <w:vAlign w:val="bottom"/>
          </w:tcPr>
          <w:p>
            <w:pPr>
              <w:spacing w:after="0"/>
              <w:rPr>
                <w:sz w:val="20"/>
                <w:szCs w:val="20"/>
                <w:color w:val="auto"/>
              </w:rPr>
            </w:pPr>
            <w:r>
              <w:rPr>
                <w:rFonts w:ascii="Arial" w:cs="Arial" w:eastAsia="Arial" w:hAnsi="Arial"/>
                <w:sz w:val="18"/>
                <w:szCs w:val="18"/>
                <w:color w:val="auto"/>
              </w:rPr>
              <w:t>February 23, 2023</w:t>
            </w:r>
          </w:p>
        </w:tc>
      </w:tr>
      <w:tr>
        <w:trPr>
          <w:trHeight w:val="230"/>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JOO MI KIM</w:t>
            </w:r>
          </w:p>
        </w:tc>
      </w:tr>
      <w:tr>
        <w:trPr>
          <w:trHeight w:val="195"/>
        </w:trPr>
        <w:tc>
          <w:tcPr>
            <w:tcW w:w="800" w:type="dxa"/>
            <w:vAlign w:val="bottom"/>
          </w:tcPr>
          <w:p>
            <w:pPr>
              <w:spacing w:after="0"/>
              <w:rPr>
                <w:sz w:val="16"/>
                <w:szCs w:val="16"/>
                <w:color w:val="auto"/>
              </w:rPr>
            </w:pP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Joo Mi Kim</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80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230"/>
        </w:trPr>
        <w:tc>
          <w:tcPr>
            <w:tcW w:w="80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Qualys, Inc.</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2"/>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29">
    <w:nsid w:val="614FD4A1"/>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decimal"/>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3"/>
    </w:lvl>
  </w:abstractNum>
  <w:abstractNum w:abstractNumId="33">
    <w:nsid w:val="5072367"/>
    <w:multiLevelType w:val="hybridMultilevel"/>
    <w:lvl w:ilvl="0">
      <w:lvlJc w:val="left"/>
      <w:lvlText w:val="*"/>
      <w:numFmt w:val="bullet"/>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12" Type="http://schemas.openxmlformats.org/officeDocument/2006/relationships/image" Target="media/image90.png"/><Relationship Id="rId113" Type="http://schemas.openxmlformats.org/officeDocument/2006/relationships/image" Target="media/image91.png"/><Relationship Id="rId114" Type="http://schemas.openxmlformats.org/officeDocument/2006/relationships/image" Target="media/image92.png"/><Relationship Id="rId115" Type="http://schemas.openxmlformats.org/officeDocument/2006/relationships/image" Target="media/image93.png"/><Relationship Id="rId116" Type="http://schemas.openxmlformats.org/officeDocument/2006/relationships/image" Target="media/image94.png"/><Relationship Id="rId117" Type="http://schemas.openxmlformats.org/officeDocument/2006/relationships/image" Target="media/image95.png"/><Relationship Id="rId118" Type="http://schemas.openxmlformats.org/officeDocument/2006/relationships/image" Target="media/image96.png"/><Relationship Id="rId119" Type="http://schemas.openxmlformats.org/officeDocument/2006/relationships/image" Target="media/image97.png"/><Relationship Id="rId120" Type="http://schemas.openxmlformats.org/officeDocument/2006/relationships/image" Target="media/image98.png"/><Relationship Id="rId121"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jpeg"/><Relationship Id="rId97" Type="http://schemas.openxmlformats.org/officeDocument/2006/relationships/hyperlink" Target="http://www.sec.gov/Archives/edgar/data/1107843/000119312512388433/d355355dex33.htm" TargetMode="External"/><Relationship Id="rId98" Type="http://schemas.openxmlformats.org/officeDocument/2006/relationships/hyperlink" Target="http://www.sec.gov/Archives/edgar/data/1107843/000119312522275854/d374785dex31.htm" TargetMode="External"/><Relationship Id="rId99" Type="http://schemas.openxmlformats.org/officeDocument/2006/relationships/hyperlink" Target="http://www.sec.gov/Archives/edgar/data/1107843/000119312512388433/d355355dex41.htm" TargetMode="External"/><Relationship Id="rId100" Type="http://schemas.openxmlformats.org/officeDocument/2006/relationships/hyperlink" Target="http://www.sec.gov/Archives/edgar/data/1107843/000162828020001963/qlys-201910kxexht42.htm" TargetMode="External"/><Relationship Id="rId101" Type="http://schemas.openxmlformats.org/officeDocument/2006/relationships/hyperlink" Target="http://www.sec.gov/Archives/edgar/data/1107843/000119312512265366/d355355dex101.htm" TargetMode="External"/><Relationship Id="rId102" Type="http://schemas.openxmlformats.org/officeDocument/2006/relationships/hyperlink" Target="http://www.sec.gov/Archives/edgar/data/1107843/000119312522171918/d286585dex101.htm" TargetMode="External"/><Relationship Id="rId103" Type="http://schemas.openxmlformats.org/officeDocument/2006/relationships/hyperlink" Target="http://www.sec.gov/Archives/edgar/data/0001107843/000119312521188846/d573211dex101.htm" TargetMode="External"/><Relationship Id="rId104" Type="http://schemas.openxmlformats.org/officeDocument/2006/relationships/hyperlink" Target="http://www.sec.gov/Archives/edgar/data/1107843/000119312512265366/d355355dex105.htm" TargetMode="External"/><Relationship Id="rId105" Type="http://schemas.openxmlformats.org/officeDocument/2006/relationships/hyperlink" Target="http://www.sec.gov/Archives/edgar/data/1107843/000119312520151509/d800805dex101.htm" TargetMode="External"/><Relationship Id="rId106" Type="http://schemas.openxmlformats.org/officeDocument/2006/relationships/hyperlink" Target="http://www.sec.gov/Archives/edgar/data/1107843/000119312512265366/d355355dex109.htm" TargetMode="External"/><Relationship Id="rId107" Type="http://schemas.openxmlformats.org/officeDocument/2006/relationships/hyperlink" Target="http://www.sec.gov/Archives/edgar/data/1107843/000143774922004075/ex_328173.htm" TargetMode="External"/><Relationship Id="rId108" Type="http://schemas.openxmlformats.org/officeDocument/2006/relationships/hyperlink" Target="http://www.sec.gov/Archives/edgar/data/1107843/000143774922004075/ex_332987.htm" TargetMode="External"/><Relationship Id="rId109" Type="http://schemas.openxmlformats.org/officeDocument/2006/relationships/hyperlink" Target="http://www.sec.gov/Archives/edgar/data/1107843/000119312512350036/d355355dex1010.htm" TargetMode="External"/><Relationship Id="rId110" Type="http://schemas.openxmlformats.org/officeDocument/2006/relationships/hyperlink" Target="http://www.sec.gov/Archives/edgar/data/1107843/000119312516554340/d85159ddef14a.htm" TargetMode="External"/><Relationship Id="rId111" Type="http://schemas.openxmlformats.org/officeDocument/2006/relationships/hyperlink" Target="http://www.sec.gov/Archives/edgar/data/1107843/000119312516741827/d27000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2023-02-23T15:51:36Z</dcterms:created>
  <dcterms:modified xsi:type="dcterms:W3CDTF">2023-02-23T15:51:36Z</dcterms:modified>
</cp:coreProperties>
</file>