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w:t>
      </w:r>
    </w:p>
    <w:p>
      <w:pPr>
        <w:spacing w:after="0" w:line="39"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1" w:lineRule="exact"/>
        <w:rPr>
          <w:sz w:val="24"/>
          <w:szCs w:val="24"/>
          <w:color w:val="auto"/>
        </w:rPr>
      </w:pPr>
    </w:p>
    <w:p>
      <w:pPr>
        <w:ind w:left="460" w:hanging="434"/>
        <w:spacing w:after="0"/>
        <w:tabs>
          <w:tab w:leader="none" w:pos="46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jc w:val="cente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001-35662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QUALYS, INC.</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w:t>
      </w:r>
    </w:p>
    <w:p>
      <w:pPr>
        <w:spacing w:after="0" w:line="257" w:lineRule="exact"/>
        <w:rPr>
          <w:sz w:val="24"/>
          <w:szCs w:val="24"/>
          <w:color w:val="auto"/>
        </w:rPr>
      </w:pPr>
    </w:p>
    <w:tbl>
      <w:tblPr>
        <w:tblLayout w:type="fixed"/>
        <w:tblInd w:w="1600" w:type="dxa"/>
        <w:tblCellMar>
          <w:top w:w="0" w:type="dxa"/>
          <w:left w:w="0" w:type="dxa"/>
          <w:bottom w:w="0" w:type="dxa"/>
          <w:right w:w="0" w:type="dxa"/>
        </w:tblCellMar>
      </w:tblPr>
      <w:tr>
        <w:trPr>
          <w:trHeight w:val="238"/>
        </w:trPr>
        <w:tc>
          <w:tcPr>
            <w:tcW w:w="416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8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rPr>
              <w:t>77-0534145</w:t>
            </w:r>
          </w:p>
        </w:tc>
      </w:tr>
      <w:tr>
        <w:trPr>
          <w:trHeight w:val="248"/>
        </w:trPr>
        <w:tc>
          <w:tcPr>
            <w:tcW w:w="416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58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16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58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rPr>
              <w:t>Identification Number)</w:t>
            </w:r>
          </w:p>
        </w:tc>
      </w:tr>
    </w:tbl>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919 E. Hillsdale Boulevard, 4th Floor, Foster City, California 94404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(650) 801-6100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9"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7"/>
        </w:trPr>
        <w:tc>
          <w:tcPr>
            <w:tcW w:w="4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7"/>
        </w:trPr>
        <w:tc>
          <w:tcPr>
            <w:tcW w:w="4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Common stock, $0.001 par value per share</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QLYS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Stock Market</w:t>
            </w:r>
          </w:p>
        </w:tc>
      </w:tr>
    </w:tbl>
    <w:p>
      <w:pPr>
        <w:spacing w:after="0" w:line="3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Securities registered pursuant to section 12(g) of the Act: </w:t>
      </w:r>
      <w:r>
        <w:rPr>
          <w:rFonts w:ascii="Times New Roman" w:cs="Times New Roman" w:eastAsia="Times New Roman" w:hAnsi="Times New Roman"/>
          <w:sz w:val="18"/>
          <w:szCs w:val="18"/>
          <w:color w:val="auto"/>
        </w:rPr>
        <w:t>None</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77" w:lineRule="exact"/>
        <w:rPr>
          <w:sz w:val="24"/>
          <w:szCs w:val="24"/>
          <w:color w:val="auto"/>
        </w:rPr>
      </w:pPr>
    </w:p>
    <w:p>
      <w:pPr>
        <w:spacing w:after="0"/>
        <w:tabs>
          <w:tab w:leader="none" w:pos="9280" w:val="left"/>
        </w:tabs>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7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41"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337" w:right="339" w:bottom="0" w:gutter="0" w:footer="0" w:header="0"/>
        </w:sectPr>
      </w:pPr>
    </w:p>
    <w:p>
      <w:pPr>
        <w:spacing w:after="0" w:line="8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jc w:val="center"/>
        <w:spacing w:after="0"/>
        <w:rPr>
          <w:sz w:val="20"/>
          <w:szCs w:val="20"/>
          <w:color w:val="auto"/>
        </w:rPr>
      </w:pPr>
      <w:r>
        <w:rPr>
          <w:rFonts w:ascii="Wingdings" w:cs="Wingdings" w:eastAsia="Wingdings" w:hAnsi="Wingdings"/>
          <w:sz w:val="18"/>
          <w:szCs w:val="18"/>
          <w:b w:val="1"/>
          <w:bCs w:val="1"/>
          <w:color w:val="auto"/>
        </w:rPr>
        <w:t>x</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jc w:val="center"/>
        <w:ind w:right="520"/>
        <w:spacing w:after="0"/>
        <w:rPr>
          <w:sz w:val="20"/>
          <w:szCs w:val="20"/>
          <w:color w:val="auto"/>
        </w:rPr>
      </w:pPr>
      <w:r>
        <w:rPr>
          <w:rFonts w:ascii="Wingdings" w:cs="Wingdings" w:eastAsia="Wingdings" w:hAnsi="Wingdings"/>
          <w:sz w:val="17"/>
          <w:szCs w:val="17"/>
          <w:b w:val="1"/>
          <w:bCs w:val="1"/>
          <w:color w:val="auto"/>
        </w:rPr>
        <w:t>o</w:t>
      </w:r>
    </w:p>
    <w:p>
      <w:pPr>
        <w:spacing w:after="0" w:line="63" w:lineRule="exact"/>
        <w:rPr>
          <w:sz w:val="24"/>
          <w:szCs w:val="24"/>
          <w:color w:val="auto"/>
        </w:rPr>
      </w:pPr>
    </w:p>
    <w:p>
      <w:pPr>
        <w:sectPr>
          <w:pgSz w:w="11900" w:h="16838" w:orient="portrait"/>
          <w:cols w:equalWidth="0" w:num="8">
            <w:col w:w="1640" w:space="500"/>
            <w:col w:w="200" w:space="460"/>
            <w:col w:w="1200" w:space="660"/>
            <w:col w:w="160" w:space="480"/>
            <w:col w:w="1520" w:space="640"/>
            <w:col w:w="160" w:space="480"/>
            <w:col w:w="1960" w:space="500"/>
            <w:col w:w="680"/>
          </w:cols>
          <w:pgMar w:left="320" w:top="337" w:right="339" w:bottom="0" w:gutter="0" w:footer="0" w:header="0"/>
          <w:type w:val="continuous"/>
        </w:sectPr>
      </w:pPr>
    </w:p>
    <w:p>
      <w:pPr>
        <w:ind w:left="810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jc w:val="center"/>
        <w:ind w:right="520"/>
        <w:spacing w:after="0"/>
        <w:rPr>
          <w:sz w:val="20"/>
          <w:szCs w:val="20"/>
          <w:color w:val="auto"/>
        </w:rPr>
      </w:pPr>
      <w:r>
        <w:rPr>
          <w:rFonts w:ascii="Wingdings" w:cs="Wingdings" w:eastAsia="Wingdings" w:hAnsi="Wingdings"/>
          <w:sz w:val="17"/>
          <w:szCs w:val="17"/>
          <w:b w:val="1"/>
          <w:bCs w:val="1"/>
          <w:color w:val="auto"/>
        </w:rPr>
        <w:t>o</w:t>
      </w:r>
    </w:p>
    <w:p>
      <w:pPr>
        <w:spacing w:after="0" w:line="198" w:lineRule="exact"/>
        <w:rPr>
          <w:sz w:val="24"/>
          <w:szCs w:val="24"/>
          <w:color w:val="auto"/>
        </w:rPr>
      </w:pPr>
    </w:p>
    <w:p>
      <w:pPr>
        <w:sectPr>
          <w:pgSz w:w="11900" w:h="16838" w:orient="portrait"/>
          <w:cols w:equalWidth="0" w:num="2">
            <w:col w:w="10060" w:space="500"/>
            <w:col w:w="680"/>
          </w:cols>
          <w:pgMar w:left="320" w:top="337" w:right="339" w:bottom="0" w:gutter="0" w:footer="0" w:header="0"/>
          <w:type w:val="continuous"/>
        </w:sect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8"/>
          <w:szCs w:val="18"/>
          <w:b w:val="1"/>
          <w:bCs w:val="1"/>
          <w:color w:val="auto"/>
        </w:rPr>
        <w:t>x</w:t>
      </w:r>
    </w:p>
    <w:p>
      <w:pPr>
        <w:spacing w:after="0" w:line="2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o</w:t>
      </w:r>
    </w:p>
    <w:p>
      <w:pPr>
        <w:spacing w:after="0" w:line="13"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8"/>
          <w:szCs w:val="18"/>
          <w:b w:val="1"/>
          <w:bCs w:val="1"/>
          <w:color w:val="auto"/>
        </w:rPr>
        <w:t>o</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77"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2024, the aggregate market value of voting shares of common stock held by non-affiliates of the registrant was $3,908 million based on the last reported sale price of the registrant's common stock on June 30, 2024. Shares of common stock held by each executive officer and director and by each person who owns 10% or more of the outstanding common stock have been excluded in that such persons may be deemed to be affiliates. This determination of affiliate status is not necessarily a conclusive determination for other purposes.</w:t>
      </w:r>
    </w:p>
    <w:p>
      <w:pPr>
        <w:sectPr>
          <w:pgSz w:w="11900" w:h="16838" w:orient="portrait"/>
          <w:cols w:equalWidth="0" w:num="1">
            <w:col w:w="11240"/>
          </w:cols>
          <w:pgMar w:left="320" w:top="337"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outstanding as of February 11, 2025 was 36,477,672 shares.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Portions of the registrant's Proxy Statement for its 2025 Annual Meeting of Stockholders are incorporated by reference in Part III of this Annual Report on Form 10-K where indicated. Such proxy statement will be filed with the Securities and Exchange Commission within 120 days of the registrant's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822325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23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23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40" w:type="dxa"/>
            <w:vAlign w:val="bottom"/>
            <w:gridSpan w:val="16"/>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9"/>
              </w:rPr>
              <w:t>Qualys, Inc.</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40" w:type="dxa"/>
            <w:vAlign w:val="bottom"/>
            <w:gridSpan w:val="16"/>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Page</w:t>
            </w: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1024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Risk Factor Summary</w:t>
            </w:r>
          </w:p>
        </w:tc>
        <w:tc>
          <w:tcPr>
            <w:tcW w:w="520" w:type="dxa"/>
            <w:vAlign w:val="bottom"/>
            <w:gridSpan w:val="2"/>
          </w:tcPr>
          <w:p>
            <w:pPr>
              <w:jc w:val="center"/>
              <w:ind w:left="350"/>
              <w:spacing w:after="0" w:line="196" w:lineRule="exact"/>
              <w:rPr>
                <w:sz w:val="20"/>
                <w:szCs w:val="20"/>
                <w:color w:val="auto"/>
              </w:rPr>
            </w:pPr>
            <w:r>
              <w:rPr>
                <w:rFonts w:ascii="Times New Roman" w:cs="Times New Roman" w:eastAsia="Times New Roman" w:hAnsi="Times New Roman"/>
                <w:sz w:val="18"/>
                <w:szCs w:val="18"/>
                <w:color w:val="0000FF"/>
                <w:w w:val="88"/>
              </w:rPr>
              <w:t>3</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2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Note Regarding Forward-Looking Statements</w:t>
            </w:r>
          </w:p>
        </w:tc>
        <w:tc>
          <w:tcPr>
            <w:tcW w:w="52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0000FF"/>
                <w:w w:val="88"/>
              </w:rPr>
              <w:t>5</w:t>
            </w: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76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940" w:type="dxa"/>
            <w:vAlign w:val="bottom"/>
            <w:gridSpan w:val="12"/>
          </w:tcPr>
          <w:p>
            <w:pPr>
              <w:jc w:val="center"/>
              <w:ind w:right="4360"/>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44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3580" w:type="dxa"/>
            <w:vAlign w:val="bottom"/>
            <w:gridSpan w:val="16"/>
          </w:tcPr>
          <w:p>
            <w:pPr>
              <w:spacing w:after="0"/>
              <w:rPr>
                <w:sz w:val="21"/>
                <w:szCs w:val="21"/>
                <w:color w:val="auto"/>
              </w:rPr>
            </w:pPr>
          </w:p>
        </w:tc>
        <w:tc>
          <w:tcPr>
            <w:tcW w:w="580" w:type="dxa"/>
            <w:vAlign w:val="bottom"/>
            <w:tcBorders>
              <w:top w:val="single" w:sz="8" w:color="0000FF"/>
            </w:tcBorders>
            <w:gridSpan w:val="2"/>
          </w:tcPr>
          <w:p>
            <w:pPr>
              <w:spacing w:after="0"/>
              <w:rPr>
                <w:sz w:val="21"/>
                <w:szCs w:val="21"/>
                <w:color w:val="auto"/>
              </w:rPr>
            </w:pPr>
          </w:p>
        </w:tc>
        <w:tc>
          <w:tcPr>
            <w:tcW w:w="4360" w:type="dxa"/>
            <w:vAlign w:val="bottom"/>
            <w:gridSpan w:val="10"/>
          </w:tcPr>
          <w:p>
            <w:pPr>
              <w:spacing w:after="0"/>
              <w:rPr>
                <w:sz w:val="21"/>
                <w:szCs w:val="21"/>
                <w:color w:val="auto"/>
              </w:rPr>
            </w:pPr>
          </w:p>
        </w:tc>
        <w:tc>
          <w:tcPr>
            <w:tcW w:w="52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0000FF"/>
                <w:w w:val="88"/>
              </w:rPr>
              <w:t>6</w:t>
            </w: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260" w:type="dxa"/>
            <w:vAlign w:val="bottom"/>
            <w:gridSpan w:val="26"/>
          </w:tcPr>
          <w:p>
            <w:pPr>
              <w:spacing w:after="0"/>
              <w:rPr>
                <w:sz w:val="21"/>
                <w:szCs w:val="21"/>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15</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7120" w:type="dxa"/>
            <w:vAlign w:val="bottom"/>
            <w:gridSpan w:val="20"/>
          </w:tcPr>
          <w:p>
            <w:pPr>
              <w:spacing w:after="0"/>
              <w:rPr>
                <w:sz w:val="21"/>
                <w:szCs w:val="21"/>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120" w:type="dxa"/>
            <w:vAlign w:val="bottom"/>
            <w:gridSpan w:val="20"/>
          </w:tcPr>
          <w:p>
            <w:pPr>
              <w:spacing w:after="0"/>
              <w:rPr>
                <w:sz w:val="21"/>
                <w:szCs w:val="21"/>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160" w:type="dxa"/>
            <w:vAlign w:val="bottom"/>
            <w:gridSpan w:val="25"/>
          </w:tcPr>
          <w:p>
            <w:pPr>
              <w:spacing w:after="0"/>
              <w:rPr>
                <w:sz w:val="21"/>
                <w:szCs w:val="21"/>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38</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1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38</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1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38</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80" w:type="dxa"/>
            <w:vAlign w:val="bottom"/>
            <w:gridSpan w:val="13"/>
          </w:tcPr>
          <w:p>
            <w:pPr>
              <w:jc w:val="center"/>
              <w:ind w:right="4320"/>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44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1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39</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0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[Reserved]</w:t>
            </w:r>
          </w:p>
        </w:tc>
        <w:tc>
          <w:tcPr>
            <w:tcW w:w="1120" w:type="dxa"/>
            <w:vAlign w:val="bottom"/>
          </w:tcPr>
          <w:p>
            <w:pPr>
              <w:spacing w:after="0"/>
              <w:rPr>
                <w:sz w:val="21"/>
                <w:szCs w:val="21"/>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41</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w:t>
            </w:r>
          </w:p>
        </w:tc>
        <w:tc>
          <w:tcPr>
            <w:tcW w:w="64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720" w:type="dxa"/>
            <w:vAlign w:val="bottom"/>
            <w:gridSpan w:val="4"/>
          </w:tcPr>
          <w:p>
            <w:pPr>
              <w:spacing w:after="0"/>
              <w:rPr>
                <w:sz w:val="21"/>
                <w:szCs w:val="21"/>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42</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7A.</w:t>
            </w:r>
          </w:p>
        </w:tc>
        <w:tc>
          <w:tcPr>
            <w:tcW w:w="64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720" w:type="dxa"/>
            <w:vAlign w:val="bottom"/>
            <w:gridSpan w:val="4"/>
          </w:tcPr>
          <w:p>
            <w:pPr>
              <w:spacing w:after="0"/>
              <w:rPr>
                <w:sz w:val="21"/>
                <w:szCs w:val="21"/>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50</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w:t>
            </w:r>
          </w:p>
        </w:tc>
        <w:tc>
          <w:tcPr>
            <w:tcW w:w="4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820" w:type="dxa"/>
            <w:vAlign w:val="bottom"/>
            <w:gridSpan w:val="11"/>
          </w:tcPr>
          <w:p>
            <w:pPr>
              <w:spacing w:after="0"/>
              <w:rPr>
                <w:sz w:val="21"/>
                <w:szCs w:val="21"/>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52</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w:t>
            </w:r>
          </w:p>
        </w:tc>
        <w:tc>
          <w:tcPr>
            <w:tcW w:w="91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87</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9A.</w:t>
            </w:r>
          </w:p>
        </w:tc>
        <w:tc>
          <w:tcPr>
            <w:tcW w:w="64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700" w:type="dxa"/>
            <w:vAlign w:val="bottom"/>
            <w:gridSpan w:val="3"/>
          </w:tcPr>
          <w:p>
            <w:pPr>
              <w:spacing w:after="0"/>
              <w:rPr>
                <w:sz w:val="21"/>
                <w:szCs w:val="21"/>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87</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00" w:type="dxa"/>
            <w:vAlign w:val="bottom"/>
            <w:gridSpan w:val="22"/>
          </w:tcPr>
          <w:p>
            <w:pPr>
              <w:spacing w:after="0"/>
              <w:rPr>
                <w:sz w:val="21"/>
                <w:szCs w:val="21"/>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88</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9C.</w:t>
            </w:r>
          </w:p>
        </w:tc>
        <w:tc>
          <w:tcPr>
            <w:tcW w:w="49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240" w:type="dxa"/>
            <w:vAlign w:val="bottom"/>
            <w:gridSpan w:val="6"/>
          </w:tcPr>
          <w:p>
            <w:pPr>
              <w:spacing w:after="0"/>
              <w:rPr>
                <w:sz w:val="21"/>
                <w:szCs w:val="21"/>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88</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760" w:type="dxa"/>
            <w:vAlign w:val="bottom"/>
            <w:tcBorders>
              <w:top w:val="single" w:sz="8" w:color="0000FF"/>
            </w:tcBorders>
          </w:tcPr>
          <w:p>
            <w:pPr>
              <w:spacing w:after="0"/>
              <w:rPr>
                <w:sz w:val="21"/>
                <w:szCs w:val="21"/>
                <w:color w:val="auto"/>
              </w:rPr>
            </w:pPr>
          </w:p>
        </w:tc>
        <w:tc>
          <w:tcPr>
            <w:tcW w:w="840" w:type="dxa"/>
            <w:vAlign w:val="bottom"/>
            <w:tcBorders>
              <w:top w:val="single" w:sz="8" w:color="0000FF"/>
            </w:tcBorders>
            <w:gridSpan w:val="9"/>
          </w:tcPr>
          <w:p>
            <w:pPr>
              <w:jc w:val="cente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4240" w:type="dxa"/>
            <w:vAlign w:val="bottom"/>
            <w:gridSpan w:val="6"/>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10.</w:t>
            </w:r>
          </w:p>
        </w:tc>
        <w:tc>
          <w:tcPr>
            <w:tcW w:w="41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40" w:type="dxa"/>
            <w:vAlign w:val="bottom"/>
            <w:tcBorders>
              <w:top w:val="single" w:sz="8" w:color="0000FF"/>
            </w:tcBorders>
            <w:gridSpan w:val="7"/>
          </w:tcPr>
          <w:p>
            <w:pPr>
              <w:spacing w:after="0"/>
              <w:rPr>
                <w:sz w:val="21"/>
                <w:szCs w:val="21"/>
                <w:color w:val="auto"/>
              </w:rPr>
            </w:pPr>
          </w:p>
        </w:tc>
        <w:tc>
          <w:tcPr>
            <w:tcW w:w="4260" w:type="dxa"/>
            <w:vAlign w:val="bottom"/>
            <w:gridSpan w:val="7"/>
          </w:tcPr>
          <w:p>
            <w:pPr>
              <w:spacing w:after="0"/>
              <w:rPr>
                <w:sz w:val="21"/>
                <w:szCs w:val="21"/>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89</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gridSpan w:val="6"/>
          </w:tcPr>
          <w:p>
            <w:pPr>
              <w:spacing w:after="0"/>
              <w:rPr>
                <w:sz w:val="21"/>
                <w:szCs w:val="21"/>
                <w:color w:val="auto"/>
              </w:rPr>
            </w:pPr>
          </w:p>
        </w:tc>
        <w:tc>
          <w:tcPr>
            <w:tcW w:w="5080" w:type="dxa"/>
            <w:vAlign w:val="bottom"/>
            <w:gridSpan w:val="15"/>
          </w:tcPr>
          <w:p>
            <w:pPr>
              <w:spacing w:after="0"/>
              <w:rPr>
                <w:sz w:val="21"/>
                <w:szCs w:val="21"/>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89</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12.</w:t>
            </w:r>
          </w:p>
        </w:tc>
        <w:tc>
          <w:tcPr>
            <w:tcW w:w="91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89</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880" w:type="dxa"/>
            <w:vAlign w:val="bottom"/>
            <w:gridSpan w:val="2"/>
          </w:tcPr>
          <w:p>
            <w:pPr>
              <w:spacing w:after="0"/>
              <w:rPr>
                <w:sz w:val="21"/>
                <w:szCs w:val="21"/>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90</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720" w:type="dxa"/>
            <w:vAlign w:val="bottom"/>
            <w:gridSpan w:val="5"/>
          </w:tcPr>
          <w:p>
            <w:pPr>
              <w:spacing w:after="0"/>
              <w:rPr>
                <w:sz w:val="21"/>
                <w:szCs w:val="21"/>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90</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4280" w:type="dxa"/>
            <w:vAlign w:val="bottom"/>
            <w:gridSpan w:val="8"/>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6000" w:type="dxa"/>
            <w:vAlign w:val="bottom"/>
            <w:gridSpan w:val="17"/>
          </w:tcPr>
          <w:p>
            <w:pPr>
              <w:spacing w:after="0"/>
              <w:rPr>
                <w:sz w:val="21"/>
                <w:szCs w:val="21"/>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91</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6000" w:type="dxa"/>
            <w:vAlign w:val="bottom"/>
            <w:gridSpan w:val="17"/>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16.</w:t>
            </w:r>
          </w:p>
        </w:tc>
        <w:tc>
          <w:tcPr>
            <w:tcW w:w="31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6000" w:type="dxa"/>
            <w:vAlign w:val="bottom"/>
            <w:gridSpan w:val="17"/>
          </w:tcPr>
          <w:p>
            <w:pPr>
              <w:spacing w:after="0"/>
              <w:rPr>
                <w:sz w:val="21"/>
                <w:szCs w:val="21"/>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93</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94</w:t>
            </w:r>
          </w:p>
        </w:tc>
        <w:tc>
          <w:tcPr>
            <w:tcW w:w="20" w:type="dxa"/>
            <w:vAlign w:val="bottom"/>
          </w:tcPr>
          <w:p>
            <w:pPr>
              <w:spacing w:after="0"/>
              <w:rPr>
                <w:sz w:val="20"/>
                <w:szCs w:val="20"/>
                <w:color w:val="auto"/>
              </w:rPr>
            </w:pPr>
          </w:p>
        </w:tc>
      </w:tr>
      <w:tr>
        <w:trPr>
          <w:trHeight w:val="952"/>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800" w:type="dxa"/>
            <w:vAlign w:val="bottom"/>
            <w:gridSpan w:val="20"/>
          </w:tcPr>
          <w:p>
            <w:pPr>
              <w:jc w:val="center"/>
              <w:ind w:left="4150"/>
              <w:spacing w:after="0"/>
              <w:rPr>
                <w:sz w:val="20"/>
                <w:szCs w:val="20"/>
                <w:color w:val="auto"/>
              </w:rPr>
            </w:pPr>
            <w:r>
              <w:rPr>
                <w:rFonts w:ascii="Times New Roman" w:cs="Times New Roman" w:eastAsia="Times New Roman" w:hAnsi="Times New Roman"/>
                <w:sz w:val="18"/>
                <w:szCs w:val="18"/>
                <w:color w:val="auto"/>
                <w:w w:val="88"/>
              </w:rPr>
              <w:t>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business is subject to significant risks and uncertainties that make an investment in us speculative and risky. Below we summarize what we believe are the principal risk factors but these risks are not the only ones we face, and you should carefully review and consider the full discussion of our risk factors in the section titled “Risk Factors,” together with the other information in this Annual Report on Form 10-K. If any of the following risks actually occurs (or if any of those listed elsewhere in this Annual Report on Form 10-K occur), our business, reputation, financial condition, results of operations, revenue, and future prospects could be seriously harmed. Additional risks and uncertainties that we are unaware of, or that we currently believe are not material, may also become important factors that adversely affect our business.</w:t>
      </w:r>
    </w:p>
    <w:p>
      <w:pPr>
        <w:spacing w:after="0" w:line="214" w:lineRule="exact"/>
        <w:rPr>
          <w:sz w:val="20"/>
          <w:szCs w:val="20"/>
          <w:color w:val="auto"/>
        </w:rPr>
      </w:pPr>
    </w:p>
    <w:p>
      <w:pPr>
        <w:ind w:left="1300" w:right="300" w:hanging="320"/>
        <w:spacing w:after="0" w:line="261"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and annual operating results may vary from period to period, which could result in our failure to meet expectations with respect to operating results and cause the trading price of our stock to decline.</w:t>
      </w:r>
    </w:p>
    <w:p>
      <w:pPr>
        <w:ind w:left="1300" w:right="40" w:hanging="320"/>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1" w:lineRule="exact"/>
        <w:rPr>
          <w:rFonts w:ascii="Times New Roman" w:cs="Times New Roman" w:eastAsia="Times New Roman" w:hAnsi="Times New Roman"/>
          <w:sz w:val="18"/>
          <w:szCs w:val="18"/>
          <w:color w:val="auto"/>
        </w:rPr>
      </w:pPr>
    </w:p>
    <w:p>
      <w:pPr>
        <w:ind w:left="1300" w:right="260" w:hanging="320"/>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continue to effectively scale and adapt our platform to meet the performance and other requirements of our customers, our operating results and our business would be harmed.</w:t>
      </w:r>
    </w:p>
    <w:p>
      <w:pPr>
        <w:ind w:left="1300" w:right="580" w:hanging="320"/>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renew existing subscriptions for our IT, security and compliance solutions, sell additional subscriptions for our solutions and attract new customers, our operating results would be harmed.</w:t>
      </w:r>
    </w:p>
    <w:p>
      <w:pPr>
        <w:ind w:left="1300" w:right="640" w:hanging="320"/>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research and development efforts may not produce successful products or enhancements to our platform that result in significant revenue, cost savings or other benefits in the near future.</w:t>
      </w:r>
    </w:p>
    <w:p>
      <w:pPr>
        <w:ind w:left="1300" w:hanging="320"/>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products, website and internal systems may be subject to intentional disruption or other security incidents that could result in liability and adversely impact our reputation and future sales.</w:t>
      </w:r>
    </w:p>
    <w:p>
      <w:pPr>
        <w:ind w:left="1300" w:right="360" w:hanging="320"/>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cycle can be long and unpredictable, and our sales efforts require considerable time and expense. As a result, revenues may vary from period to period, which may cause our operating results to fluctuate and could harm our business.</w:t>
      </w: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conditions or reduced IT spending may adversely impact our business.</w:t>
      </w:r>
    </w:p>
    <w:p>
      <w:pPr>
        <w:spacing w:after="0" w:line="9" w:lineRule="exact"/>
        <w:rPr>
          <w:rFonts w:ascii="Times New Roman" w:cs="Times New Roman" w:eastAsia="Times New Roman" w:hAnsi="Times New Roman"/>
          <w:sz w:val="18"/>
          <w:szCs w:val="18"/>
          <w:color w:val="auto"/>
        </w:rPr>
      </w:pPr>
    </w:p>
    <w:p>
      <w:pPr>
        <w:ind w:left="1300" w:right="200" w:hanging="320"/>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IT, security and compliance solutions are delivered from 14 shared cloud platforms, and any disruption of service at these facilities would interrupt or delay our ability to deliver our solutions to our customers which could reduce our revenues and harm our operating results.</w:t>
      </w:r>
    </w:p>
    <w:p>
      <w:pPr>
        <w:spacing w:after="0" w:line="1" w:lineRule="exact"/>
        <w:rPr>
          <w:rFonts w:ascii="Times New Roman" w:cs="Times New Roman" w:eastAsia="Times New Roman" w:hAnsi="Times New Roman"/>
          <w:sz w:val="18"/>
          <w:szCs w:val="18"/>
          <w:color w:val="auto"/>
        </w:rPr>
      </w:pPr>
    </w:p>
    <w:p>
      <w:pPr>
        <w:ind w:left="1300" w:right="460" w:hanging="320"/>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in our markets, and we may lack sufficient financial or other resources to maintain or improve our competitive position.</w:t>
      </w:r>
    </w:p>
    <w:p>
      <w:pPr>
        <w:ind w:left="1300" w:hanging="320"/>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prices of our solutions are subject to competitive pressures and may decrease, which may reduce our gross profits and adversely impact our financial results.</w:t>
      </w:r>
    </w:p>
    <w:p>
      <w:pPr>
        <w:ind w:left="1300" w:right="180" w:hanging="320"/>
        <w:spacing w:after="0" w:line="26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solutions fail to detect vulnerabilities or incorrectly detect vulnerabilities, our brand and reputation could be harmed, which could have an adverse effect on our business and results of operations.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recruit and retain qualified sales personnel, sales of our solutions and the growth of our business would be harmed.</w:t>
      </w:r>
    </w:p>
    <w:p>
      <w:pPr>
        <w:spacing w:after="0" w:line="27" w:lineRule="exact"/>
        <w:rPr>
          <w:rFonts w:ascii="Times New Roman" w:cs="Times New Roman" w:eastAsia="Times New Roman" w:hAnsi="Times New Roman"/>
          <w:sz w:val="18"/>
          <w:szCs w:val="18"/>
          <w:color w:val="auto"/>
        </w:rPr>
      </w:pPr>
    </w:p>
    <w:p>
      <w:pPr>
        <w:ind w:left="1300" w:right="640" w:hanging="320"/>
        <w:spacing w:after="0" w:line="250"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channel partners to generate a substantial amount of our revenues, and if we fail to effectively manage our distribution channels, our revenues could decline and our growth prospects could suffer.</w:t>
      </w:r>
    </w:p>
    <w:p>
      <w:pPr>
        <w:ind w:left="1300" w:hanging="320"/>
        <w:spacing w:after="0" w:line="250"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 w:lineRule="exact"/>
        <w:rPr>
          <w:rFonts w:ascii="Times New Roman" w:cs="Times New Roman" w:eastAsia="Times New Roman" w:hAnsi="Times New Roman"/>
          <w:sz w:val="18"/>
          <w:szCs w:val="18"/>
          <w:color w:val="auto"/>
        </w:rPr>
      </w:pPr>
    </w:p>
    <w:p>
      <w:pPr>
        <w:ind w:left="1300" w:right="320" w:hanging="320"/>
        <w:spacing w:after="0" w:line="250"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operations have continued to grow since inception, and if we do not appropriately manage any future growth, or are unable to improve our systems and processes, our operating results may be negatively affected.</w:t>
      </w:r>
    </w:p>
    <w:p>
      <w:pPr>
        <w:ind w:left="1300" w:right="400" w:hanging="320"/>
        <w:spacing w:after="0" w:line="250"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the continued services and performance of our senior management and other key employees, the loss of any of whom could adversely affect our business, operating results and financial condition.</w:t>
      </w: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hire, retain and motivate qualified personnel, our business may suffer.</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our revenues are generated by sales to government entities, which are subject to a number of challenges and risks.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acquiring and integrating other businesses, products or technologies could impact our financial position.</w:t>
      </w:r>
    </w:p>
    <w:p>
      <w:pPr>
        <w:spacing w:after="0" w:line="9" w:lineRule="exact"/>
        <w:rPr>
          <w:rFonts w:ascii="Times New Roman" w:cs="Times New Roman" w:eastAsia="Times New Roman" w:hAnsi="Times New Roman"/>
          <w:sz w:val="18"/>
          <w:szCs w:val="18"/>
          <w:color w:val="auto"/>
        </w:rPr>
      </w:pPr>
    </w:p>
    <w:p>
      <w:pPr>
        <w:ind w:left="1300" w:right="180" w:hanging="320"/>
        <w:spacing w:after="0" w:line="250"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Undetected software errors or flaws in our solutions could harm our reputation, decrease market acceptance of our solutions or result in liability.</w:t>
      </w:r>
    </w:p>
    <w:p>
      <w:pPr>
        <w:ind w:left="1300" w:right="220" w:hanging="320"/>
        <w:spacing w:after="0" w:line="250"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solutions could be used to collect and store personal information of our customers’ employees or customers, and therefore privacy and other data handling concerns could result in additional cost and liability to us or inhibit sales of our solutions.</w:t>
      </w: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AI/machine learning technologies in our solutions that could result in harm to our business and operating results.</w:t>
      </w:r>
    </w:p>
    <w:p>
      <w:pPr>
        <w:spacing w:after="0" w:line="9" w:lineRule="exact"/>
        <w:rPr>
          <w:rFonts w:ascii="Times New Roman" w:cs="Times New Roman" w:eastAsia="Times New Roman" w:hAnsi="Times New Roman"/>
          <w:sz w:val="18"/>
          <w:szCs w:val="18"/>
          <w:color w:val="auto"/>
        </w:rPr>
      </w:pPr>
    </w:p>
    <w:p>
      <w:pPr>
        <w:ind w:left="1300" w:right="400" w:hanging="320"/>
        <w:spacing w:after="0" w:line="250"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solutions contain third-party open source software components, and our failure to comply with the terms of the underlying open source software licenses could restrict our ability to sell our solutions.</w:t>
      </w:r>
    </w:p>
    <w:p>
      <w:pPr>
        <w:ind w:left="1300" w:right="360" w:hanging="320"/>
        <w:spacing w:after="0" w:line="250"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third-party software and data that may be difficult to replace or cause errors or failures of our solutions that could lead to lost customers or harm to our reputation and our operating results.</w:t>
      </w: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proprietary technology and intellectual property rights could substantially harm our business and operating results.</w:t>
      </w:r>
    </w:p>
    <w:p>
      <w:pPr>
        <w:spacing w:after="0" w:line="9" w:lineRule="exact"/>
        <w:rPr>
          <w:rFonts w:ascii="Times New Roman" w:cs="Times New Roman" w:eastAsia="Times New Roman" w:hAnsi="Times New Roman"/>
          <w:sz w:val="18"/>
          <w:szCs w:val="18"/>
          <w:color w:val="auto"/>
        </w:rPr>
      </w:pPr>
    </w:p>
    <w:p>
      <w:pPr>
        <w:ind w:left="1300" w:right="260" w:hanging="320"/>
        <w:spacing w:after="0" w:line="260"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Assertions by third parties of infringement or other violations by us of their intellectual property rights could result in significant costs and harm our business and operating results.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Annual Report on Form 10-K contains “forward-looking” statements within the meaning of Section 21E of the Securities Exchange Act of 1934, as amended, or the Exchange Act.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200" w:lineRule="exact"/>
        <w:rPr>
          <w:sz w:val="20"/>
          <w:szCs w:val="20"/>
          <w:color w:val="auto"/>
        </w:rPr>
      </w:pPr>
    </w:p>
    <w:p>
      <w:pPr>
        <w:spacing w:after="0" w:line="225" w:lineRule="exact"/>
        <w:rPr>
          <w:sz w:val="20"/>
          <w:szCs w:val="20"/>
          <w:color w:val="auto"/>
        </w:rPr>
      </w:pPr>
    </w:p>
    <w:p>
      <w:pPr>
        <w:ind w:left="1060" w:hanging="517"/>
        <w:spacing w:after="0" w:line="262" w:lineRule="auto"/>
        <w:tabs>
          <w:tab w:leader="none" w:pos="105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financial performance, including our revenues, costs, expenditures, growth rates, operating expenses and ability to generate positive cash flow to fund our operations and sustain profitability;</w:t>
      </w:r>
    </w:p>
    <w:p>
      <w:pPr>
        <w:ind w:left="1060" w:hanging="517"/>
        <w:spacing w:after="0"/>
        <w:tabs>
          <w:tab w:leader="none" w:pos="10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anticipated technology trends, such as the use of cloud solutions, and use of artificial intelligence ("AI");</w:t>
      </w:r>
    </w:p>
    <w:p>
      <w:pPr>
        <w:spacing w:after="0" w:line="9" w:lineRule="exact"/>
        <w:rPr>
          <w:rFonts w:ascii="Times New Roman" w:cs="Times New Roman" w:eastAsia="Times New Roman" w:hAnsi="Times New Roman"/>
          <w:sz w:val="18"/>
          <w:szCs w:val="18"/>
          <w:i w:val="1"/>
          <w:iCs w:val="1"/>
          <w:color w:val="auto"/>
        </w:rPr>
      </w:pPr>
    </w:p>
    <w:p>
      <w:pPr>
        <w:ind w:left="1060" w:hanging="517"/>
        <w:spacing w:after="0"/>
        <w:tabs>
          <w:tab w:leader="none" w:pos="10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adapt to changing market conditions;</w:t>
      </w:r>
    </w:p>
    <w:p>
      <w:pPr>
        <w:spacing w:after="0" w:line="9" w:lineRule="exact"/>
        <w:rPr>
          <w:rFonts w:ascii="Times New Roman" w:cs="Times New Roman" w:eastAsia="Times New Roman" w:hAnsi="Times New Roman"/>
          <w:sz w:val="18"/>
          <w:szCs w:val="18"/>
          <w:i w:val="1"/>
          <w:iCs w:val="1"/>
          <w:color w:val="auto"/>
        </w:rPr>
      </w:pPr>
    </w:p>
    <w:p>
      <w:pPr>
        <w:ind w:left="1060" w:hanging="517"/>
        <w:spacing w:after="0" w:line="250" w:lineRule="auto"/>
        <w:tabs>
          <w:tab w:leader="none" w:pos="105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economic and financial conditions, including volatility in foreign exchange rates, inflation concerns, high interest rates, recessionary fears, significant volatility of global markets, reduced spending and extended sales cycles, and geopolitical conflicts;</w:t>
      </w:r>
    </w:p>
    <w:p>
      <w:pPr>
        <w:ind w:left="1060" w:right="20" w:hanging="517"/>
        <w:spacing w:after="0" w:line="250" w:lineRule="auto"/>
        <w:tabs>
          <w:tab w:leader="none" w:pos="105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diversify our sources of revenues, including selling additional solutions to our existing customers and our ability to pursue new customers;</w:t>
      </w:r>
    </w:p>
    <w:p>
      <w:pPr>
        <w:ind w:left="1060" w:hanging="517"/>
        <w:spacing w:after="0"/>
        <w:tabs>
          <w:tab w:leader="none" w:pos="10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effects of increased competition in our market;</w:t>
      </w:r>
    </w:p>
    <w:p>
      <w:pPr>
        <w:spacing w:after="0" w:line="9" w:lineRule="exact"/>
        <w:rPr>
          <w:rFonts w:ascii="Times New Roman" w:cs="Times New Roman" w:eastAsia="Times New Roman" w:hAnsi="Times New Roman"/>
          <w:sz w:val="18"/>
          <w:szCs w:val="18"/>
          <w:i w:val="1"/>
          <w:iCs w:val="1"/>
          <w:color w:val="auto"/>
        </w:rPr>
      </w:pPr>
    </w:p>
    <w:p>
      <w:pPr>
        <w:ind w:left="1060" w:hanging="517"/>
        <w:spacing w:after="0"/>
        <w:tabs>
          <w:tab w:leader="none" w:pos="10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innovate and enhance our cloud solutions and platform and introduce new solutions;</w:t>
      </w:r>
    </w:p>
    <w:p>
      <w:pPr>
        <w:spacing w:after="0" w:line="9" w:lineRule="exact"/>
        <w:rPr>
          <w:rFonts w:ascii="Times New Roman" w:cs="Times New Roman" w:eastAsia="Times New Roman" w:hAnsi="Times New Roman"/>
          <w:sz w:val="18"/>
          <w:szCs w:val="18"/>
          <w:i w:val="1"/>
          <w:iCs w:val="1"/>
          <w:color w:val="auto"/>
        </w:rPr>
      </w:pPr>
    </w:p>
    <w:p>
      <w:pPr>
        <w:ind w:left="1060" w:hanging="517"/>
        <w:spacing w:after="0"/>
        <w:tabs>
          <w:tab w:leader="none" w:pos="10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effectively manage our growth;</w:t>
      </w:r>
    </w:p>
    <w:p>
      <w:pPr>
        <w:spacing w:after="0" w:line="9" w:lineRule="exact"/>
        <w:rPr>
          <w:rFonts w:ascii="Times New Roman" w:cs="Times New Roman" w:eastAsia="Times New Roman" w:hAnsi="Times New Roman"/>
          <w:sz w:val="18"/>
          <w:szCs w:val="18"/>
          <w:i w:val="1"/>
          <w:iCs w:val="1"/>
          <w:color w:val="auto"/>
        </w:rPr>
      </w:pPr>
    </w:p>
    <w:p>
      <w:pPr>
        <w:ind w:left="1060" w:hanging="517"/>
        <w:spacing w:after="0"/>
        <w:tabs>
          <w:tab w:leader="none" w:pos="10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anticipated investments in sales and marketing, our infrastructure, new solutions, research and development, and acquisitions;</w:t>
      </w:r>
    </w:p>
    <w:p>
      <w:pPr>
        <w:spacing w:after="0" w:line="9" w:lineRule="exact"/>
        <w:rPr>
          <w:rFonts w:ascii="Times New Roman" w:cs="Times New Roman" w:eastAsia="Times New Roman" w:hAnsi="Times New Roman"/>
          <w:sz w:val="18"/>
          <w:szCs w:val="18"/>
          <w:i w:val="1"/>
          <w:iCs w:val="1"/>
          <w:color w:val="auto"/>
        </w:rPr>
      </w:pPr>
    </w:p>
    <w:p>
      <w:pPr>
        <w:ind w:left="1060" w:hanging="517"/>
        <w:spacing w:after="0"/>
        <w:tabs>
          <w:tab w:leader="none" w:pos="10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maintaining and enhancing our relationships with channel partners;</w:t>
      </w:r>
    </w:p>
    <w:p>
      <w:pPr>
        <w:spacing w:after="0" w:line="9" w:lineRule="exact"/>
        <w:rPr>
          <w:rFonts w:ascii="Times New Roman" w:cs="Times New Roman" w:eastAsia="Times New Roman" w:hAnsi="Times New Roman"/>
          <w:sz w:val="18"/>
          <w:szCs w:val="18"/>
          <w:i w:val="1"/>
          <w:iCs w:val="1"/>
          <w:color w:val="auto"/>
        </w:rPr>
      </w:pPr>
    </w:p>
    <w:p>
      <w:pPr>
        <w:ind w:left="1060" w:hanging="517"/>
        <w:spacing w:after="0"/>
        <w:tabs>
          <w:tab w:leader="none" w:pos="10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maintain, protect and enhance our brand and intellectual property;</w:t>
      </w:r>
    </w:p>
    <w:p>
      <w:pPr>
        <w:spacing w:after="0" w:line="9" w:lineRule="exact"/>
        <w:rPr>
          <w:rFonts w:ascii="Times New Roman" w:cs="Times New Roman" w:eastAsia="Times New Roman" w:hAnsi="Times New Roman"/>
          <w:sz w:val="18"/>
          <w:szCs w:val="18"/>
          <w:i w:val="1"/>
          <w:iCs w:val="1"/>
          <w:color w:val="auto"/>
        </w:rPr>
      </w:pPr>
    </w:p>
    <w:p>
      <w:pPr>
        <w:ind w:left="1060" w:hanging="517"/>
        <w:spacing w:after="0"/>
        <w:tabs>
          <w:tab w:leader="none" w:pos="10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costs associated with defending intellectual property infringement and other claims;</w:t>
      </w:r>
    </w:p>
    <w:p>
      <w:pPr>
        <w:spacing w:after="0" w:line="9" w:lineRule="exact"/>
        <w:rPr>
          <w:rFonts w:ascii="Times New Roman" w:cs="Times New Roman" w:eastAsia="Times New Roman" w:hAnsi="Times New Roman"/>
          <w:sz w:val="18"/>
          <w:szCs w:val="18"/>
          <w:i w:val="1"/>
          <w:iCs w:val="1"/>
          <w:color w:val="auto"/>
        </w:rPr>
      </w:pPr>
    </w:p>
    <w:p>
      <w:pPr>
        <w:ind w:left="1060" w:hanging="517"/>
        <w:spacing w:after="0"/>
        <w:tabs>
          <w:tab w:leader="none" w:pos="10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attract and retain qualified employees and key personnel, including sales and marketing personnel;</w:t>
      </w:r>
    </w:p>
    <w:p>
      <w:pPr>
        <w:spacing w:after="0" w:line="9" w:lineRule="exact"/>
        <w:rPr>
          <w:rFonts w:ascii="Times New Roman" w:cs="Times New Roman" w:eastAsia="Times New Roman" w:hAnsi="Times New Roman"/>
          <w:sz w:val="18"/>
          <w:szCs w:val="18"/>
          <w:i w:val="1"/>
          <w:iCs w:val="1"/>
          <w:color w:val="auto"/>
        </w:rPr>
      </w:pPr>
    </w:p>
    <w:p>
      <w:pPr>
        <w:ind w:left="1060" w:hanging="517"/>
        <w:spacing w:after="0"/>
        <w:tabs>
          <w:tab w:leader="none" w:pos="10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successfully enter new markets and manage our international expansion;</w:t>
      </w:r>
    </w:p>
    <w:p>
      <w:pPr>
        <w:spacing w:after="0" w:line="9" w:lineRule="exact"/>
        <w:rPr>
          <w:rFonts w:ascii="Times New Roman" w:cs="Times New Roman" w:eastAsia="Times New Roman" w:hAnsi="Times New Roman"/>
          <w:sz w:val="18"/>
          <w:szCs w:val="18"/>
          <w:i w:val="1"/>
          <w:iCs w:val="1"/>
          <w:color w:val="auto"/>
        </w:rPr>
      </w:pPr>
    </w:p>
    <w:p>
      <w:pPr>
        <w:ind w:left="1060" w:hanging="517"/>
        <w:spacing w:after="0"/>
        <w:tabs>
          <w:tab w:leader="none" w:pos="10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expectations, assumptions and conclusions related to our income tax provision, our deferred tax assets and our effective tax rate;</w:t>
      </w:r>
    </w:p>
    <w:p>
      <w:pPr>
        <w:spacing w:after="0" w:line="9" w:lineRule="exact"/>
        <w:rPr>
          <w:rFonts w:ascii="Times New Roman" w:cs="Times New Roman" w:eastAsia="Times New Roman" w:hAnsi="Times New Roman"/>
          <w:sz w:val="18"/>
          <w:szCs w:val="18"/>
          <w:i w:val="1"/>
          <w:iCs w:val="1"/>
          <w:color w:val="auto"/>
        </w:rPr>
      </w:pPr>
    </w:p>
    <w:p>
      <w:pPr>
        <w:ind w:left="1060" w:hanging="517"/>
        <w:spacing w:after="0"/>
        <w:tabs>
          <w:tab w:leader="none" w:pos="10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expectations regarding the performance of, and our future trading activity with respect to, the marketable securities we hold;</w:t>
      </w:r>
    </w:p>
    <w:p>
      <w:pPr>
        <w:spacing w:after="0" w:line="9" w:lineRule="exact"/>
        <w:rPr>
          <w:rFonts w:ascii="Times New Roman" w:cs="Times New Roman" w:eastAsia="Times New Roman" w:hAnsi="Times New Roman"/>
          <w:sz w:val="18"/>
          <w:szCs w:val="18"/>
          <w:i w:val="1"/>
          <w:iCs w:val="1"/>
          <w:color w:val="auto"/>
        </w:rPr>
      </w:pPr>
    </w:p>
    <w:p>
      <w:pPr>
        <w:ind w:left="1060" w:hanging="517"/>
        <w:spacing w:after="0"/>
        <w:tabs>
          <w:tab w:leader="none" w:pos="10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expectations regarding our share repurchase program; and</w:t>
      </w:r>
    </w:p>
    <w:p>
      <w:pPr>
        <w:spacing w:after="0" w:line="9" w:lineRule="exact"/>
        <w:rPr>
          <w:rFonts w:ascii="Times New Roman" w:cs="Times New Roman" w:eastAsia="Times New Roman" w:hAnsi="Times New Roman"/>
          <w:sz w:val="18"/>
          <w:szCs w:val="18"/>
          <w:i w:val="1"/>
          <w:iCs w:val="1"/>
          <w:color w:val="auto"/>
        </w:rPr>
      </w:pPr>
    </w:p>
    <w:p>
      <w:pPr>
        <w:ind w:left="1060" w:hanging="517"/>
        <w:spacing w:after="0" w:line="260" w:lineRule="auto"/>
        <w:tabs>
          <w:tab w:leader="none" w:pos="105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factors discussed in this Annual Report on Form 10-K in the sections titled “Risk Factors” and “Management's Discussion and Analysis of Financial Condition and Results of Operations.”</w:t>
      </w:r>
    </w:p>
    <w:p>
      <w:pPr>
        <w:spacing w:after="0" w:line="1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We have based the forward-looking statements contained in this Annual Report on Form 10-K primarily on our current expectations and projections about future events and trends that we believe may affect our business, financial condition, results of operations and prospects. The results, events and circumstances reflected in these forward-looking statements are subject to risks, uncertainties, assumptions, and other factors including those described in Part I, Item 1A (Risk Factors) of this Annual Report on Form 10-K and those discussed in other documents we file with the U.S. Securities and Exchange Commission (SEC). Moreover, we operate in a very competitive and rapidly changing environment. New risks and uncertainties emerge from time to time, and it is not possible for us to predict all risks and uncertainties that could have an impact on the forward-looking statements used herein. We cannot provide assurance that the results, events, and circumstances reflected in the forward-looking statements will be achieved or occur, and actual results, events or circumstances could differ materially from those described in the forward-looking statements.</w:t>
      </w:r>
    </w:p>
    <w:p>
      <w:pPr>
        <w:spacing w:after="0" w:line="18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You should not rely on forward-looking statements as predictions of future events. Except as required by law, neither we nor any other person assumes responsibility for the accuracy and completeness of the forward-looking statements, and we undertake no obligation to update any forward-looking statements to reflect events or circumstances after the date of such statements.</w:t>
      </w:r>
    </w:p>
    <w:p>
      <w:pPr>
        <w:spacing w:after="0" w:line="173" w:lineRule="exact"/>
        <w:rPr>
          <w:sz w:val="20"/>
          <w:szCs w:val="20"/>
          <w:color w:val="auto"/>
        </w:rPr>
      </w:pPr>
    </w:p>
    <w:p>
      <w:pPr>
        <w:jc w:val="both"/>
        <w:ind w:right="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Qualys, the Qualys logo and other trademarks and service marks of Qualys appearing in this Annual Report on Form 10-K are the property of Qualys. This Annual Report on Form 10-K also contains trademarks and trade names of other businesses that are the property of their respective holders. We have omitted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designations, as applicable, for the trademarks used in this Annual Report on Form 10-K.</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a leading provider of a cloud-based platform delivering information technology (IT), security and compliance solutions. Our integrated suite of IT, security and compliance solutions delivered on Qualys' Enterprise TruRisk Platform enables our customers to: 1) identify and manage their internal and external IT and operational technology (OT) assets across on-premises, endpoints, cloud, containers, and mobile environments; 2) collect and analyze large amounts of IT security data; 3) discover and prioritize vulnerabilities; 4) quantify cyber risk exposure; 5) recommend and implement remediation actions; and 6) verify the implementation of such actions. This helps organizations protect their systems and applications from ever-evolving cyber-attacks and helps achieve compliance with internal policies and external regulations.</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cloud platform addresses the growing IT, security and compliance complexities and risks that are amplified by the dissolving boundaries between IT infrastructures and web environments, the rapid adoption of cloud computing, containers and serverless IT models, and the proliferation of geographically dispersed IT assets. Organizations use our integrated suite of solutions to cost-effectively obtain a unified view of their internal and external IT and OT asset inventory as well as security and compliance posture across globally-distributed IT infrastructures as our solution offers a single platform for information technology, information security, application security, endpoint, developer security and cloud teams.</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IT infrastructures are more complex and globally-distributed today than ever before, as organizations of all sizes increasingly rely upon a myriad of interconnected information systems and related assets, such as servers, databases, web applications, routers, switches, desktops, laptops, other physical and virtual infrastructure, and numerous external networks and cloud services. In this environment, new and evolving digital technologies intended to improve organizations’ operations can also increase vulnerability to cyber-attacks, which can expose sensitive data, damage IT and physical infrastructures, and result in serious financial or reputational consequences. In addition, the rapidly increasing amount of data and devices in IT environments makes it more difficult to identify and remediate vulnerabilities in a timely manner. The predominant approach to IT security has been to implement multiple disparate security products that can be costly and difficult to deploy, integrate and manage and may not adequately protect organizations. As a result, we believe there is a large and growing opportunity for comprehensive cloud-based IT, security and compliance solutions that detect, measure, prioritize and remediate cyber risk delivered in a single platform.</w:t>
      </w:r>
    </w:p>
    <w:p>
      <w:pPr>
        <w:spacing w:after="0" w:line="18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designed our cloud platform to transform the way organizations secure and protect their IT infrastructures and applications. Our cloud platform offers an integrated suite of solutions that automates the lifecycle of asset discovery and management, security and compliance assessments, and remediation for an organization’s IT infrastructure and assets, whether such infrastructure and assets reside inside the organization, on their network perimeter, on endpoints or in the cloud. Since inception, our solutions have been designed to be delivered through the cloud and to be easily and rapidly deployed on a global scale, enabling faster implementation and lower total cost of ownership than traditional on-premise enterprise software products. Our customers, ranging from some of the largest global organizations to small businesses, are served from our globally-distributed cloud platform, enabling us to rapidly deliver new solutions, enhancements and security updates.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believe that our cloud platform provides our customers with unique advantages, including:</w:t>
      </w:r>
    </w:p>
    <w:p>
      <w:pPr>
        <w:spacing w:after="0" w:line="27" w:lineRule="exact"/>
        <w:rPr>
          <w:sz w:val="20"/>
          <w:szCs w:val="20"/>
          <w:color w:val="auto"/>
        </w:rPr>
      </w:pPr>
    </w:p>
    <w:p>
      <w:pPr>
        <w:ind w:left="980" w:hanging="324"/>
        <w:spacing w:after="0" w:line="250"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hardware to buy or manage. </w:t>
      </w:r>
      <w:r>
        <w:rPr>
          <w:rFonts w:ascii="Times New Roman" w:cs="Times New Roman" w:eastAsia="Times New Roman" w:hAnsi="Times New Roman"/>
          <w:sz w:val="18"/>
          <w:szCs w:val="18"/>
          <w:color w:val="auto"/>
        </w:rPr>
        <w:t>There is no infrastructure or software to buy and maintain thus reducing our customers’ operating costs;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are accessible in the cloud via web interface. Qualys operates and maintains the platform.</w:t>
      </w:r>
    </w:p>
    <w:p>
      <w:pPr>
        <w:jc w:val="both"/>
        <w:ind w:left="980" w:hanging="324"/>
        <w:spacing w:after="0" w:line="250"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Real-time visibility in one place, anytime and anywhere</w:t>
      </w:r>
      <w:r>
        <w:rPr>
          <w:rFonts w:ascii="Times New Roman" w:cs="Times New Roman" w:eastAsia="Times New Roman" w:hAnsi="Times New Roman"/>
          <w:sz w:val="18"/>
          <w:szCs w:val="18"/>
          <w:color w:val="auto"/>
        </w:rPr>
        <w:t>. Our customers can conveniently see their security and compliance posture across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global IT and OT asset inventory in one browser window, without plugins or a virtual private network (VPN), whenever and wherever Internet access is available.</w:t>
      </w:r>
    </w:p>
    <w:p>
      <w:pPr>
        <w:spacing w:after="0" w:line="1"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Easy global scanning. </w:t>
      </w:r>
      <w:r>
        <w:rPr>
          <w:rFonts w:ascii="Times New Roman" w:cs="Times New Roman" w:eastAsia="Times New Roman" w:hAnsi="Times New Roman"/>
          <w:sz w:val="18"/>
          <w:szCs w:val="18"/>
          <w:color w:val="auto"/>
        </w:rPr>
        <w:t>Our customers can easily perform scans on geographically distributed and segmented networks at the perimeter, behind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firewall, on dynamic cloud environments and on endpoints.</w:t>
      </w:r>
    </w:p>
    <w:p>
      <w:pPr>
        <w:ind w:left="980" w:right="20" w:hanging="324"/>
        <w:spacing w:after="0" w:line="250"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Seamless scaling. </w:t>
      </w:r>
      <w:r>
        <w:rPr>
          <w:rFonts w:ascii="Times New Roman" w:cs="Times New Roman" w:eastAsia="Times New Roman" w:hAnsi="Times New Roman"/>
          <w:sz w:val="18"/>
          <w:szCs w:val="18"/>
          <w:color w:val="auto"/>
        </w:rPr>
        <w:t>Our cloud platform is a scalable, comprehensive, and end-to-end solution for the IT, security and compliance needs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Our customers can seamlessly add new coverage, users and services after they have deployed our platform.</w:t>
      </w:r>
    </w:p>
    <w:p>
      <w:pPr>
        <w:ind w:left="980" w:hanging="324"/>
        <w:spacing w:after="0" w:line="250"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Up to date resources</w:t>
      </w:r>
      <w:r>
        <w:rPr>
          <w:rFonts w:ascii="Times New Roman" w:cs="Times New Roman" w:eastAsia="Times New Roman" w:hAnsi="Times New Roman"/>
          <w:sz w:val="18"/>
          <w:szCs w:val="18"/>
          <w:color w:val="auto"/>
        </w:rPr>
        <w:t>. Qualys has one of the largest knowledge bases of vulnerability signatures in the industry. All security updates are made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real-time.</w:t>
      </w:r>
    </w:p>
    <w:p>
      <w:pPr>
        <w:ind w:left="980" w:hanging="324"/>
        <w:spacing w:after="0" w:line="260"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Data stored securely</w:t>
      </w:r>
      <w:r>
        <w:rPr>
          <w:rFonts w:ascii="Times New Roman" w:cs="Times New Roman" w:eastAsia="Times New Roman" w:hAnsi="Times New Roman"/>
          <w:sz w:val="18"/>
          <w:szCs w:val="18"/>
          <w:color w:val="auto"/>
        </w:rPr>
        <w:t>. Data is securely stored and processed in a multi-tiered architecture of load-balanced servers. Our encrypted databases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physically and logically secured.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were founded and incorporated in December 1999 with a vision of transforming the way organizations secure and protect their IT infrastructure and applications and initially launched our first cloud solution, Vulnerability Management (VM), in 2000. As VM gained acceptance, we introduced additional solutions to help customers manage increasing IT, security and compliance requirements. Today, the suite of solutions that we offer on our cloud platform and refer to as the Qualys Cloud Apps help our customers detect, measure, prioritize and remediate cyber risk spanning a range of assets across on-premises, endpoints, cloud, containers, and mobile environments.</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provide our solutions through a software-as-a-service model, primarily with renewable annual subscriptions. These subscriptions require customers to pay a fee in order to access each of our cloud solutions. We generally invoice our customers for the entire subscription amount at the start of the subscription term, and the invoiced amounts are treated as deferred revenues and are recognized ratably over the term of each subscription. We continue to experience revenue growth from our existing customers as they renew and purchase additional subscriptions, as well as from the addition of new customers to our cloud platform.</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cloud platform is currently used by over 10,000 customers worldwide, including a majority of the Forbes Global 100. Our revenues increased to $607.6 million in 2024 from $554.5 million in 2023 and $489.7 million in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cloud platform consists of a suite of IT security, compliance, web application security, asset management and cloud security solutions, which we refer to as the Qualys Cloud Apps, that leverage our shared and extensible core services and our highly scalable multi-tenant cloud infrastructure. We also provide open application program interfaces, or APIs, and other developer tools that allow third parties to embed our technology into their solutions and build applications on our platform.</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cloud platform utilizes physical and virtual sensors, and cloud agents that provide our customers with continuous visibility enabling customers to respond to threats immediately. Customers can extend visibility to all known IT infrastructure using our Out-of-Band Configuration Assessment sensor for systems that are air-gapped or otherwise difficult to assess.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cloud platform automatically gathers and analyzes security and compliance data in a scalable, state-of-the-art backend. The technology underlying our cloud infrastructure enables us to ingest, process, analyze and store a high volume of sensor data coming from our agents, scanners and passive analyzers, and correlate information at very high speeds in a distributed manner for millions of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123190</wp:posOffset>
            </wp:positionV>
            <wp:extent cx="6000750" cy="2828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00750"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cloud platform is delivered to our customers via our 14 global shared cloud platforms, or via our private platform offering, Qualys Private Cloud Platform (PCP), for customers or partners that want the platform to reside within the customer's shared cloud platform. The PCP is a standalone version of our multi-layer, multi-tenant services architecture and is a fully integrated turnkey solution, making it more scalable, cost effective and faster to deploy within a customer's shared cloud platform.</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Solutions delivered through our PCP are typically on the same subscription basis as solutions delivered through our shared platform. Our PCP utilizes hardware and software owned by us and is physically located on the customer's premises. The customer is not permitted to take possession of the software or access the software code. We also offer our PCP as a subscription-based platform services to the customer using a virtual version of our software. This virtualized PCP allows us to extend our security and compliance solutions without the complexity and cost associated with deploying traditional enterprise software.</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Qualys Core Services</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Our core services enable our customers to detect vulnerabilities, measure and remediate cyber risk through integrated workflows, management and real-time analysis and reporting inside their organizations, on the perimeter, on endpoints or in the cloud.</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core services constitute dynamic and customizable dashboards and centrally managed, self-updating integrated Cloud Apps, through a natively integrated unified platform. Our interactive, dynamic dashboards and cloud platform allow our customers to aggregate and correlate all of their IT, security and compliance data in one place, drill down into details, and generate reports customized for different audiences. Our cloud platform’s powerful Elasticsearch clusters enable customers to instantly find detailed data on any asset.</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core services include:</w:t>
      </w:r>
    </w:p>
    <w:p>
      <w:pPr>
        <w:spacing w:after="0" w:line="27" w:lineRule="exact"/>
        <w:rPr>
          <w:sz w:val="20"/>
          <w:szCs w:val="20"/>
          <w:color w:val="auto"/>
        </w:rPr>
      </w:pPr>
    </w:p>
    <w:p>
      <w:pPr>
        <w:jc w:val="both"/>
        <w:ind w:left="980" w:hanging="324"/>
        <w:spacing w:after="0" w:line="250"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Asset Tagging and Management. </w:t>
      </w:r>
      <w:r>
        <w:rPr>
          <w:rFonts w:ascii="Times New Roman" w:cs="Times New Roman" w:eastAsia="Times New Roman" w:hAnsi="Times New Roman"/>
          <w:sz w:val="18"/>
          <w:szCs w:val="18"/>
          <w:color w:val="auto"/>
        </w:rPr>
        <w:t>Enables customers to easily identify, categorize and manage large numbers of assets in highly dynamic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 environments and automates the process of inventory management and hierarchical organization of all internal and external assets. Built on top of this core service is the Qualys GAV framework, which is a global asset inventory service enabling our customers to search for information on any asset, scaling to millions of assets for customers of all sizes, helping IT and security personnel to search assets and maintain an up-to-date inventory on a continuous basis.</w:t>
      </w:r>
    </w:p>
    <w:p>
      <w:pPr>
        <w:spacing w:after="0" w:line="1"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Reporting and Dashboards. </w:t>
      </w:r>
      <w:r>
        <w:rPr>
          <w:rFonts w:ascii="Times New Roman" w:cs="Times New Roman" w:eastAsia="Times New Roman" w:hAnsi="Times New Roman"/>
          <w:sz w:val="18"/>
          <w:szCs w:val="18"/>
          <w:color w:val="auto"/>
        </w:rPr>
        <w:t>A highly configurable reporting engine that provides customers with reports and dashboards based on their roles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access privileges.</w:t>
      </w:r>
    </w:p>
    <w:p>
      <w:pPr>
        <w:ind w:left="980" w:hanging="324"/>
        <w:spacing w:after="0" w:line="250"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Questionnaires and Collaboration. </w:t>
      </w:r>
      <w:r>
        <w:rPr>
          <w:rFonts w:ascii="Times New Roman" w:cs="Times New Roman" w:eastAsia="Times New Roman" w:hAnsi="Times New Roman"/>
          <w:sz w:val="18"/>
          <w:szCs w:val="18"/>
          <w:color w:val="auto"/>
        </w:rPr>
        <w:t>A configurable workflow engine that enables customers to easily build questionnaires and capture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processes and workflows to evaluate controls and gather evidence to validate and document compliance.</w:t>
      </w:r>
    </w:p>
    <w:p>
      <w:pPr>
        <w:jc w:val="both"/>
        <w:ind w:left="980" w:hanging="324"/>
        <w:spacing w:after="0" w:line="250"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Remediation and Workflow. </w:t>
      </w:r>
      <w:r>
        <w:rPr>
          <w:rFonts w:ascii="Times New Roman" w:cs="Times New Roman" w:eastAsia="Times New Roman" w:hAnsi="Times New Roman"/>
          <w:sz w:val="18"/>
          <w:szCs w:val="18"/>
          <w:color w:val="auto"/>
        </w:rPr>
        <w:t>An integrated workflow engine that allows customers to automatically generate helpdesk tickets for remediation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manage compliance exceptions based on customer-defined policies, enabling subsequent review, commentary, tracking and escalation. This engine automatically distributes remediation tasks to IT administrators upon scan completion, tracks remediation progress and closes open tickets once patches or other mitigating actions are applied and remediation is verified in subsequent scans.</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Big Data Correlation and Analytics Engine. </w:t>
      </w:r>
      <w:r>
        <w:rPr>
          <w:rFonts w:ascii="Times New Roman" w:cs="Times New Roman" w:eastAsia="Times New Roman" w:hAnsi="Times New Roman"/>
          <w:sz w:val="18"/>
          <w:szCs w:val="18"/>
          <w:color w:val="auto"/>
        </w:rPr>
        <w:t>Provides Elasticsearch capabilities for indexing, searching and correlating large amounts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and compliance data with other security incidents and third-party security intelligence data. Embedded workflows enable customers to quickly assess risk and access information for remediation, incident analysis and forensic investigations.</w:t>
      </w:r>
    </w:p>
    <w:p>
      <w:pPr>
        <w:spacing w:after="0" w:line="1" w:lineRule="exact"/>
        <w:rPr>
          <w:rFonts w:ascii="Times New Roman" w:cs="Times New Roman" w:eastAsia="Times New Roman" w:hAnsi="Times New Roman"/>
          <w:sz w:val="18"/>
          <w:szCs w:val="18"/>
          <w:color w:val="auto"/>
        </w:rPr>
      </w:pPr>
    </w:p>
    <w:p>
      <w:pPr>
        <w:ind w:left="980" w:hanging="324"/>
        <w:spacing w:after="0" w:line="260"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Alerts and Notifications. </w:t>
      </w:r>
      <w:r>
        <w:rPr>
          <w:rFonts w:ascii="Times New Roman" w:cs="Times New Roman" w:eastAsia="Times New Roman" w:hAnsi="Times New Roman"/>
          <w:sz w:val="18"/>
          <w:szCs w:val="18"/>
          <w:color w:val="auto"/>
        </w:rPr>
        <w:t>Creates email notifications to alert customers of new vulnerabilities, malware infections, scan completion, open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trouble tickets and system updates.</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Qualys Cloud Apps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Many organizations have an array of heterogeneous point tools that do not interoperate well and are difficult and costly to maintain and integrate, making it difficult for Chief Information Officers (CIOs) and Chief Information Security Officers (CISOs) to obtain a single, unified view of their organization’s security and compliance posture. Qualys’ Enterprise TruRisk Platform and its Cloud Apps help organizations escape this tool-fragmentation dilemma by drastically simplifying their security stacks and regaining unimpeded visibility across their on-premises, endpoints, cloud, container, and mobile environments.</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Cloud Apps are self-updating, centrally managed and tightly integrated, and cover a broad range of functionality in areas such as asset management, vulnerability and configuration management, risk remediation, threat detection and response, compliance and cloud security solutions.</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believe that our applications are easy to use and provide our customers with a high level of control because our applications are part of one platform, share a common user interface, utilize the same scanners and agents, access the same collected data, and leverage the same user permissions.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customers can subscribe to one or more of our 20+ Cloud Apps based on their initial needs and expand their subscriptions over time to new areas within their organization or to additional Qualys solutions to develop a more complete understanding of their respective environment's IT, security and compliance posture and remediate cybersecurity risk. Many of our customers use multiple Cloud Apps, some of which are noted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Management</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Cybersecurity Asset Management (CSAM): CSAM is an all-in-one solution that leverages the power of our cloud platform with its multiple native sensors and CMDB synchronization to continuously inventory known and unknown assets, discover installed applications, and overlay business and risk context to establish asset criticality. It identifies unauthorized or end-of-life and end-of-service software and the absence of required security tools, and assesses the health of the attack surface. Further, CSAM enables response options with threat alerts and software removal and delivers regulatory reporting in support of the Federal Risk and Authorization Management Program (FedRAMP), Payment Card Industry Data Security Standard (PCI-DSS) and other mandates. CSAM includes External Attack Surface Management (EASM), which allows discovery of internet facing unknown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Vulnerability and Configuration Management</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Vulnerability Management, Detection and Response (VMDR): VMDR enables organizations to automatically discover every asset in their environment, including unmanaged assets appearing on the network, inventory all hardware and software, and classify and tag critical assets. VMDR continuously assesses these assets for the latest vulnerabilities and applies the latest threat intel analysis to prioritize actively exploitable vulnerabilities. VMDR automatically detects the latest superseding patch for the vulnerable asset and easily deploys it for remediation. Finally, VMDR quantifies risk across vulnerabilities, assets and groups of assets helping organizations proactively reduce cyber risk exposure and track cyber risk reduction over time. By delivering all this in a single app workflow, VMDR automates the entire process and significantly accelerates an organization’s ability to respond to threats, thus preventing possible exploitation across on-premises, endpoints, cloud, containers, and mobile environments.</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Web Application Scanning (WAS): WAS continuously discovers and catalogs web applications – including new and unknown ones – and detects vulnerabilities and misconfigurations in web apps and APIs. Scaling to thousands of scans, it conducts incisive, thorough and precise testing of browser-based web apps, mobile app backends, and Internet of things (IoT) services. WAS' powerful API enables integration with other systems and allows teams to detect issues within DevOps environments early in the application development process. Bundled malware detection capability with WAS uses reputational, behavioral, antivirus, and heuristic analyses to identify and alert on malware infecting a user's websites. By Integrating WAS with manual testing tools and bug bounty solutions, customers can build a comprehensive web application vulnerability testing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Remediation</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Patch Management (PM): PM provides automated patch deployment capabilities for Windows, Linux, Mac and third party software by correlating vulnerabilities and the right set of remediation including patches and configuration fixes. It continuously gathers and uploads telemetry about installed software, open vulnerabilities and missing patches to our cloud platform. The resulting shared visibility of assets and their posture enables IT and security teams to collaborate using common vulnerability-centric terminology and provides a consistent data set to analyze, prioritize, deploy and verify patches more efficiently. Patch Management is a component of Qualys' TruRisk Eliminate suite of remediation solutions. TruRusk Eliminate encompasses a broad range of remediation capabilities for organizations when patches are not yet available or feasible to deploy.</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Custom Assessment and Remediation (CAR): CAR enables security architects to create custom scripts in popular scripting languages, user-defined controls and automation, all seamlessly integrated within existing programs to quickly assess, respond to and remediate threats across global hybrid environments.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Threat Detection and Response</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Multi-Vector Endpoint Detection and Response (EDR): Traditional endpoint detection and response solutions focus only on endpoint activity to detect attacks. As a result, they lack the full context to analyze attacks accurately. This leads to an incomplete picture and a high rate of false positives and negatives, requiring organizations to use multiple point solutions and large incident response teams. Our highly scalable platform fills the gaps by bringing a new multi-vector approach and the unifying power to EDR, providing vital context and comprehensive visibility to the entire attack chain, from prevention to detection to response. EDR unifies different context vectors like asset discovery, rich normalized software inventory, end-of-life visibility, vulnerabilities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exploits, misconfigurations, in-depth endpoint telemetry, and network reachability with a powerful backend to correlate it all for accurate assessment, detection and response.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Compliance</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Policy Compliance (PC): PC performs automated security configuration assessments on IT systems throughout a network, helping to reduce risk and continuously ensure compliance with internal policies and external regulations. PC leverages out-of-the-box library content to fast-track compliance assessments using industry-recommended best practices. PC also provides a centralized, interactive console for specifying baseline standards for different hosts. By automating requirement evaluation against multiple standards for operating systems, network devices, databases and server applications, PC enables the quick identification of security issues and works to prevent configuration drift. PC works to prioritize and track remediation and exceptions, while demonstrating a repeatable auditable process for compliance management</w:t>
      </w:r>
    </w:p>
    <w:p>
      <w:pPr>
        <w:spacing w:after="0" w:line="187"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File Integrity Monitoring (FIM): FIM logs and centrally tracks file change events on common enterprise operating systems in organizations of all sizes. FIM provides customers with a simple way to achieve centralized cloud-based visibility of activity resulting from normal patching and administrative tasks, change control exceptions or violations, or malicious activity - then reports on that system activity as part of compliance mandates. FIM collects the critical details needed to quickly identify changes and root out activity that violates policy or is potentially malicious. FIM helps customers to comply with change control policy enforcement and change monitoring requirements.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Cloud Security</w:t>
      </w:r>
    </w:p>
    <w:p>
      <w:pPr>
        <w:spacing w:after="0" w:line="22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Qualys TotalCloud is a Cloud-Native Application Protection Platform (CNAPP), which provides an integrated suite of security capabilities designed for multi-cloud environments. It provides complete visibility and cyber-risk exposure assessment across cloud assets, enabling continuous discovery and monitoring of the cloud landscape to identify risks and maintain compliance. With its FlexScan technology, TotalCloud offers comprehensive assessment features that include no-touch, agentless, API, and snapshot-based scanning, along with agent and network-based scanning for thorough vulnerability detection. The TruRisk component allows for a unified risk view, correlating vulnerabilities, security controls, and compliance across resources to prioritize and reduce cyber risks effectively. For real-time defense, TotalCloud's InstaProtect continuously monitors all cloud assets to detect and protect against evolving and unknown threats. Remediation is streamlined through our QFlow technology, which provides no-code, drag-and-drop workflows for efficient vulnerability management. TotalCloud provides organizations with an all-encompassing solution, delivering fast, agentless, real-time security and compliance across a variety of use cases, including Cloud Workload Protection (CWP), Cloud Detection and Response (CDR), Cloud Security Posture Management (CSPM), Infrastructure as Code (IaC), SaaS Security Posture Management (SSPM), and Kubernetes and Container Security (KCS) to offer organizations a single unified solution for comprehensively securing their cloud and multi-cloud environments.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Free Services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also offer organizations of all sizes free security and compliance services based on our cloud platform:</w:t>
      </w:r>
    </w:p>
    <w:p>
      <w:pPr>
        <w:spacing w:after="0" w:line="27" w:lineRule="exact"/>
        <w:rPr>
          <w:sz w:val="20"/>
          <w:szCs w:val="20"/>
          <w:color w:val="auto"/>
        </w:rPr>
      </w:pPr>
    </w:p>
    <w:p>
      <w:pPr>
        <w:jc w:val="both"/>
        <w:ind w:left="900" w:hanging="325"/>
        <w:spacing w:after="0" w:line="252" w:lineRule="auto"/>
        <w:tabs>
          <w:tab w:leader="none" w:pos="8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Qualys Global AssetView app automatically creates a continuous, real-time inventory of known and unknown assets throughout a user's global IT footprint across on-premises, endpoints, cloud, containers, and mobile environments. The app also automatically normalizes and categorizes assets to ensure clean, reliable, and consistent data. In-depth asset details provide fine-grained visibility on the system, services, installed software, network, and users. It also detects any device that connects to a user's networks, via passive scanning technology. Upon an unknown device detection, users can install a light-weight Qualys self-updating agent (3MB) to turn the device into a managed device or launch a vulnerability scan.</w:t>
      </w:r>
    </w:p>
    <w:p>
      <w:pPr>
        <w:spacing w:after="0" w:line="27"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8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Qualys Certificate Inventory inventories and assesses all Internet-facing certificates to generate SSL/TLS configuration grades, identifies the certificate issuer and tracks certificate expirations to help stop expired and expiring certificates from interrupting critical business functions.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intend to strengthen our leadership position as a trusted provider of cloud-based IT, security and compliance solutions. The key elements of our growth strategy are:</w:t>
      </w:r>
    </w:p>
    <w:p>
      <w:pPr>
        <w:jc w:val="both"/>
        <w:ind w:left="900" w:hanging="325"/>
        <w:spacing w:after="0" w:line="255"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innovate and enhance our cloud platform and suite of solutions. </w:t>
      </w:r>
      <w:r>
        <w:rPr>
          <w:rFonts w:ascii="Times New Roman" w:cs="Times New Roman" w:eastAsia="Times New Roman" w:hAnsi="Times New Roman"/>
          <w:sz w:val="18"/>
          <w:szCs w:val="18"/>
          <w:color w:val="auto"/>
        </w:rPr>
        <w:t>We intend to continue to make significant investments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research and development to extend our cloud platform’s functionality by developing new security solutions and capabilities and further enhancing our existing suite of solutions.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900" w:hanging="325"/>
        <w:spacing w:after="0" w:line="257" w:lineRule="auto"/>
        <w:tabs>
          <w:tab w:leader="none" w:pos="8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the use of our suite of solutions by our large and diverse customer base. </w:t>
      </w:r>
      <w:r>
        <w:rPr>
          <w:rFonts w:ascii="Times New Roman" w:cs="Times New Roman" w:eastAsia="Times New Roman" w:hAnsi="Times New Roman"/>
          <w:sz w:val="18"/>
          <w:szCs w:val="18"/>
          <w:color w:val="auto"/>
        </w:rPr>
        <w:t>With more than 10,000 customers, across many industries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geographies, we believe we have a significant opportunity to sell additional solutions to our customers and expand their use of our suite of solutions. Because our customers typically initially deploy one or two of our solutions in select parts of their IT infrastructures, our existing customers serve as a strong source of new sales as they expand their scope and increase their subscriptions or choose to adopt additional solutions from our integrated suite of IT, security and compliance offerings. In this regard, we continue to enhance our sales execution and marketing functions to increase adoption of our newly developed solutions among our existing customers.</w:t>
      </w:r>
    </w:p>
    <w:p>
      <w:pPr>
        <w:spacing w:after="0" w:line="20" w:lineRule="exact"/>
        <w:rPr>
          <w:rFonts w:ascii="Times New Roman" w:cs="Times New Roman" w:eastAsia="Times New Roman" w:hAnsi="Times New Roman"/>
          <w:sz w:val="18"/>
          <w:szCs w:val="18"/>
          <w:color w:val="auto"/>
        </w:rPr>
      </w:pPr>
    </w:p>
    <w:p>
      <w:pPr>
        <w:jc w:val="both"/>
        <w:ind w:left="900" w:hanging="325"/>
        <w:spacing w:after="0" w:line="255" w:lineRule="auto"/>
        <w:tabs>
          <w:tab w:leader="none" w:pos="8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Drive new customer growth and broaden our global reach. </w:t>
      </w:r>
      <w:r>
        <w:rPr>
          <w:rFonts w:ascii="Times New Roman" w:cs="Times New Roman" w:eastAsia="Times New Roman" w:hAnsi="Times New Roman"/>
          <w:sz w:val="18"/>
          <w:szCs w:val="18"/>
          <w:color w:val="auto"/>
        </w:rPr>
        <w:t>We are pursuing new customers by targeting key accounts, releasing free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security and compliance services and enhancing both our sales and marketing organization and network of channel partners. We will continue to seek to make significant investments to encourage organizations to replace their existing security products with our cloud solutions. We intend to enhance our relationships with key security consulting organizations, leading cloud service providers, managed security service providers, leading cloud providers and value-added resellers to accelerate the adoption of our cloud platform. We seek to strengthen existing relationships as well as establish new relationships to increase the distribution and market awareness of our cloud platform and target new geographic regions. We also plan to partner with such security providers that can host our private cloud offering within their shared cloud platforms, helping us expand our reach in new markets and new geographies.</w:t>
      </w:r>
    </w:p>
    <w:p>
      <w:pPr>
        <w:spacing w:after="0" w:line="22" w:lineRule="exact"/>
        <w:rPr>
          <w:rFonts w:ascii="Times New Roman" w:cs="Times New Roman" w:eastAsia="Times New Roman" w:hAnsi="Times New Roman"/>
          <w:sz w:val="18"/>
          <w:szCs w:val="18"/>
          <w:color w:val="auto"/>
        </w:rPr>
      </w:pPr>
    </w:p>
    <w:p>
      <w:pPr>
        <w:jc w:val="both"/>
        <w:ind w:left="900" w:hanging="325"/>
        <w:spacing w:after="0" w:line="257" w:lineRule="auto"/>
        <w:tabs>
          <w:tab w:leader="none" w:pos="8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Selectively pursue technology acquisitions to bolster our capabilities and leadership position. </w:t>
      </w:r>
      <w:r>
        <w:rPr>
          <w:rFonts w:ascii="Times New Roman" w:cs="Times New Roman" w:eastAsia="Times New Roman" w:hAnsi="Times New Roman"/>
          <w:sz w:val="18"/>
          <w:szCs w:val="18"/>
          <w:color w:val="auto"/>
        </w:rPr>
        <w:t>We may explore acquisitions that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complementary to and can expand the functionality of our cloud platform. We may also seek to acquire development teams to supplement our own personnel and acquire technology to increase the breadth of our cloud-based IT, security and compliance solutions. In 2022, we acquired certain intangible assets of Blue Hexagon Inc., enabling us to leverage our cloud platform with deep learning AI and machine learning (ML) technologies to uncover behavior patterns including active vulnerability exploitation, identification of advanced network threats, and adaptive risk mitigation across all assets and applications.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market and sell our solutions to enterprises, government entities and small and medium-sized businesses across a broad range of industries, including education, financial services, government, healthcare, insurance, manufacturing, media, retail, technology and utilities. As of December 31, 2024, we had over 10,000 customers worldwide, including a majority of the Forbes Global 100. In each of 2024, 2023 and 2022, no one customer accounted for more than 10% of our revenues. In 2024, 2023 and 2022, 58%, 60% and 60%, respectively, of our revenues were derived from customers in the United States based on our customers' billing addresses. We sell our solutions to enterprises and government entities primarily through our field sales force and to small and medium-sized businesses through our inside sales force. We generate a significant portion of sales through our channel partners, including managed security service providers, value-added resellers and consulting firms in the United States and internationally.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market and sell our IT, security and compliance solutions to customers directly through our sales teams as well as indirectly through our network of channel partners.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global sales force is organized into a field sales team, which focuses on enterprises, generally including organizations with more than 5,000 employees, and an inside sales team, which focuses on small to medium-sized businesses, which generally include organizations with less than 5,000 employees. Both our field and inside sales teams are divided into three geographic regions, the Americas; Europe, Middle East and Africa; and Asia-Pacific. We also further assign each of our sales teams into groups that focus on adding new customers or managing relationships with existing customers.</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channel partners maintain relationships with their customers throughout the territories in which they operate and provide their customers with services and third-party solutions to help meet those customers’ evolving security and compliance requirements. As such, these partners offer our IT, security and compliance solutions in conjunction with one or more of their own products or services and act as a conduit through which we can connect with these prospective customers to offer our solutions. Our channel partners include security consulting organizations, leading cloud providers, managed service providers and resellers.</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For sales involving a channel partner, the channel partner engages with the prospective customer directly and involves our sales team as needed to assist in developing and closing an order. When a channel partner secures a sale, we sell the associated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subscription to the channel partner who in turn resells the subscription to the customer, with the channel partner retaining the margin between the price they purchase from us and the price they sell to the end user. Once the order is completed, we provide these customers with direct access to our solutions and other associated back-office applications, enabling us to establish a direct relationship as part of ensuring customer satisfaction with our solutions. At the end of the subscription term, the channel partner engages with the customer to execute a renewal order, with our sales team providing assistance as required. In 2024, 2023 and 2022, 46%, 43% and 42%, respectively, of our revenues were generated by channel partners.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marketing programs include a variety of online marketing, advertising, conferences, events, public relations activities and web-based seminar campaigns targeted at key decision makers within our prospective customers.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a number of marketing initiatives to build awareness and encourage customer adoption of our solutions. We offer free trials and services to allow prospective customers to experience the quality of our solutions, to learn in detail about the features and functionality of our cloud platform, and to quantify the potential benefits of our solutions.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Support</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Qualys Support delivers 24x7x365 day customer technical support from global centers located in Foster City, California; Raleigh, North Carolina; and Pune, India. We recruit senior level technical personnel and trained subject matter experts who work closely with engineering and operations personnel to resolve issues quickly. Our IT, security and compliance solutions can be deployed easily and are designed to be implemented and operated without the need for significant professional services. We also offer various training programs as part of our subscriptions to all of our customers. In addition, we leverage the insights drawn from our customers to further improve the functionality of our IT, security and compliance solutions. Our mission is to ensure customer satisfaction and play a critical role in retaining and expanding our customer base.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and Operations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devote significant resources to maintain, enhance and add new functionality to our cloud platform and the integrated suite of solutions that we offer. Our development organization consists of agile engineering teams with substantial security expertise in specific areas of our solutions. In addition to our development teams, we also built a sophisticated research team focused on identifying threats and developing signatures for vulnerabilities and compliance checks so that we can provide our customers with daily updates and enable them to scan their assets for the latest threats. We conduct our research and development in the United States, France and India, which gives us access to some of the best research and engineering talent in the world. Our focus remains to attract engineering talent as we continue to add new solutions and improve existing ones.</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development team works closely with our customers and partners to gain valuable insights into their environments and gather feedback for threat research, product development and innovations. We typically release updates to our solutions, including enhancements and new features multiple times a year, and we measure the quality of our scan results on a frequent basis in an effort to maintain the highest level of scan accuracy.</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modular architecture of our cloud platform enables our engineering teams to simultaneously work on different features, accelerating the delivery of new functionalities to customers. Our research and development team also works collaboratively with our technical support team to ensure customer satisfaction and with our sales team to accelerate the adoption of our solutions.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Shared Cloud Platform Agreements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shared cloud platform operations are provided by large third-party vendors and are located in the United States, Canada, Switzerland, the Netherlands, United Arab Emirates, Australia, United Kingdom, Italy, the Kingdom of Saudi Arabia and India. Our shared cloud platform agreements have varying terms through 2030.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expanding capabilities of our IT, security and compliance solutions have enabled us to address a growing array of opportunities in the cloud IT, security and compliance market. We compete with a large and broad array of established and emerging vulnerability management vendors, compliance vendors and data security vendors in a highly fragmented and competitive environment.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compete with large and small public companies, such as CrowdStrike, Palo Alto Networks, Rapid7, and Tenable Holdings, as well as privately held security providers including Invicti, Tanium, and Wiz. We also seek to replace IT, security and compliance solutions that organizations have developed internally. As we continue to extend our cloud platform’s functionality by further developing IT, security and compliance solutions, such as Cybersecurity Asset Management and Patch Management, we expect to face additional competition in these new markets. Our competitors may also attempt to further expand their presence in the IT, security and compliance market and compete more directly against one or more of our solutions.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that the principal competitive factors affecting our markets include product functionality, breadth of offerings, flexibility of delivery models, ease of deployment and use, total cost of ownership, scalability and performance, customer support and the extensibility of our platform. We believe that our suite of solutions generally competes favorably with respect to these factors. However, many of our primary competitors have greater name recognition, longer operating histories, more established customer relationships, larger marketing budgets and significantly greater resources than we do.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rely on a combination of trade secrets, copyrights, patents and trademarks, as well as contractual protections, to establish and protect our intellectual property rights and protect our proprietary technology. As of December 31, 2024, we have 42 issued patents, which expire from 2029 to 2042, several pending U.S. patent applications and an exclusive license to four U.S. patents. The inbound license remains in effect until the licensed patents are no longer enforceable, unless the applicable license agreement is first terminated by us or terminated by the licensor for a breach of the agreement or if we undergo certain bankruptcy events. The licenses are currently exclusive and will remain exclusive so long as we make an appropriately-timed written election and pay an annual fixed royalty for ten years thereafter. These exclusive licenses are subject to the licensor’s reservation of certain rights in the patents and subject to the U.S. government’s reserved rights in the technology. We have a number of registered and unregistered trademarks. We require our employees, consultants and other third parties to enter into confidentiality and proprietary rights agreements and control access to software, documentation and other proprietary information. We view our trade secrets and know-how as a significant component of our intellectual property assets, as we have spent years designing and developing our cloud platform, which we believe differentiates us from our competitors.</w:t>
      </w:r>
    </w:p>
    <w:p>
      <w:pPr>
        <w:spacing w:after="0" w:line="19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expect that software and other solutions in our industry may be subject to third-party infringement claims as the number of competitors grows and the functionality of products in different industry segments overlaps. Any of these third parties might make a claim of infringement against us at any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take a holistic approach to our human capital management strategy, striving to create a culture where talented people want to come to work, develop their careers, become leaders, and make a difference for all our stakeholders and communities. Doing the right thing for our people, our communities and our environment upholds the trust of our customers, partners, employees, and stockholders, enabling us to grow our business profitably and meet the diverse needs of our constituents. As of December 31, 2024, we had 2,400 full-time employees, including 1,144 in research and development, 474 in sales and marketing, 554 in operations and customer support, and 228 in general and administrative. As of December 31, 2024, approximately 77% of our employees were located outside of the United States, with 68% of our employees located in India. None of our U.S. employees are covered by collective bargaining agreements. Employees in certain European countries and Brazil have collective bargaining arrangements at the national level. We believe our employee relations are good, and we have not experienced any work stoppages.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227"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Our Competitive Compensation and Benefits Policy. </w:t>
      </w:r>
      <w:r>
        <w:rPr>
          <w:rFonts w:ascii="Times New Roman" w:cs="Times New Roman" w:eastAsia="Times New Roman" w:hAnsi="Times New Roman"/>
          <w:sz w:val="18"/>
          <w:szCs w:val="18"/>
          <w:color w:val="auto"/>
        </w:rPr>
        <w:t>We understand that providing competitive compensation and benefits plays a critical role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attracting and retaining the best available personnel. That is why we offer robust compensation and benefits to our employees, including competitive base salaries, variable pay and equity awards, and generous benefits packages. To support the health and wellness of our workforce, Qualys offers premium health coverage with minimal out-of-pocket contributions for our employees.</w:t>
      </w:r>
    </w:p>
    <w:p>
      <w:pPr>
        <w:spacing w:after="0" w:line="180" w:lineRule="exact"/>
        <w:rPr>
          <w:sz w:val="20"/>
          <w:szCs w:val="20"/>
          <w:color w:val="auto"/>
        </w:rPr>
      </w:pPr>
    </w:p>
    <w:p>
      <w:pPr>
        <w:jc w:val="both"/>
        <w:ind w:firstLine="38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Corporate Governance. </w:t>
      </w:r>
      <w:r>
        <w:rPr>
          <w:rFonts w:ascii="Times New Roman" w:cs="Times New Roman" w:eastAsia="Times New Roman" w:hAnsi="Times New Roman"/>
          <w:sz w:val="18"/>
          <w:szCs w:val="18"/>
          <w:color w:val="auto"/>
        </w:rPr>
        <w:t>Qualys maintains a Compensation and Talent Committee of the Board of Directors to oversee our compensation policies,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and benefits programs, and overall compensation philosophy. The Committee approves CEO and executive officers’ compensation plans, and reviews, approves, and administers various employee benefit plans, among other duties. As part of its ongoing review of the performance criteria and compensation of designated key executives, the Compensation and Talent Committee also meets annually with the CEO, our principal human resources executive, and any other corporate officers as it deems appropriate.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Supporting our Team and Community</w:t>
      </w:r>
    </w:p>
    <w:p>
      <w:pPr>
        <w:spacing w:after="0" w:line="227"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Talent Development and Safety. </w:t>
      </w:r>
      <w:r>
        <w:rPr>
          <w:rFonts w:ascii="Times New Roman" w:cs="Times New Roman" w:eastAsia="Times New Roman" w:hAnsi="Times New Roman"/>
          <w:sz w:val="18"/>
          <w:szCs w:val="18"/>
          <w:color w:val="auto"/>
        </w:rPr>
        <w:t>We take a holistic approach to our social strategy, striving to create a culture where talented people want to come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 develop their careers, become leaders, and make a difference for all our stakeholders and communities. We believe every employee makes a difference, so we empower them in their roles and support them for professional growth. We assist employees in achieving their career goals by helping them improve their skillsets and transition to increasingly challenging roles.</w:t>
      </w:r>
    </w:p>
    <w:p>
      <w:pPr>
        <w:spacing w:after="0" w:line="180"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Diversity and Inclusion. </w:t>
      </w:r>
      <w:r>
        <w:rPr>
          <w:rFonts w:ascii="Times New Roman" w:cs="Times New Roman" w:eastAsia="Times New Roman" w:hAnsi="Times New Roman"/>
          <w:sz w:val="18"/>
          <w:szCs w:val="18"/>
          <w:color w:val="auto"/>
        </w:rPr>
        <w:t>We are proud to be a leader in the promotion and practice of diversity and inclusion. We take pride in our cultural diversity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offices and employees all over the world. Our objective is to continue to improve our hiring, development, advancement, and retention of diverse talent and to foster an inclusive environment. In addition to having more than 50% of the executive team from underrepresented communities, we are also continuing to improve diversity among our growing workforce, with over half of our US-based employees from underrepresented communities.</w:t>
      </w:r>
    </w:p>
    <w:p>
      <w:pPr>
        <w:spacing w:after="0" w:line="182" w:lineRule="exact"/>
        <w:rPr>
          <w:sz w:val="20"/>
          <w:szCs w:val="20"/>
          <w:color w:val="auto"/>
        </w:rPr>
      </w:pPr>
    </w:p>
    <w:p>
      <w:pPr>
        <w:jc w:val="both"/>
        <w:ind w:firstLine="389"/>
        <w:spacing w:after="0" w:line="282" w:lineRule="auto"/>
        <w:rPr>
          <w:sz w:val="20"/>
          <w:szCs w:val="20"/>
          <w:color w:val="auto"/>
        </w:rPr>
      </w:pPr>
      <w:r>
        <w:rPr>
          <w:rFonts w:ascii="Times New Roman" w:cs="Times New Roman" w:eastAsia="Times New Roman" w:hAnsi="Times New Roman"/>
          <w:sz w:val="18"/>
          <w:szCs w:val="18"/>
          <w:color w:val="auto"/>
        </w:rPr>
        <w:t>Qualys searches the globe for top talent in an effort to recruit and hire diverse individuals with a variety of skills, experiences, and backgrounds. Our company holiday calendar includes events and festivals from many regions and religions, and we include diverse cultural initiatives throughout the year.</w:t>
      </w:r>
    </w:p>
    <w:p>
      <w:pPr>
        <w:spacing w:after="0" w:line="160"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Promoting a Healthy Work-life Balance. </w:t>
      </w:r>
      <w:r>
        <w:rPr>
          <w:rFonts w:ascii="Times New Roman" w:cs="Times New Roman" w:eastAsia="Times New Roman" w:hAnsi="Times New Roman"/>
          <w:sz w:val="18"/>
          <w:szCs w:val="18"/>
          <w:color w:val="auto"/>
        </w:rPr>
        <w:t>Qualys aims to maintain a healthy work-life balance and provide resources to support our employees’ 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physical well-being. During 2022, our workforce gradually transitioned into a hybrid work schedule, which resulted in a significant portion of our workforce working either in-person on a part-time basis, or remotely on a permanent basis. During 2024, we continued to offer this hybrid work schedule to our workforce. Our top priority remains providing support for our employees, partners, and customers.</w:t>
      </w:r>
    </w:p>
    <w:p>
      <w:pPr>
        <w:spacing w:after="0" w:line="180" w:lineRule="exact"/>
        <w:rPr>
          <w:sz w:val="20"/>
          <w:szCs w:val="20"/>
          <w:color w:val="auto"/>
        </w:rPr>
      </w:pPr>
    </w:p>
    <w:p>
      <w:pPr>
        <w:jc w:val="both"/>
        <w:ind w:firstLine="389"/>
        <w:spacing w:after="0" w:line="257" w:lineRule="auto"/>
        <w:rPr>
          <w:sz w:val="20"/>
          <w:szCs w:val="20"/>
          <w:color w:val="auto"/>
        </w:rPr>
      </w:pPr>
      <w:r>
        <w:rPr>
          <w:rFonts w:ascii="Times New Roman" w:cs="Times New Roman" w:eastAsia="Times New Roman" w:hAnsi="Times New Roman"/>
          <w:sz w:val="18"/>
          <w:szCs w:val="18"/>
          <w:i w:val="1"/>
          <w:iCs w:val="1"/>
          <w:color w:val="auto"/>
        </w:rPr>
        <w:t>Community Engagement</w:t>
      </w:r>
      <w:r>
        <w:rPr>
          <w:rFonts w:ascii="Times New Roman" w:cs="Times New Roman" w:eastAsia="Times New Roman" w:hAnsi="Times New Roman"/>
          <w:sz w:val="18"/>
          <w:szCs w:val="18"/>
          <w:color w:val="auto"/>
        </w:rPr>
        <w:t>. We value the communities that support our operations and have several company and employee-led initiatives to support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communities in which we operate. In 2024, our efforts were centered on advancing education, technology, local communities, and environmental initiatives. For example, we provided scholarships for women in Science, Technology, Engineering, and Mathematics (STEM), partnered with nonprofit organizations to provide back-to-school backpacks to underserved youth in our community, and donated to food drives and holiday fundraisers to support local families in need, among other initiatives. Our employees participated in environmental initiatives such as World Environment Day that encourage awareness and action for the protection of the environment, in addition to taking part in local clean-up activities across the world.</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Training and Development</w:t>
      </w:r>
    </w:p>
    <w:p>
      <w:pPr>
        <w:spacing w:after="0" w:line="227" w:lineRule="exact"/>
        <w:rPr>
          <w:sz w:val="20"/>
          <w:szCs w:val="20"/>
          <w:color w:val="auto"/>
        </w:rPr>
      </w:pPr>
    </w:p>
    <w:p>
      <w:pPr>
        <w:jc w:val="both"/>
        <w:ind w:firstLine="38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Employee Training. </w:t>
      </w:r>
      <w:r>
        <w:rPr>
          <w:rFonts w:ascii="Times New Roman" w:cs="Times New Roman" w:eastAsia="Times New Roman" w:hAnsi="Times New Roman"/>
          <w:sz w:val="18"/>
          <w:szCs w:val="18"/>
          <w:color w:val="auto"/>
        </w:rPr>
        <w:t>We require our employees and managers to participate in myriad training programs directed at maintaining a harassment-free,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diverse, and secure workplace. With our diverse employee population, we uphold the rights to work in an environment that promotes equal opportunity and prohibits discriminatory practices against race, color, national origin, ancestry, medical condition, religious creed (including religious dress and grooming practices), marital status, registered domestic partner status, sex, sexual orientation, gender identity and expression, genetic characteristics and information, age, veteran status, or any other protected characteristic. Creating a respectful workplace and preventing harassment to our employees remain our on-going commitment.</w:t>
      </w:r>
    </w:p>
    <w:p>
      <w:pPr>
        <w:spacing w:after="0" w:line="182"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Employee Development. </w:t>
      </w:r>
      <w:r>
        <w:rPr>
          <w:rFonts w:ascii="Times New Roman" w:cs="Times New Roman" w:eastAsia="Times New Roman" w:hAnsi="Times New Roman"/>
          <w:sz w:val="18"/>
          <w:szCs w:val="18"/>
          <w:color w:val="auto"/>
        </w:rPr>
        <w:t>Investing in employees is critical to our success. Qualys employees participate in an onboarding program to integrate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hires into role-specific functions and company culture. Qualys offers managers and employees various training courses as needed. To support career growth inside and outside Qualys, we offer free self-paced and instructor-led certified training on core Qualys topics, giving employees and non-employees an opportunity to achieve certifications and job-related courses free of charge.</w:t>
      </w:r>
    </w:p>
    <w:p>
      <w:pPr>
        <w:spacing w:after="0" w:line="182"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To allow for open dialogue between employees and managers, we conduct formal employee reviews each year. Corrective action plans are developed for employees who may be struggling to meet his or her job responsibilities. Employee performance is considered during compensation reviews. In addition to formal reviews, our Human Resources team regularly meets with managers to check in with teams and conducts exit interviews globally.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Sustainable Business Operations</w:t>
      </w:r>
    </w:p>
    <w:p>
      <w:pPr>
        <w:spacing w:after="0" w:line="227" w:lineRule="exact"/>
        <w:rPr>
          <w:sz w:val="20"/>
          <w:szCs w:val="20"/>
          <w:color w:val="auto"/>
        </w:rPr>
      </w:pPr>
    </w:p>
    <w:p>
      <w:pPr>
        <w:jc w:val="both"/>
        <w:ind w:firstLine="38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Our Sustainable Solutions. </w:t>
      </w:r>
      <w:r>
        <w:rPr>
          <w:rFonts w:ascii="Times New Roman" w:cs="Times New Roman" w:eastAsia="Times New Roman" w:hAnsi="Times New Roman"/>
          <w:sz w:val="18"/>
          <w:szCs w:val="18"/>
          <w:color w:val="auto"/>
        </w:rPr>
        <w:t>Qualys products, delivered via our multi-tenant cloud platform, enable improved environmental sustainability for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In particular, our cloud-based solutions minimize the number of physical servers our customers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have to deploy within their own environments, reducing energy consumption on their end. Qualys Cloud Apps, delivering rich content and dashboards visible on any device, also reduce paper and printing costs for our customers.</w:t>
      </w:r>
    </w:p>
    <w:p>
      <w:pPr>
        <w:spacing w:after="0" w:line="160" w:lineRule="exact"/>
        <w:rPr>
          <w:sz w:val="20"/>
          <w:szCs w:val="20"/>
          <w:color w:val="auto"/>
        </w:rPr>
      </w:pPr>
    </w:p>
    <w:p>
      <w:pPr>
        <w:jc w:val="both"/>
        <w:ind w:firstLine="38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Our Eco-Friendly Operations. </w:t>
      </w:r>
      <w:r>
        <w:rPr>
          <w:rFonts w:ascii="Times New Roman" w:cs="Times New Roman" w:eastAsia="Times New Roman" w:hAnsi="Times New Roman"/>
          <w:sz w:val="18"/>
          <w:szCs w:val="18"/>
          <w:color w:val="auto"/>
        </w:rPr>
        <w:t>Our environmental, health and safety systems, processes and tools in place across our footprint enable Qualys to meet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exceed governmental and industry requirements. We strive to consistently improve how we operate our platforms in energy-efficient networks and data centers as well as pursue sustainability initiatives that reduce energy, waste and materials consumption. We have 14 multi-tenant platforms across the world, six of which are in collocated facilities. The others are hosted in public cloud environments. Though data centers are inherently energy-intensive, utilizing collocated facilities allows us to leverage economies of scale for power and cooling. In addition, most of our third-party providers continue to advance their own sustainability programs to reduce their environmental impact.</w:t>
      </w:r>
    </w:p>
    <w:p>
      <w:pPr>
        <w:spacing w:after="0" w:line="182" w:lineRule="exact"/>
        <w:rPr>
          <w:sz w:val="20"/>
          <w:szCs w:val="20"/>
          <w:color w:val="auto"/>
        </w:rPr>
      </w:pPr>
    </w:p>
    <w:p>
      <w:pPr>
        <w:jc w:val="both"/>
        <w:ind w:firstLine="389"/>
        <w:spacing w:after="0" w:line="258" w:lineRule="auto"/>
        <w:rPr>
          <w:sz w:val="20"/>
          <w:szCs w:val="20"/>
          <w:color w:val="auto"/>
        </w:rPr>
      </w:pPr>
      <w:r>
        <w:rPr>
          <w:rFonts w:ascii="Times New Roman" w:cs="Times New Roman" w:eastAsia="Times New Roman" w:hAnsi="Times New Roman"/>
          <w:sz w:val="18"/>
          <w:szCs w:val="18"/>
          <w:i w:val="1"/>
          <w:iCs w:val="1"/>
          <w:color w:val="auto"/>
        </w:rPr>
        <w:t>Environmental Standards Within Supply Chain</w:t>
      </w:r>
      <w:r>
        <w:rPr>
          <w:rFonts w:ascii="Times New Roman" w:cs="Times New Roman" w:eastAsia="Times New Roman" w:hAnsi="Times New Roman"/>
          <w:sz w:val="18"/>
          <w:szCs w:val="18"/>
          <w:color w:val="auto"/>
        </w:rPr>
        <w:t>. We are committed to advancing supply chain responsibility and strive to enhance transparency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promote greater accountability in our own operations and with our suppliers. Qualys outsources product manufacturing and recycling to suppliers and vendors that follow the highest environmental standards in the industry, such as ISO 14001. We also seek to prohibit our suppliers from profiting from the sale of tantalum, tin, tungsten, and gold (also known as “conflict minerals”) that funds conflict in the Democratic Republic of the Congo (DRC) and adjoining countries, and we seek to require that our suppliers source these minerals from socially responsible suppliers.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919 E. Hillsdale Blvd., 4th Floor, Foster City, California 94404. The telephone number of our principal executive offices is (650) 801-6100, and our main corporate website is </w:t>
      </w:r>
      <w:r>
        <w:rPr>
          <w:rFonts w:ascii="Times New Roman" w:cs="Times New Roman" w:eastAsia="Times New Roman" w:hAnsi="Times New Roman"/>
          <w:sz w:val="18"/>
          <w:szCs w:val="18"/>
          <w:i w:val="1"/>
          <w:iCs w:val="1"/>
          <w:color w:val="auto"/>
        </w:rPr>
        <w:t>www.qualys.com</w:t>
      </w:r>
      <w:r>
        <w:rPr>
          <w:rFonts w:ascii="Times New Roman" w:cs="Times New Roman" w:eastAsia="Times New Roman" w:hAnsi="Times New Roman"/>
          <w:sz w:val="18"/>
          <w:szCs w:val="18"/>
          <w:color w:val="auto"/>
        </w:rPr>
        <w:t>. Information contained on, or that can be accessed through, our website, does not constitute part of this Annual Report on Form 10-K and inclusion of our website address in this Annual Report on Form 10-K is an inactive textual reference only.</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We make available our Annual Reports on Form 10-K, Quarterly Reports on Form 10-Q, Current Reports on Form 8-K and amendments to those reports filed or furnished pursuant to Section 13(a) or Section 15(d) of the Securities Exchange Act of 1934, as amended, free of charge on our website, </w:t>
      </w:r>
      <w:r>
        <w:rPr>
          <w:rFonts w:ascii="Times New Roman" w:cs="Times New Roman" w:eastAsia="Times New Roman" w:hAnsi="Times New Roman"/>
          <w:sz w:val="18"/>
          <w:szCs w:val="18"/>
          <w:i w:val="1"/>
          <w:iCs w:val="1"/>
          <w:color w:val="auto"/>
        </w:rPr>
        <w:t xml:space="preserve">www.qualys.com </w:t>
      </w:r>
      <w:r>
        <w:rPr>
          <w:rFonts w:ascii="Times New Roman" w:cs="Times New Roman" w:eastAsia="Times New Roman" w:hAnsi="Times New Roman"/>
          <w:sz w:val="18"/>
          <w:szCs w:val="18"/>
          <w:color w:val="auto"/>
        </w:rPr>
        <w:t>as soon as reasonably practicable after they are electronically filed with or furnished to the SEC. Additionally, copies of materials filed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us with the SEC may be accessed at the SEC's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a high degree of risk. You should carefully consider the risks and uncertainties described below, and all other information contained in this Annual Report on Form 10-K, including our consolidated financial statements and the related notes, before making a decision to invest in our common stock. Our business, operating results, financial condition, or prospects could be materially and adversely affected by any of these risks and uncertainties. In that case, the trading price of our common stock could decline, and you might lose all or part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and annual operating results may vary from period to period, which could result in our failure to meet expectations with respect to operating results and cause the trading price of our stock to decline.</w:t>
      </w:r>
    </w:p>
    <w:p>
      <w:pPr>
        <w:spacing w:after="0" w:line="15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operating results have historically varied from period to period, and we expect that they will continue to do so as a result of a number of factors, many of which are outside of our control, including:</w:t>
      </w:r>
    </w:p>
    <w:p>
      <w:pPr>
        <w:spacing w:after="0" w:line="54" w:lineRule="exact"/>
        <w:rPr>
          <w:sz w:val="20"/>
          <w:szCs w:val="20"/>
          <w:color w:val="auto"/>
        </w:rPr>
      </w:pPr>
    </w:p>
    <w:p>
      <w:pPr>
        <w:ind w:left="740" w:hanging="327"/>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solutions, from both existing and new customers;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customers subscribe for additional solutions;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renewals of our solutions;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deals signed within the applicable fiscal period;</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buying patterns of our customers;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invoicing or changes in billing terms of customers;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our sales cycle for our products and services;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competition;</w:t>
      </w:r>
    </w:p>
    <w:p>
      <w:pPr>
        <w:spacing w:after="0" w:line="117"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 or service introductions by us or our competitors or any other changes in the competitive landscape of our industry, including consolidation among our competitors;</w:t>
      </w:r>
    </w:p>
    <w:p>
      <w:pPr>
        <w:spacing w:after="0" w:line="53"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or adoption of new technologies that compete with our solutions;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potential customers to purchase IT, security and compliance products or services from other vendors;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domestically and in the foreign markets in which we sell our solutions;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growth rate of the IT, security and compliance market;</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security breaches and incidents, technical difficulties or interruptions with our service;</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products and services to operate as designed;</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regarding security breaches and incidents generally and the level of perceived threats to IT security;</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or adoption of new regulations and policy mandates or changes to existing regulations and policy mandates;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costs and capital expenditures related to the operations and expansion of our business;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pace and cost of hiring employees;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associated with our existing and new products and services;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sales commissions relative to the recognition of revenues;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or credit difficulties confronting our customers, affecting their ability to purchase or pay for our solutions;</w:t>
      </w:r>
    </w:p>
    <w:p>
      <w:pPr>
        <w:spacing w:after="0" w:line="117"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any products or services that we have acquired or may acquire in the future into our product suite or migrate existing customers of any companies that we have acquired or may acquire in the future to our products and services;</w:t>
      </w:r>
    </w:p>
    <w:p>
      <w:pPr>
        <w:spacing w:after="0" w:line="53"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effective tax rate, changes in tax rules, tax effects of infrequent or unusual transactions, and tax audit settlements;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income tax that we recognize resulting from stock-based compensation;</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related to the development or acquisition of technologies, services or businesses; and</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goodwill and intangible asset impairment charges associated with acquired businesses.</w:t>
      </w:r>
    </w:p>
    <w:p>
      <w:pPr>
        <w:spacing w:after="0" w:line="22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Further, the interpretation and application of international laws and regulations in many cases is uncertain, and our legal and regulatory obligations in foreign jurisdictions are subject to frequent and unexpected changes, including the potential for various regulatory or other governmental bodies to enact new or additional laws or regulations or to issue rulings that invalidate prior laws or regulations.</w:t>
      </w:r>
    </w:p>
    <w:p>
      <w:pPr>
        <w:spacing w:after="0" w:line="17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Each factor above or discussed elsewhere in this Annual Report on Form 10-K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IT, security and compliance market is characterized by rapid technological advances, customer price sensitivity, short product and service life cycles, intense competition, changes in customer requirements, frequent new product introductions and enhancements and evolving industry standards and regulatory mandates. Any of these factors could create downward pressure on</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pricing and gross margins, and could adversely affect our renewal rates, as well as our ability to attract new customers. Our future success will depend on our ability to enhance existing solutions, introduce new solutions on a timely and cost-effective basis, meet changing customer needs, extend our core technology into new applications, and anticipate and respond to emerging standards and business models. We must also continually change and improve our solutions in response to changes in operating systems, application software, computer and communications hardware, networking software, shared cloud platform infrastructures, programming tools and computer language technology.</w:t>
      </w:r>
    </w:p>
    <w:p>
      <w:pPr>
        <w:spacing w:after="0" w:line="18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may not be able to anticipate future market needs and opportunities or develop enhancements or new solutions to meet such needs or opportunities in a timely manner or at all. The market for cloud solutions for IT, security and compliance continues to evolve, and it is uncertain whether our new solutions will gain market acceptance.</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solution enhancements or new solutions could fail to attain sufficient market acceptance for many reasons, including:</w:t>
      </w:r>
    </w:p>
    <w:p>
      <w:pPr>
        <w:spacing w:after="0" w:line="117" w:lineRule="exact"/>
        <w:rPr>
          <w:sz w:val="20"/>
          <w:szCs w:val="20"/>
          <w:color w:val="auto"/>
        </w:rPr>
      </w:pPr>
    </w:p>
    <w:p>
      <w:pPr>
        <w:ind w:left="740" w:hanging="327"/>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timely meet market demand for product functionality;</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identify and provide intelligence regarding the attacks or techniques used by cyber-attackers;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inter-operate effectively with the database technologies, file systems or web applications of our prospective customers;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errors or failures;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releasing our enhancements or new solutions;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about their performance or effectiveness;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or anticipated introduction of products by our competitors;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business conditions, causing customers to delay IT, security and compliance purchases;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easing or changing of external regulations related to IT, security and compliance; and</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reluctance of customers to purchase cloud solutions for IT, security and compliance.</w:t>
      </w:r>
    </w:p>
    <w:p>
      <w:pPr>
        <w:spacing w:after="0" w:line="22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IT, security compliance providers that may be better established or have greater resources than we do, require additional investment of time and resources in the development and training of our channel partners and entail significant risk of failure.</w:t>
      </w:r>
    </w:p>
    <w:p>
      <w:pPr>
        <w:spacing w:after="0" w:line="1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continue to effectively scale and adapt our platform to meet the performance and other requirements of our customers, our operating results and our business would be harmed.</w:t>
      </w:r>
    </w:p>
    <w:p>
      <w:pPr>
        <w:spacing w:after="0" w:line="15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future growth depends to a significant extent 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 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renew existing subscriptions for our IT, security and compliance solutions, sell additional subscriptions for our solutions and attract new customers, our operating results would be harmed.</w:t>
      </w:r>
    </w:p>
    <w:p>
      <w:pPr>
        <w:spacing w:after="0" w:line="15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offer our cloud platform and integrated suite of solutions pursuant to a software-as-a-service model, and our customers purchase subscriptions from us that are generally one year in length. Our customers have no obligation to renew their subscriptions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operating results would be harmed.</w:t>
      </w:r>
    </w:p>
    <w:p>
      <w:pPr>
        <w:spacing w:after="0" w:line="18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operating results would be harmed.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research and development efforts may not produce successful products or enhancements to our platform that result in significant revenue, cost savings or other benefits in the near future.</w:t>
      </w:r>
    </w:p>
    <w:p>
      <w:pPr>
        <w:spacing w:after="0" w:line="15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must continue to dedicate significant financial and other resources to our research and development efforts if we are to maintain our competitive position. However, developing products and enhancements to our platform is expensive and time consuming, and there is no assurance that such activities will result in significant new marketable products or enhancements to our platform, design improvements, cost savings, revenue or other expected benefits. If we spend significant resources on research and development and are unable to generate an adequate return on our investment, our business and results of operations may be materially and adversely affected.</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platform, products, website and internal systems may be subject to intentional disruption or other security incidents that could result in liability and adversely impact our reputation and future sales.</w:t>
      </w:r>
    </w:p>
    <w:p>
      <w:pPr>
        <w:spacing w:after="0" w:line="15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and our service providers face threats from a variety of sources, including attacks on our networks and systems from numerous sources, including but not limited to traditional “hackers,” sophisticated nation-state and nation-state supported actors, other sources of malicious code (such as viruses and worms), ransomware, social engineering, denial of service attacks, and phishing attempts. We and our service providers could be a target of cyber-attacks or other malfeasance designed to impede the performance of our solutions, penetrate our network security or the security of our cloud platform, products, or our internal systems, misappropriate proprietary information, gain access to our customers' systems and data, and/or cause interruptions to our services. We and our service providers have experienced and may continue to experience security incidents and attacks of varying degrees from time to time. We have incurred costs to respond to such incidents and may continue to incur costs to support our efforts to enhance our security measures. Additionally, due to political uncertainty and military actions in parts of Eastern Europe and the Middle East, we and our service providers are vulnerable to heightened risks of cybersecurity incidents and security and privacy breaches and incidents caused or initiated by nation-state or affiliated actors, including attacks that could materially disrupt our systems, operations and services, or impact our customers systems, operations, and services.</w:t>
      </w:r>
    </w:p>
    <w:p>
      <w:pPr>
        <w:spacing w:after="0" w:line="194"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solutions, platforms, and system, and those of our service providers, may be, and have in the past been, subject to security incidents as a result of technical and non-technical issues, including as a result of intentional or inadvertent acts or omissions by our employees or service providers. With the increase in personnel working remotely, at least part-time in our case, we and our service providers are at increased risk for security breaches and incidents. We have taken and intend to continue to take steps to monitor and enhance the security of our solutions, cloud platform, and other relevant systems, IT infrastructure, networks, and data; however, the unprecedented scale of remote work may require additional personnel and resources, which nevertheless cannot be guaranteed to fully safeguard our solutions, our cloud platform, or any systems, IT infrastructure networks, or data upon which we rely. Further, because our operations involve providing IT security solutions to our customers, we may be, and have in the past been, targeted for cyber-attacks and other security incidents. We also have incorporated AI/machine learning technologies into our technology, and may continue to incorporate additional AI/machine learning technologies in the future. Our use of such technologies may create additional cybersecurity risks or increase cybersecurity risks, including risks of technical error, security breaches and incidents. Further, AI/machine learning technologies may be used in connection with certain cybersecurity attacks, resulting in heightened risks of security breaches and incidents.</w:t>
      </w:r>
    </w:p>
    <w:p>
      <w:pPr>
        <w:spacing w:after="0" w:line="192"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color w:val="auto"/>
        </w:rPr>
        <w:t>A breach in or incident impacting our data security, an attack against our service availability, or any breach, incident, or attack impacting our third-party service providers, or a technical error or outage, could impact our networks or networks secured by our solutions, creating system disruptions or slowdowns and exploiting security vulnerabilities of our solutions, and the information stored on our networks or those of our third-party service providers could be accessed, used, disclosed publicly or to</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unauthorized persons, altered, lost, destroyed, or stolen, which could subject us to liability and cause us financial harm. If an actual or perceived disruption in the availability of our solutions or the breach or other compromise of our security measures or those of our service providers occurs, it could adversely affect the market perception of our solutions, result in a loss of competitive advantage, have a negative impact on our reputation, or result in the loss of customers, channel partners and sales, and it may expose us to the loss, unavailability or alteration of information, claims, demands and litigation, regulatory investigations, actions and other proceedings and possible liability. Any such actual or perceived security breach or incident or disruption could also divert the efforts of our technical and management personnel. We and our service providers may face difficulties or delays in identifying and responding to any security breach or incident. We also may incur significant costs and operational consequences of investigating, remediating, eliminating and putting in place additional tools and devices designed to prevent actual or perceived security incidents, as well as costs to respond to and otherwise address any breach or incident, including any to comply with any notification obligations resulting from any security incidents. In addition, any such actual or perceived security breach or incident could impair our ability to operate our business and provide solutions to our customers. If this happens, our reputation could be harmed, our revenues could decline and our business could suffer.</w:t>
      </w:r>
    </w:p>
    <w:p>
      <w:pPr>
        <w:spacing w:after="0" w:line="19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Although we maintain insurance coverage that may be applicable to certain liabilities in the event of a security breach or other security incident, we cannot be certain that our insurance coverage will be adequate for liabilities that actually are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15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timing of sales of subscriptions for our solutions can be difficult to forecast because of the length and unpredictability of our sales cycle, particularly with large transactions and in the current macroeconomic environment. We sell subscriptions to our IT,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economic conditions or reduced IT spending may adversely impact our business.</w:t>
      </w:r>
    </w:p>
    <w:p>
      <w:pPr>
        <w:spacing w:after="0" w:line="22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business depends to a significant extent on the overall demand for IT and on the economic health of our current and prospective customers. Economic weakness, customer financial difficulties, change in interest rates, inflationary pressures and potential for a recession, and constrained spending on IT security, as well as longer sales cycles, which factors we have experienced in 2023 and 2024, have resulted and may in the future result in decreased revenue and earnings. In addition, continued governmental budgetary challenges in the United States and Europe, inflationary pressures and potential for a recession, and geopolitical turmoil in many parts of the world, including the ongoing military conflicts in parts of Eastern Europe and the Middle East, and other disruptions to global and regional economies and markets in many parts of the world, as well as uncertainties related to changes in public policies such as domestic and international regulations, taxes or international trade agreements, have and may continue to put pressure on global economic conditions and overall spending on IT security and may further increase inflation, both in the U.S. and globally, which could increase our operating costs in the future and reduce overall spending on IT security. General economic weakness may also lead to longer collection cycles for payments due from our customers, an increase in customer bad debt, restructuring initiatives and associated expenses, and impairment of investments. Furthermore, the continued weakness and uncertainty in worldwide credit markets, including the sovereign debt situation in certain countries in the European Union, may adversely impact our European operations, as well as our current and potential customers' available budgetary spending, which could lead to delays or reductions in planned purchases of our solutions.</w:t>
      </w:r>
    </w:p>
    <w:p>
      <w:pPr>
        <w:spacing w:after="0" w:line="18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Uncertainty about future economic conditions also makes it difficult to forecast operating results and to make decisions about future investments. Future or continued economic weakness for us or our customers, failure of our customers and markets to recover from such weakness, customer financial difficulties, and reductions in spending on IT security could have a material adverse effect on demand for our platform and consequently on our business, financial condition and results of operations.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IT, security and compliance solutions are delivered from 14 shared cloud platforms, and any disruption of service at these facilities would interrupt or delay our ability to deliver our solutions to our customers which could reduce our revenues and harm our operating results.</w:t>
      </w:r>
    </w:p>
    <w:p>
      <w:pPr>
        <w:spacing w:after="0" w:line="15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currently host substantially all of our solutions from third-party shared cloud platforms located in the United States, Canada, Switzerland, the Netherlands, United Arab Emirates, Australia, United Kingdom, Italy, the Kingdom of Saudi Arabia and India. These facilities are vulnerable to damage or interruption from earthquakes, hurricanes, floods, fires, cybersecurity attacks, terrorist attacks, employee negligence, power losses, technical errors, telecommunications failures and similar events. The facilities also could be subject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spacing w:after="0" w:line="18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Some of our shared cloud platforms are not currently redundant and we may not be able to rapidly move our customers from one shared cloud platform to another, which may increase delays in the restoration of our service for our customers if an adverse event occurs. We have added shared cloud platforms to provide additional capacity and to enable disaster recovery. We continue to build out these facilities; however, these additional facilities may not be operational in the anticipated time-frame and we may incur unplanned expenses.</w:t>
      </w:r>
    </w:p>
    <w:p>
      <w:pPr>
        <w:spacing w:after="0" w:line="1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Additionally, our existing shared cloud platform providers have no obligations to renew their agreements with us on commercially reasonable terms, or at all. If we are unable to renew our agreements with the facilities providers on commercially reasonable terms or if in the future we add additional shared cloud platform providers, we may experience costs or downtime in connection with the loss of an existing facility or the transfer to, or addition of, new facilities.</w:t>
      </w:r>
    </w:p>
    <w:p>
      <w:pPr>
        <w:spacing w:after="0" w:line="1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in our markets, and we may lack sufficient financial or other resources to maintain or improve our competitive position.</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compete with large and small public companies, such as CrowdStrike, Palo Alto Networks, Rapid7, and Tenable Holdings, as well as privately held security providers including Invicti, Tanium, and Wiz. We also seek to replace IT, security and compliance solutions that organizations have developed internally. As we continue to extend our cloud platform’s functionality by further developing IT, security and compliance solutions, such as Cybersecurity Asset Management and Patch Management, we expect to face additional competition in these new markets. Our competitors may also attempt to further expand their presence in the IT, security and compliance market and compete more directly against one or more of our solutions.</w:t>
      </w:r>
    </w:p>
    <w:p>
      <w:pPr>
        <w:spacing w:after="0" w:line="18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believe that the principal competitive factors affecting our markets include product functionality, breadth of offerings, flexibility of delivery models, ease of deployment and use, total cost of ownership, scalability and performance, customer support and the extensibility of our platform. Many of our existing and potential competitors have competitive advantages, including:</w:t>
      </w:r>
    </w:p>
    <w:p>
      <w:pPr>
        <w:spacing w:after="0" w:line="176" w:lineRule="exact"/>
        <w:rPr>
          <w:sz w:val="20"/>
          <w:szCs w:val="20"/>
          <w:color w:val="auto"/>
        </w:rPr>
      </w:pPr>
    </w:p>
    <w:p>
      <w:pPr>
        <w:ind w:left="740" w:hanging="327"/>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brand name recognition;</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and marketing budgets and resources;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distribution networks and more established relationships with distributors and customers;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larger customer bases;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customer support resources;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resources to make acquisitions;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resources to develop and introduce products that compete with our solutions;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resources to meet relevant regulatory requirements;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40" w:hanging="327"/>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financial, technical and other resources.</w:t>
      </w:r>
    </w:p>
    <w:p>
      <w:pPr>
        <w:spacing w:after="0" w:line="22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17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spacing w:after="0" w:line="18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sales prices of our solutions are subject to competitive pressures and may decrease, which may reduce our gross profits and adversely impact our financial results.</w:t>
      </w:r>
    </w:p>
    <w:p>
      <w:pPr>
        <w:spacing w:after="0" w:line="15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sales prices for our solutions may decline for a variety of reasons, including competitive pricing pressures, discounts, a change in our mix of solutions and subscriptions, anticipation of the introduction of new solutions or subscriptions, or promotional programs. Competition continues to increase in the market segments in which we participate, and we expect competition to further increase in the future, thereby leading to increased pricing pressures. Larger competitors with more diverse product and service offerings may reduce the price of products or subscriptions that compete with ours or may bundle them with other products and subscriptions. Additionally, although we price our products and subscriptions worldwide in U.S. Dollars, Euros, British Pounds, Canadian Dollars, Japanese Yen, Indian Rupees, Australian Dollars and Singapore Dollar, currency fluctuations in certain countries and regions may negatively impact actual prices that partners and customers are willing to pay in those countries and regions, or the effective prices we realize in our reporting currency. We cannot assure you that we will be successful in developing and introducing new offerings with enhanced functionality on a timely basis, or that our new product and subscription offerings, if introduced, will enable us to maintain our prices and gross profits at levels that will allow us to maintain positive gross margins and profitability.</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solutions fail to detect vulnerabilities or incorrectly detect vulnerabilities, our brand and reputation could be harmed, which could have an adverse effect on our business and results of operations.</w:t>
      </w:r>
    </w:p>
    <w:p>
      <w:pPr>
        <w:spacing w:after="0" w:line="15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IT,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or usability of our solutions and may therefore adversely impact market acceptance of our solutions and could result in negative publicity, loss of customers and sales, increased costs to remedy any incorrect information or problem, or claims by aggrieved parties. Similar issues may be generated by the misuse of our tools to identify and exploit vulnerabilities.</w:t>
      </w:r>
    </w:p>
    <w:p>
      <w:pPr>
        <w:spacing w:after="0" w:line="18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Further, our solutions sometimes are tested against other security products, and may fail to perform as effectively, or to be perceived as performing as effectively, as competitive products for any number of reasons, including misconfiguration. To the extent current or potential customers, channel partners, or others believe there has been an occurrence of an actual or perceived failure of our solutions to detect a vulnerability or otherwise to function as effectively as competitive products in any particular test, or indicates our solutions do not provide significant value, our business, competitive position, and reputation could be harmed.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our solutions do not currently extend to cover all mobile and personal devices that employees may bring into an organization. As such, our solutions would not identify or address vulnerabilities in all mobile and personal devices, and our customers’ IT infrastructures may be compromised by attacks that infiltrate their networks through such devices.</w:t>
      </w:r>
    </w:p>
    <w:p>
      <w:pPr>
        <w:spacing w:after="0" w:line="17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An actual or perceived security breach or incident or loss, theft, unavailability or other compromise of the sensitive data of one of our customers, regardless of whether the breach is attributable to the failure of our solutions, could adversely affect the market’s perception of our security solutions.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recruit and retain qualified sales personnel, sales of our solutions and the growth of our business would be harmed.</w:t>
      </w:r>
    </w:p>
    <w:p>
      <w:pPr>
        <w:spacing w:after="0" w:line="2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believe that our growth will depend, to a significant extent, on our success in recruiting and retaining a sufficient number of qualified sales personnel and their ability to, whether directly or indirectly in collaboration with channel partners, obtain new customers, manage our existing customer base and expand the sales of our newer solutions. We plan to continue to recruit and retain a team of qualified sales personnel and invest in our sales and marketing activities. Our recent hires and planned hires may not become as productive as quickly as we would like, and we may be unable to hire or retain sufficient numbers of qualified individuals in the future in the competitive markets where we do business. Competition for highly skilled personnel is frequently intense and we may not be able to compete for these employees.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channel partners to generate a substantial amount of our revenues, and if we fail to effectively manage our distribution channels, our revenues could decline and our growth prospects could suffer.</w:t>
      </w:r>
    </w:p>
    <w:p>
      <w:pPr>
        <w:spacing w:after="0" w:line="15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success significantly depends to a significant extent on establishing and maintaining relationships with a variety of channel partners and we anticipate that we will continue to depend on these partners in order to grow our business. For the years ended December 31, 2024, 2023 and 2022, we derived approximately 46%, 43% and 42% of our revenues from sales of subscriptions for our solutions through channel partners, and the percentage of revenues derived from channel partners may increase in future periods.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effectively manage our relationship with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19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addition, the financial health of our channel partners and our continuing relationships with them are important to our success. Some of these channel partners may be unable to withstand adverse changes in economic conditions, which could result in insolvency and/or the inability of such distributors to obtain credit to finance purchases of our products and services. In addition, weakness in the end-user market could negatively affect the cash flows of our channel partners who could, in turn, delay paying their obligations to us, which would increase our credit risk exposure. Our business could be harmed if the financial condition of some of these channel partners substantially weakened and we were unable to timely secure replacement channel partners.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spacing w:after="0" w:line="72" w:lineRule="exact"/>
        <w:rPr>
          <w:sz w:val="20"/>
          <w:szCs w:val="20"/>
          <w:color w:val="auto"/>
        </w:rPr>
      </w:pPr>
    </w:p>
    <w:p>
      <w:pPr>
        <w:ind w:left="740" w:hanging="327"/>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fluctuations;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40" w:hanging="327"/>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foreign exchange restrictions;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or political instability in foreign markets;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enforcing contracts, accounts receivable collection and longer collection periods;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laws (including U.S. taxes on foreign subsidiaries);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and limitation of protection for intellectual property rights in some countries;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compliance with foreign laws and regulations and the risks and costs of non-compliance with such laws and regulations;</w:t>
      </w:r>
    </w:p>
    <w:p>
      <w:pPr>
        <w:spacing w:after="0" w:line="117"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spacing w:after="0" w:line="67"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53"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political unrest, acts of terrorism, hostilities or war;</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communication and integration problems resulting from cultural differences and geographic dispersion; and</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and possibly overlapping tax structures.</w:t>
      </w:r>
    </w:p>
    <w:p>
      <w:pPr>
        <w:spacing w:after="0" w:line="22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Some of our business partners also have international operations and are subject to the risks described above. Even if we are able to successfully manage the risks of international operations, our business may be adversely affected if our business partners are not able to successfully manage these risks.</w:t>
      </w:r>
    </w:p>
    <w:p>
      <w:pPr>
        <w:spacing w:after="0" w:line="16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18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addition, as of December 31, 2024, approximately 77% of our employees were located outside of the United States, with 68% of our employees located in India. Accordingly, we are exposed to changes in laws governing our employee relationships in various U.S. and foreign jurisdictions, including laws and regulations regarding wage and hour requirements, fair labor standards, employee data privacy, unemployment tax rates, workers’ compensation rates, citizenship requirements and payroll and other taxes which may have a direct impact on our operating costs. We may continue to expand our international operations and international sales and marketing activities. Expansion in international markets has required, and will continue to require, significant management attention and resources. We may be unable to scale our infrastructure effectively or as quickly as our competitors in these markets and our revenues may not increase to offset any increased costs and operating expenses, which would cause our results to suffer.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financial condition and results of operations.</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reporting currency is the U.S. dollar and we generate a majority of our revenues in U.S. dollars. However, for the year ended December 31, 2024, we incurred approximately 29% of our expenses in foreign currencies, primarily the Euro, British Pound, and Indian Rupee, principally with respect to salaries and related personnel expenses associated with our European and Indian operations. Additionally, for the year ended December 31, 2024, approximately 25% of our revenues were generated in foreign currencies. Accordingly, changes in exchange rates may have a material adverse effect on our business, operating results and financial condition. The exchange rate between the U.S. dollar and foreign currencies has fluctuated substantially in recent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the Euro, British Pound and Indian Rupee. The result of our operations may be adversely affected by foreign exchange fluctuations.</w:t>
      </w:r>
    </w:p>
    <w:p>
      <w:pPr>
        <w:spacing w:after="0" w:line="17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use derivative financial instruments to reduce our foreign currency exchange risks. We use foreign currency forward contracts to mitigate the impact of foreign currency fluctuations of certain non-U.S. dollar denominated net asset positions, to date primarily cash, accounts receivable and operating lease liabilities (non-designated), as well as to manage foreign currency fluctuation risk related to forecasted transactions (designated).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have continued to grow since inception, and if we do not appropriately manage any future growth, or are unable to improve our systems and processes, our operating results may be negatively affected.</w:t>
      </w:r>
    </w:p>
    <w:p>
      <w:pPr>
        <w:spacing w:after="0" w:line="15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have continued to grow over the last several years, with revenues increasing from $489.7 million in 2022 to $607.6 million in 2024, and headcount increasing from 1,823 employees at the beginning of 2022 to 2,400 employees as of December 31, 2024. We rely on information technology systems to help manage critical functions such as order 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spacing w:after="0" w:line="187" w:lineRule="exact"/>
        <w:rPr>
          <w:sz w:val="20"/>
          <w:szCs w:val="20"/>
          <w:color w:val="auto"/>
        </w:rPr>
      </w:pPr>
    </w:p>
    <w:p>
      <w:pPr>
        <w:jc w:val="both"/>
        <w:ind w:firstLine="405"/>
        <w:spacing w:after="0" w:line="277" w:lineRule="auto"/>
        <w:rPr>
          <w:sz w:val="20"/>
          <w:szCs w:val="20"/>
          <w:color w:val="auto"/>
        </w:rPr>
      </w:pPr>
      <w:r>
        <w:rPr>
          <w:rFonts w:ascii="Times New Roman" w:cs="Times New Roman" w:eastAsia="Times New Roman" w:hAnsi="Times New Roman"/>
          <w:sz w:val="17"/>
          <w:szCs w:val="17"/>
          <w:color w:val="auto"/>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spacing w:after="0" w:line="1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the continued services and performance of our senior management and other key employees, the loss of any of whom could adversely affect our business, operating results and financial condition.</w:t>
      </w:r>
    </w:p>
    <w:p>
      <w:pPr>
        <w:spacing w:after="0" w:line="15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future performance depends to a significant extent on the continued services and continuing contributions of our senior management and other key employees, to execute on our business plan and to identify and pursue new opportunities and product innovations. We do not maintain key-man insurance for any member of our senior management team. Our senior management and key employees are generally employed on an at-will basis, which means that they could terminate their employment with us at any time. From time to time, there may be changes in our senior management team resulting from the termination or departure of executives. The loss of the services of our senior management or other key employees for any reason could significantly delay or prevent the achievement of our development and strategic objectives and harm our business, financial condition and results of operations.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hire, retain and motivate qualified personnel, our business may suffer.</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within our industry, and we may not be able to compete for such personnel.</w:t>
      </w:r>
    </w:p>
    <w:p>
      <w:pPr>
        <w:spacing w:after="0" w:line="18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are required under accounting principles generally accepted in the United States (U.S. GAAP)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thereby potentially harming our ability to attract or retain highly skilled personnel. In addition, to the extent we hire personnel from competitors, we may be subject to allegations that they have been improperly solicited or divulged proprietary or other confidential information, which could result in a diversion of management's time and our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portion of our revenues are generated by sales to government entities, which are subject to a number of challenges and risks.</w:t>
      </w:r>
    </w:p>
    <w:p>
      <w:pPr>
        <w:spacing w:after="0" w:line="22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time-consuming, often requiring significant upfront time and expense without any assurance that we will win a sale. We have invested in the creation of a cloud offering certified under the Federal Information Security Management Act for government usage but we cannot be sure that we will continue to sustain or renew this certification, that the government will continue to mandate such certification or that other government agencies or entities will use this cloud offering. 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in acquiring and integrating other businesses, products or technologies could impact our financial position.</w:t>
      </w:r>
    </w:p>
    <w:p>
      <w:pPr>
        <w:spacing w:after="0" w:line="22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In order to remain competitive, we have in the past and may in the future seek to acquire additional businesses, products, services or technologies. For example, we acquired certain assets of Blue Hexagon on October 4, 2022. The environment for acquisitions in our industry is very competitive and acquisition candidate purchase prices may exceed what we would prefer to pay. Moreover, achieving the anticipated benefits of past and future acquisitions will depend in part upon whether we can integrate acquired operations, products and technology in a timely and cost-effective manner, and even if we achieve benefits from acquisitions, such acquisitions may still be viewed negatively by customers, financial markets or investors. The acquisition and integration process is complex, expensive and time-consuming, and may cause an interruption of, or loss of momentum in, product development and sales activities and operations of both companies, as well as divert the attention of management, and we may incur substantial cost and expense. We may issue equity securities which could dilute current stockholders’ ownership, incur debt, assume contingent or other liabilities and expend cash in acquisitions, which could negatively impact our financial position, stockholder equity and stock price. We may not find suitable acquisition candidates, and acquisitions we complete may be unsuccessful. If we consummate a transaction, we may be unable to integrate and manage acquired products and businesses effectively or retain key personnel. If we are unable to effectively execute acquisitions, our business, financial condition and operating results could be adversely affected.</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solutions fail to help our customers achieve and maintain compliance with regulations and industry standards, our revenues and operating results could be harmed.</w:t>
      </w:r>
    </w:p>
    <w:p>
      <w:pPr>
        <w:spacing w:after="0" w:line="15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generate a portion of our revenues from solutions that help organizations achieve and maintain compliance with regulations and industry standards. For example, many of our customers subscribe to our IT,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onerous for businesses. Governments may also adopt new laws or regulations, or make changes to existing laws or regulations, which could impact the demand for or value of our solutions.</w:t>
      </w:r>
    </w:p>
    <w:p>
      <w:pPr>
        <w:spacing w:after="0" w:line="16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software-as-a-service vendors to operate certain functions of our business and any failure of such vendors to provide services to us could adversely impact our business and operations.</w:t>
      </w:r>
    </w:p>
    <w:p>
      <w:pPr>
        <w:spacing w:after="0" w:line="15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rely on third-party software-as-a-service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Incorrect or improper implementation or use of our solutions could result in customer dissatisfaction and harm our business and reputation.</w:t>
      </w:r>
    </w:p>
    <w:p>
      <w:pPr>
        <w:spacing w:after="0" w:line="2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If our customers are unable to implement our solutions successfully, customer perceptions of our platform and solutions may be impaired or our reputation and brand may suffer. Our customers have in the past inadvertently misused our solutions, which triggered downtime in their internal infrastructure until the problem was resolved. Additionally, any failure to implement and configure our solutions correctly may result in our solutions failing to detect vulnerabilities or compliance issues, or otherwise to perform effectively, and may result in disruptions to our customers’ IT environments and businesses. Any misuse of our solutions, including any failure to implement and configure them appropriately, could result in disruption to our customers’ businesses, customer dissatisfaction, negative impacts on the perceived reliability or effectiveness of our solutions, and claims and litigation, and may result in negative press coverage, negative effects on our reputation and competitive position, a loss of sales, customers, and channel partners, and harm our financial results.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recognize revenues from subscriptions over the term of the relevant service period, and therefore any decreases or increases in bookings are not immediately reflected in our operating results.</w:t>
      </w:r>
    </w:p>
    <w:p>
      <w:pPr>
        <w:spacing w:after="0" w:line="15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 our results of operations until future 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for cloud solutions for IT, security and compliance does not evolve as we anticipate, our revenues may not grow and our operating results would be harmed.</w:t>
      </w:r>
    </w:p>
    <w:p>
      <w:pPr>
        <w:spacing w:after="0" w:line="15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success depends to a significant extent on the willingness of organizations to increase their use of cloud solutions for their IT, security and compliance. Some organizations may be reluctant to use cloud solutions because they have concerns regarding the risks associated with the reliability or security of the technology delivery model associated with these solutions. If other cloud service providers experience security incidents, loss, unavailability, or unauthorized processing of customer data, disruptions in service delivery or other problems, the market for cloud solutions as a whole, including our solutions, may be negatively impacted. Moreover, organizations that have invested substantial personnel and financial resources to integrate on-premise software into their businesses may be reluctant or unwilling to migrate to a cloud solution. Organizations that use on-premise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 budgets on these products and may not adopt our IT, security and compliance solutions in addition to or as a replacement for such products.</w:t>
      </w:r>
    </w:p>
    <w:p>
      <w:pPr>
        <w:spacing w:after="0" w:line="18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fire, power outages, floods and other catastrophic events, and to interruption by man-made problems such as terrorism.</w:t>
      </w:r>
    </w:p>
    <w:p>
      <w:pPr>
        <w:spacing w:after="0" w:line="15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 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war, acts of terrorism, pandemics or other health emergencies, or responses to these events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Legal, Tax and Regulatory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Undetected software errors or flaws in our solutions could harm our reputation, decrease market acceptance of our solutions or result in liability.</w:t>
      </w:r>
    </w:p>
    <w:p>
      <w:pPr>
        <w:spacing w:after="0" w:line="22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IT, security and compliance reasons, any errors, defects, disruptions in service or other performance problems with our solutions, or any other failure of our solutions to detect vulnerabilities or compliance problems or otherwise to perform effectively, may result in disruptions or damage to the business of our customers, including security breaches or compliance failures. Additionally, any such issues, or the perception that they have occurred, whether or not relating to any actual or perceived error or defect in our solutions, could hurt our reputation and competitive position and we may incur significant costs, the attention of key personnel could be diverted, our customers may delay or withhold payment to us or elect not to renew, we could face a loss of sales, customers, and channel partners, and other significant problems with our relationships with customers and channel partners may arise. We may also be subject to liability claims for damages related to actual or perceived errors or defects in our solutions. A material liability claim or other occurrence that harms our reputation or decreases market acceptance of our solutions may harm our business, competitive and financial position, and operating results.</w:t>
      </w:r>
    </w:p>
    <w:p>
      <w:pPr>
        <w:spacing w:after="0" w:line="19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Although we maintain insurance coverage that may be applicable to certain liabilities in connection with these matters, we cannot be certain that our insurance coverage will be adequate for liabilities that actually are incurred, that insurance will continue to be available to us on economically reasonable terms, or at all, or that any insurer will not deny coverage as to any future claim.</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solutions could be used to collect and store personal information of our 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employees or customers, and therefore privacy and other data handling concerns could result in additional cost and liability to us or inhibit sales of our solutions.</w:t>
      </w:r>
    </w:p>
    <w:p>
      <w:pPr>
        <w:spacing w:after="0" w:line="15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collect certain personal and confidential information of our customers in connection with subscriptions to our solutions. Additionally, the data that our solutions collect to help secure and protect the IT infrastructure of our customers may include additional personal or confidential information of our customers’ employees and their customers, and we may collect, store and otherwise process personal or confidential information more generally in connection with our business and operations. Privacy, data protection, and cybersecurity have become significant issues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retention, transfer, and other processing of personal information. In the United States, these include, for example, rules and regulations promulgated under the authority of the Federal Trade Commission, the Health Insurance Portability and Accountability Act of 1996, the Gramm-Leach-Bliley Act, state privacy laws, and state breach notification laws. Internationally, virtually every jurisdiction in which we operate has established its own data security and privacy legal framework with which we or our customers must comply.</w:t>
      </w:r>
    </w:p>
    <w:p>
      <w:pPr>
        <w:spacing w:after="0" w:line="194"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These privacy, data protection and information security laws and regulations may result in ever-increasing regulatory and public scrutiny and escalating levels of enforcement and sanctions. Additionally, new laws and regulations relating to privacy and data protection continue to be proposed and enacted. For example, the European Union's General Data Protection Regulation (“GDPR”), which took effect in May of 2018, provides for substantial obligations relating to the handling, storage and other processing of data relating to individuals and administrative fines for violations, which can be up to the greater of four percent of the previous year’s annual revenue or €20 million. Similarly, the California Consumer Privacy Act (“CCPA”) requires covered companies to, among other things, provide certain disclosures to California consumers and affords such consumers rights to opt-out of certain sales of personal information. The CCPA also creates a private right of action for statutory damages for certain breaches of information. Additionally, the California Privacy Rights Act (“CPRA”), was approved by voters in the November 3, 2020 election. The CPRA modified the CCPA significantly, creating obligations relating to consumer data beginning on January 1, 2022, with enforcement authorized as of July 1, 2023. In addition, other states have enacted or proposed legislation that regulates the collection, use, and sale of personal information, including, for example, Washington's My Health, My Data Act and legislation similar to the CCPA adopted in Virginia, Colorado, Utah, Connecticut, Iowa, Indiana, Montana, Tennessee, Oregon, Florida, Delaware, Texas, Kentucky, New Jersey, New Hampshire, Maryland, Minnesota, Nebraska, and Rhode Island. Aspects of the CCPA, CPRA, and these other new and evolving state laws, as well their interpretation and enforcement, remain uncertain. The GDPR, CCPA, and other laws and regulations relating to privacy, data protection, and cybersecurity may be subject to new or changing interpretations by courts, and our interpretation of the law and efforts to comply with the rules and regulations of the law may be ruled invalid. We cannot predict the impact of the CCPA, CPRA, or other evolving privacy, data protection and cybersecurity obligations on our business or operations, but they may require us to modify our data processing practices and policies and incur substantial costs and expenses in an effort to comply.</w:t>
      </w:r>
    </w:p>
    <w:p>
      <w:pPr>
        <w:spacing w:after="0" w:line="193"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The privacy, data protection, and cybersecurity laws and regulations we must comply with also are subject to change. For example, the United Kingdom has enacted a Data Protection Act, and has implemented legislation referred to as the “UK GDPR,” which substantially implement the GDPR in the United Kingdom following the United Kingdom’s exit from the European Union. This legislation provides for substantial penalties for noncompliance of up to the greater of £17.5 million or four percent of the previous year’s annual revenues. While the European Union has deemed the United Kingdom an “adequate country” to which personal data could be exported from the European Economic Area (“EEA”), this decision is required to be renewed after four years of being in effect and may be modified, revoked, or challenged in the interim, creating uncertainty regarding transfers of personal data to the United Kingdom from the EEA. It remains unclear how United Kingdom data protection laws or regulations will develop in the medium to longer term and how data transfers to and from the United Kingdom will be regulated. Additionally, we have self-certified under the EU-U.S. Data Privacy Framework, the Swiss-U.S. Data Privacy Framework, and the United Kingdom extension to the EU-U.S. Data Privacy Framework, and have adopted certain standard contractual clauses approved by the European Commission (“SCCs”) as part of our data processing agreements with regard to certain transfers of personal data from the EEA to the U.S. Both the EU-U.S. Data Privacy Framework and SCCs have, however, been subject to legal challenge. In its July 16, 2020 opinion, the CJEU imposed additional obligations on companies when relying on SCCs to transfer personal data. The European Commission has published revised SCCs addressing the CJEU concerns on June 4, 2021, that are required to be implemented. The United Kingdom has adopted new standard contractual clauses (“UK SCCs”), that became effective as of March 21, 2022, and which also are required to be implemented. The EU-U.S. Data Privacy Framework, Swiss-U.S. Data Privacy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Framework, United Kingdom extension to the EU-U.S. Data Privacy Framework, revised SCCs and UK SCCs, guidance and opinions of regulators, and other developments relating to cross-border data transfer may require us to implement additional contractual and technical safeguards for any personal data transferred out of Europe, which may increase compliance costs, lead to increased regulatory scrutiny or liability, and which may adversely impact our business, financial condition and operating results. We may be unsuccessful in maintaining legitimate means for our transfer and receipt of personal data from the EEA, United Kingdom, Switzerland, or other jurisdictions. We may experience reluctance or refusal by current or prospective customers in these or other jurisdictions to use our products, and we and our customers may face a risk of regulatory enforcement actions or other proceedings relating to personal data transfers to us and by us from the EEA, United Kingdom, and Switzerland. Any such proceedings could result in substantial costs and diversion of resources, distract management and technical personnel and negatively affect our business, operating results and financial condition. Some countries also are considering or have passed legislation requiring local storage and processing of data, or similar requirements, which could increase the cost and complexity of delivering our services.</w:t>
      </w:r>
    </w:p>
    <w:p>
      <w:pPr>
        <w:spacing w:after="0" w:line="194"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In addition to laws and regulations, privacy advocacy and industry groups or other private parties may propose new and different standards relating to privacy, data protection, and cybersecurity that apply, or are alleged to apply, to us. Because the interpretation and application of privacy and data protection laws, regulations, standards and contractual obligations relating to these matters are uncertain, it is possible that they may be interpreted and applied in a manner that is, or perceived to be, inconsistent with our data management practices or the features of our solutions. If so, in addition to the possibility of regulatory investigations and enforcement actions or other proceedings, fines, lawsuits and other claims, other forms of injunctive or operations-limiting relief, and damage to our reputations and loss of goodwill, we could be required to fundamentally change our business activities and practices or modify our solutions and may face limitations in our ability to develop new solutions and features, any of which could have an adverse effect on our business. Any inability to adequately address concerns relating to privacy, data protection, or cybersecurity, even if unfounded, or any actual or perceived inability to comply with applicable privacy or data protection laws, regulations and privacy standards relating to these matters, could result in cost and liability to us, damage our reputation, inhibit sales of subscriptions and harm our business.</w:t>
      </w:r>
    </w:p>
    <w:p>
      <w:pPr>
        <w:spacing w:after="0" w:line="19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Furthermore, the costs of compliance with, and other burdens imposed by, the laws, regulations, and privacy standards that are applicable to the businesses of our customers may limit the use and adoption of, and reduce the overall demand for, our solutions. Privacy and data protection concerns, whether valid or not valid, may inhibit market adoption of our solutions particularly in certain industries and foreign countries.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use AI/machine learning technologies in our solutions that could result in harm to our business and operating results.</w:t>
      </w:r>
    </w:p>
    <w:p>
      <w:pPr>
        <w:spacing w:after="0" w:line="22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have incorporated and may continue to incorporate additional AI/machine learning solutions and features into our solutions, and these solutions and features may become more important to our operations or to our future growth over time. We expect to rely on AI/machine learning solutions and features to help drive future growth in our business, but there can be no assurance that we will realize the desired or anticipated benefits from AI/machine learning or at all. We may also fail to properly implement or market our AI/machine learning solutions and features. Our competitors or other third parties may incorporate AI/machine learning into their products, offerings, and solutions more quickly or more successfully than us, which could impair our ability to compete effectively and adversely affect our results of operations. Additionally, our offerings based on AI/machine learning may expose us to additional claims, demands and proceedings by private parties and regulatory authorities and subject us to legal liability as well as brand and reputational harm. The legal, regulatory, and policy environments around AI/machine learning are evolving rapidly, including the European Union's enactment of its Artificial Intelligence Act and legislative efforts in various other jurisdictions, and we may become subject to new and evolving legal and other obligations. These and other developments may require us to make significant changes to our use of AI/machine learning, including by limiting or restricting our use of AI/machine learning, and which may require us to make significant changes to our policies and practices, which may necessitate expenditure of significant time, expense, and other resources, AI/machine learning also presents emerging ethical issues that could harm our reputation and business if our use of AI/machine learning becomes controversial.</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solutions contain third-party open source software components, and our failure to comply with the terms of the underlying open source software licenses could restrict our ability to sell our solutions.</w:t>
      </w:r>
    </w:p>
    <w:p>
      <w:pPr>
        <w:spacing w:after="0" w:line="15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solutions contain software licensed to us by third-parties under so-called “open source” licenses, including the GNU General Public License, the GNU Lesser General Public License,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18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licenses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third-party software and data that may be difficult to replace or cause errors or failures of our solutions that could lead to lost customers or harm to our reputation and our operating results.</w:t>
      </w:r>
    </w:p>
    <w:p>
      <w:pPr>
        <w:spacing w:after="0" w:line="15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 until equivalent technology or data is either developed by us, or, if available, is identified, obtained and integrated, which could harm our business. In addition, any errors or defects in or failures of this third-party software or data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will need to maintain our relationships with third-party software and data providers, and to obtain software and data from such providers that do not contain any errors or defects. Any failure to do so could adversely impact our ability to deliver effective solutions to our customers and could harm our operating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our proprietary technology and intellectual property rights could substantially harm our business and operating results.</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17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spacing w:after="0" w:line="19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issuance of a patent does not guarantee that we have an absolute right to practice the patented invention. As a result, we may not be able to obtain adequate patent protection or to enforce our issued patents effectively.</w:t>
      </w:r>
    </w:p>
    <w:p>
      <w:pPr>
        <w:spacing w:after="0" w:line="18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 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Assertions by third parties of infringement or other violations by us of their intellectual property rights could result in significant costs and harm our business and operating results.</w:t>
      </w:r>
    </w:p>
    <w:p>
      <w:pPr>
        <w:spacing w:after="0" w:line="15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spacing w:after="0" w:line="18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An adverse outcome of a dispute may require us to:</w:t>
      </w:r>
    </w:p>
    <w:p>
      <w:pPr>
        <w:spacing w:after="0" w:line="117" w:lineRule="exact"/>
        <w:rPr>
          <w:sz w:val="20"/>
          <w:szCs w:val="20"/>
          <w:color w:val="auto"/>
        </w:rPr>
      </w:pPr>
    </w:p>
    <w:p>
      <w:pPr>
        <w:ind w:left="1140" w:hanging="565"/>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including treble damages, if we are found to have willfully infringed a third party’s patents or copyrights;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making, licensing or using solutions that are alleged to infringe or misappropriate the intellectual property of others;</w:t>
      </w:r>
    </w:p>
    <w:p>
      <w:pPr>
        <w:spacing w:after="0" w:line="117"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additional development resources to attempt to redesign our solutions or otherwise develop non-infringing technology, which may not be successful;</w:t>
      </w:r>
    </w:p>
    <w:p>
      <w:pPr>
        <w:spacing w:after="0" w:line="53"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potentially unfavorable royalty or license agreements in order to obtain the right to use necessary technologies or intellectual property rights; and</w:t>
      </w:r>
    </w:p>
    <w:p>
      <w:pPr>
        <w:spacing w:after="0" w:line="5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 our partners and other third parties.</w:t>
      </w:r>
    </w:p>
    <w:p>
      <w:pPr>
        <w:spacing w:after="0" w:line="22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 technology licensed to us. Any of the foregoing events could seriously harm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Governmental export or import controls could subject us to liability if we violate them or limit our ability to compete in foreign markets.</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solutions are subject to U.S. export controls, specifically, the Export Administration Regulations and economic sanctions enforced by the Office of Foreign Assets Control. We incorporate encryption technology into certain of our solutions. These encryption solutions and the underlying technology may be exported only with the required export authorizations, including by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denial of certain export privileges.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required to collect higher sales and use or other taxes on the solutions we sell, we may be subject to liability for past sales and our future sales may decrease.</w:t>
      </w:r>
    </w:p>
    <w:p>
      <w:pPr>
        <w:spacing w:after="0" w:line="15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may not have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our income tax provision or adverse outcomes resulting from examination of our income tax returns could adversely affect our operating results, in which case we could be subject to additional taxes.</w:t>
      </w:r>
    </w:p>
    <w:p>
      <w:pPr>
        <w:spacing w:after="0" w:line="15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excess tax benefits arising from stock-based compensation, other tax benefits and credits, and the valuation of deferred tax assets and liabilities. Increases in our effective tax rate could harm our operating results.</w:t>
      </w:r>
    </w:p>
    <w:p>
      <w:pPr>
        <w:spacing w:after="0" w:line="180"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Additionally, significant judgment is required in evaluating our tax positions and our worldwide tax provisions.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The Tax Cuts and Jobs Act of 2017 (or "TCJA") introduced a Base Erosion and Anti-Abuse Tax which imposes a minimum tax on adjusted income of corporations with average applicable gross receipt of at least $500 million for prior three tax years and that make certain payments to related foreign persons. While these rules do not impact our results of operations in the current year, they could impact our financial results in future periods. The TCJA introduced provisions to reduce the deduction rates for foreign income in the US beginning 2026 that may increase our effective income tax rate in the future. The Organization for Economic Cooperation and Development has issued model rules in connection with the Base Erosion and Profit Shifting integrated framework that determine multi-jurisdictional taxing rights (Pillar One) and the minimum rate of tax applicable to certain types of income (Pillar Two). Many countries have enacted legislation to apply the Pillar Two directive for tax years beginning in January 2024, which generally provides for a minimum effective tax rate of 15% on the income arising in each jurisdiction where the Company operates. These rules do not impact our current year’s financial results as the Company is below the revenue threshold. If applicable in the future, these rules could have an impact on our financial results, the extent of which is currently uncertain. We may be audited in various jurisdictions, and such jurisdictions may assess additional taxes, including sales taxes and value-added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or periods for which a determination is made.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volatility may affect our stock price and the value of an investment in our common stock and could subject us to litigation.</w:t>
      </w:r>
    </w:p>
    <w:p>
      <w:pPr>
        <w:spacing w:after="0" w:line="22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has been, and may continue to be, subject to significant fluctuations in response to a number of factors, most of which we cannot predict or control, including:</w:t>
      </w:r>
    </w:p>
    <w:p>
      <w:pPr>
        <w:spacing w:after="0" w:line="54" w:lineRule="exact"/>
        <w:rPr>
          <w:sz w:val="20"/>
          <w:szCs w:val="20"/>
          <w:color w:val="auto"/>
        </w:rPr>
      </w:pPr>
    </w:p>
    <w:p>
      <w:pPr>
        <w:ind w:left="1140" w:hanging="565"/>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solutions, services or technologies, commercial relationships, acquisitions or other events by us or our competitors;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trading volumes of securities of similar companies;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overall fluctuations in U.S. equity markets;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results, or the operating results of our competitors;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guidance or securities analysts’ estimates of our financial performance;</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including sales by our executive officers, directors and significant stockholders;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any of our key personnel;</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related to litigation;</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legal or regulatory developments in the United States and other countries; and</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us or our stock price by the financial press and in online investor communities.</w:t>
      </w:r>
    </w:p>
    <w:p>
      <w:pPr>
        <w:spacing w:after="0" w:line="22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actual operating results may differ significantly from our guidance.</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From time to time, we have released, and may continue to release, guidance in our quarterly earnings conference calls, quarterly earnings releases, or otherwise, regarding our future performance that represents our management's estimates as of the date of 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18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18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Any failure to successfully implement our operating strategy or the occurrence of any of the events or circumstances set forth in this “Risk Factors” section in this Annual Report on Form 10-K could result in our actual operating results being different from our guidance, and the differences may be adverse and 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by existing stockholders could cause our stock price to decline.</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December 31, 2024, we had approximately 36.5 million shares of our common stock outstanding.</w:t>
      </w:r>
    </w:p>
    <w:p>
      <w:pPr>
        <w:spacing w:after="0" w:line="18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addition, as of December 31, 2024, there were approximately 1.3 million options and 1.1 million restricted stock units outstanding. If such options are exercised and restricted stock units are released, these additional shares will become available for sale. As of December 31, 2024, we had an aggregate of 2.3 million shares of our common stock reserved for future issuance under our Restated 2012 Equity Incentive Plan and 0.4 million shares reserved for future purchase under our 2021 Employee Stock Purchase Plan, which can be freely sold in the public market upon issuance. If a large number of these shares are sold in the public market, the sales could reduce the trading price of our common stock.</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our share repurchase program will be fully consummated or that it will enhance stockholder value, and any share repurchases we make could affect the price of our common stock.</w:t>
      </w:r>
    </w:p>
    <w:p>
      <w:pPr>
        <w:spacing w:after="0" w:line="15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On February 12, 2018, we announced that our board of directors had authorized a $100.0 million repurchase program. On each of October 30, 2018, October 30, 2019, May 7, 2020, February 10, 2021 and February 9, 2023, we announced that our board of directors had authorized an increase of $100.0 million, and on each of November 3, 2021, May 4, 2022 and February 7, 2024, we announced that our board of directors had authorized an increase of $200.0 million to the share repurchase program. On February 6, 2025 we announced that our board of directors had authorized an increase of $200.0 million to the share repurchase program, resulting in an aggregate authorization of $1.4 billion to date ($1.2 billion as of December 31, 2024). Although our board of directors authorized the share repurchase program, we are not obligated to repurchase any specific dollar amount or to acquire any specific number of shares. The share repurchase program could affect the price of our common stock, increase volatility and diminish our cash reserves. In addition, it may be suspended or terminated at any time, which may result in a decrease in the price of our common stock. Finally, our share repurchases in 2023 and 2024 were subject to the 1% excise tax introduced in the Inflation Reduction Act. The amount of share repurchases subject to the excise tax are reduced by the fair market value of any shares issued during the taxable year. This provision does not currently have a material impact to our results of operations. During the year ended December 31, 2024, we repurchased 1.0 million shares of our common stock for approximately $140.3 million. As of December 31, 2024, approximately $143.4 million remained available for share repurchases pursuant to our share repurchase program (excluding the $200.0 million increase to our share repurchase program announced on February 6,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and therefore any returns will be limited to the value of our stock.</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5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may delay or prevent an acquisition of us or a change in our management. These provisions include:</w:t>
      </w:r>
    </w:p>
    <w:p>
      <w:pPr>
        <w:spacing w:after="0" w:line="54" w:lineRule="exact"/>
        <w:rPr>
          <w:sz w:val="20"/>
          <w:szCs w:val="20"/>
          <w:color w:val="auto"/>
        </w:rPr>
      </w:pPr>
    </w:p>
    <w:p>
      <w:pPr>
        <w:ind w:left="1140" w:right="180" w:hanging="565"/>
        <w:spacing w:after="0" w:line="266" w:lineRule="auto"/>
        <w:tabs>
          <w:tab w:leader="none" w:pos="11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“blank check” preferred stock, which could be issued by our board of directors without stockholder approval and may contain voting, liquidation, dividend and other rights superior to our common stock, which would increase the number of outstanding shares and could thwart a takeover attempt;</w:t>
      </w:r>
    </w:p>
    <w:p>
      <w:pPr>
        <w:spacing w:after="0" w:line="6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whose members can only be dismissed for cause;</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on actions by written consent of our stockholders;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on who may call a special meeting of stockholders;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40" w:right="80" w:hanging="565"/>
        <w:spacing w:after="0" w:line="282" w:lineRule="auto"/>
        <w:tabs>
          <w:tab w:leader="none" w:pos="11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advance notice requirements for nominations for election to our board of directors or for proposing matters that can be acted upon at stockholder meetings; and</w:t>
      </w:r>
    </w:p>
    <w:p>
      <w:pPr>
        <w:spacing w:after="0" w:line="5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of at least two-thirds of the outstanding capital stock to amend any of the foregoing second through fifth provisions.</w:t>
      </w:r>
    </w:p>
    <w:p>
      <w:pPr>
        <w:spacing w:after="0" w:line="22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of directors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Disruptive technologies could gain wide adoption and supplant our cloud-based IT, security and compliance solutions, thereby weakening our sales and harming our results of operations.</w:t>
      </w:r>
    </w:p>
    <w:p>
      <w:pPr>
        <w:spacing w:after="0" w:line="15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introduction of products and services embodying new technologies could render our existing solutions obsolete or less attractive to customers. Our business could be harmed if new IT, security and compliance technologies are widely adopted. We may not be able to successfully anticipate or adapt to changing technology or customer requirements on a timely basis, or at all. If we fail to keep up with technological changes or to convince our customers and potential customers of the value of our solutions even in light of new technologies, our business could be harmed and our revenues may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maintain profitability in the future.</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may not be able to sustain or increase our growth or maintain profitability in the future. We plan to continue to invest in our infrastructure, new solutions, research and development and sales and marketing, and as a result, we cannot assure you that we will maintain profitability. We may incur losses in the future for a number of reasons, including without limitation, the other risks and uncertainties described in this Annual Report on Form 10-K.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Forecasts of market growth may prove to be inaccurate, and even if the markets in which we compete achieve the forecasted growth, there can be no assurance that our business will grow at similar rates, or at all.</w:t>
      </w:r>
    </w:p>
    <w:p>
      <w:pPr>
        <w:spacing w:after="0" w:line="15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15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“Part II, Item 7 -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accounting for income taxes and stock-based compensation.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financial accounting standards may cause adverse and unexpected revenue fluctuations and impact our reported results of operations.</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prepare our financial statements in accordance with U.S. GAAP. These principles are subject to interpretation by the SEC and various bodies formed to interpret and create appropriate accounting principles. A change in these accounting standards or practices could harm our operating results and could have a significant effect on our reporting of transactions and reported results and may even retroactively affect previously reported transactions. New accounting pronouncements and varying interpretations of accounting pronouncements have occurred and may occur in the future. Changes to existing rules or the questioning of current practices may harm our operating results or require that we make significant changes to our systems, processes and controls or the way we conduct our business.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our ability to produce timely and accurate financial statements or comply with applicable regulations could be impaired.</w:t>
      </w:r>
    </w:p>
    <w:p>
      <w:pPr>
        <w:spacing w:after="0" w:line="15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Securities Exchange Act of 1934, or the Exchange Act, the Sarbanes-Oxley Act of 2002, or the Sarbanes-Oxley Act, and the rules and regulations of the NASDAQ Stock Market. To continue to comply with the requirements of being a public company, we may need to undertake various actions, such as implementing additional internal controls and procedures and hiring additional accounting or internal audit staff.</w:t>
      </w:r>
    </w:p>
    <w:p>
      <w:pPr>
        <w:spacing w:after="0" w:line="180"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internal control over financial reporting is a process designed to provide reasonable assurance regarding the reliability of financial reporting and the preparation of financial statements in accordance with U.S. GAAP. Our current controls and any new controls that we develop may become inadequate because of changes in conditions in our business. Any failure to maintain effective controls, or any difficulties encountered in their improvement, could harm our operating results or cause us to fail to meet our reporting obligations. Any failure to maintain effective internal control over financial reporting also could adversely affect the results of periodic management evaluations regarding the effectiveness of our internal control over financial reporting that we are required to include in our periodic reports we file with the SEC under Section 404 of the Sarbanes-Oxley Act. While we are able to assert in our Annual Report on Form 10-K that our internal control over financial reporting was effective as of December 31, 2024, we cannot predict the outcome of our testing in future periods. If we are unable to assert in any future reporting period that our internal control over financial reporting is effective (or if our independent registered public accounting firm is unable to express an opinion on the effectiveness of our internal controls), investors may lose confidence in our operating results and our stock price could decline. In addition, if we are unable to continue to meet these requirements, we may not be able to remain listed on the NASDAQ Stock Market.</w:t>
      </w:r>
    </w:p>
    <w:p>
      <w:pPr>
        <w:spacing w:after="0" w:line="18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1C.</w:t>
        <w:tab/>
        <w:t>Cybersecurity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established an Information Security Management System (“ISMS”) comprised of policies, procedures, and processes for assessing, identifying, and managing material risks from cybersecurity threats, and have integrated these processes into our overall enterprise risk management systems and processes. Our ISMS is aligned to generally accepted security standards and is certified by third-party auditors according to ISO/IEC 27001 standards. We routinely assess cybersecurity risks for materiality, including assessing any potential unauthorized occurrence on or conducted through our information systems that may result in adverse effects on the confidentiality, integrity, or availability of our information systems or any information residing therein.</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routinely conduct risk assessments to identify cybersecurity threats and weaknesses, as well as risk assessments of events that could potentially materially change our business practices and affect our information systems that could be impacted by cybersecurity threats and vulnerabilities. These risk assessments include identification of reasonably foreseeable internal and external risks, the likelihood and potential damage that could result from such risks, and the sufficiency of existing policies, procedures, systems, and safeguards in place to manage such risks.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Following these risk assessments, we re-design, implement, and maintain reasonable safeguards to minimize identified risks; reasonably address any identified gaps in existing safeguards; and regularly monitor the effectiveness of our safeguards. We devote significant resources and designate high-level personnel, including our Chief Information Security Officer (“CISO”) who reports to our Chief Executive Officer, to manage the risk assessment and mitigation process.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part of our overall risk management system, we monitor and test our safeguards and train our employees on these safeguards, in collaboration with human resources, IT, and management. Personnel at all levels and departments are made aware of our cybersecurity policies through periodic trainings.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established a Computer Security Incident Response Team (“CSIRT”) that identifies security incidents, characterizes the nature and severity of incidents, and provides diagnostic and corrective actions when appropriate. The CSIRT is responsible for identifying, managing, and responding to security incidents against Qualys' infrastructure and corporate IT systems. The security measures the CSIRT employs are consistent with relevant requirements of the National Institute of Standards and Technology (“NIST”), Federal Risk and Authorization Management Program (“FedRAMP”), International Organization for Standardization (“ISO”), and Federal Information Security Management Act (“FISMA”). We have also adopted certain guidelines from NIST and the United States Computer Emergency Readiness Team.</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Incident Response Program and Plan describes the major phases of an incident management lifecycle which includes the preparation, detection and analysis, containment, eradication and recovery, and post-incident activity. Qualys' 24x7 Cybersecurity Fusion Center and CSIRT conduct Incident Response Plan testing and training on a periodic basis through tabletop exercises or simulated attack scenarios. This testing appraises our readiness to respond to such scenarios and tests the completeness and accuracy of the incident response plan. The Cybersecurity Fusion Center and CSIRT teams drive these exercises to participants via various cyber security incident scenarios in the form of multiple injects. Exercise participants primarily consist of members from various Qualys departments such as security operations, IT operations, network operations, and other departments depending on the selected scenario.</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also established a Product Security Incident Response Team (“PSIRT”) that identifies, assesses, and responds to security incidents, risks, and vulnerabilities associated with Qualys’ commercial products. The Qualys PSIRT investigates vulnerabilities and incidents across the entire Qualys product portfolio. PSIRT coordinates product impact assessments and fixes based on industry standards such as the Common Vulnerabilities and Exposure (“CVE”) and Common Vulnerability Scoring System (“CVSS”). PSIRT operates in alignment with relevant requirements and industry standards and coordinates its activities with the CSIRT.</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routinely evaluate the risks posed by third-party providers and engage with those whom fail to comply with our relevant contract requirements, or when we feel further action is needed to keep our risk levels within approved tolerance levels.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engage assessors, consultants, auditors, and other third parties in order to obtain external validation for effectiveness and adequacy of our security posture in compliance with regulatory requirements. These service providers attest to our organization-wide design and implementation of cybersecurity policies and procedures, and annually monitor such policies and procedures from a safety perspective.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additional information regarding whether any risks from cybersecurity threats have materially affected or are reasonably likely to materially affect our company, including our business strategy, results of operations, or financial condition, please refer to Item 1A, “Risk Factors,” in this annual report on Form 10-K, including the risk factor entitled “Our platform, products, website and internal systems may be subject to intentional disruption or other security incidents that could result in liability and adversely impact our reputation and future sales.” We have not currently encountered any cybersecurity threats that have materially impaired our operations or financial standing.</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with assistance from management, monitors and assesses strategic risk exposure, and our management team is responsible for the day-to-day management of the material risks we face. Our board of directors administers its cybersecurity risk oversight function directly as a whole, as well as through the Audit and Risk Committee of our board of directors (“Audit and Risk Committee”).</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CISO and our Security Steering Committee, which includes members from management across all company functions such as security, IT, human resources, sales and marketing, engineering, legal, and finance, are primarily responsible for assessing and managing cybersecurity threats. Our CISO is a cybersecurity industry expert with over two decades of experience in cybersecurity, including work at multi-national technology companies and for a U.S. state government. He holds several industry certifications including CISSP, OSCP, CCSP, and GCFA and is also a graduate of the Carnegie Mellon University’s Chief Information Security Officer Executive Program. Our CEO is also a cybersecurity industry expert who has deep insight and over two decades of experience in cybersecurity, technology and information security.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CISO and our Security Steering Committee, along with other senior executives including the CEO and CTO, review and manage our cybersecurity policies and processes, including those described in “Risk Management and Strategy” above. The processes by which our CISO is informed about and monitors the prevention, detection, mitigation, and remediation of cybersecurity incidents, include prompt communication from the CSIRT and PSIRT describing the severity and impact of the incident and status throughout the incident handling lifecycle and routine monitoring of key risk indicators.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CISO provides briefings to the Audit and Risk Committee along with our CEO and other members of our senior management team, both on a quarterly basis via the Qualys Security Steering Committee and as needed, regarding our cybersecurity risks and activities, including, if any, critical and high impact cybersecurity incidents and related responses, cybersecurity systems testing, activities of third parties, and the emerging threat landscape. Our Audit and Risk Committee provides regular updates to the board of directors on such reports. In addition, our CISO and management team provide periodic briefings to the board of directors on cybersecurity risks and activities. Management is required to notify the Audit and Risk Committee, and the full Board in the event of a cyber incident that is confirmed to have a material effect on Qualys, or in the event that Qualys has identified a cyber risk that is likely to have a high probability of having a material impact on Qualys if not mitigated.</w:t>
      </w:r>
    </w:p>
    <w:p>
      <w:pPr>
        <w:spacing w:after="0" w:line="18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in Foster City, California, where we occupy a 76,922 square-foot facility under a lease expiring on April 30, 2028. We also have 281,787 square feet of office space in Pune, India under a non-cancellable lease expiring in May 2029. We have an additional U.S. office in North Carolina and other offices in France, United Arab Emirates and United Kingdom. We believe our facilities are adequate for our current needs and for the foreseeable future.</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operate shared cloud platforms at third-party facilities in United States, Canada, Switzerland, the Netherlands, United Arab Emirates, Australia, United Kingdom, Italy, the Kingdom of Saudi Arabia and India. Our shared cloud platform agreements have varying terms through 2030.</w:t>
      </w:r>
    </w:p>
    <w:p>
      <w:pPr>
        <w:spacing w:after="0" w:line="15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our business. As of December 31, 2024, there has not been at least a reasonable possibility that we have incurred a material loss from any ongoing legal proceedings, individually or taken together. However, litigation is inherently unpredictable and is subject to significant uncertainties, some of which are beyond our control. Should any of these estimates and assumptions change or prove to have been incorrect, we could incur significant charges related to legal matters which could have a material impact on its results of operations, financial position and cash flows. For more information, please refer to Note 9 in the accompanying notes to the consolidated financial statements, which is hereby incorporated by reference.</w:t>
      </w:r>
    </w:p>
    <w:p>
      <w:pPr>
        <w:spacing w:after="0" w:line="1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listed and traded on the NASDAQ Global Select Market under the symbol “QLYS”.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February 11, 2025, there were approximately 44 holders of record of our common stock. Because many of our shares of common stock are held by brokers and other institutions on behalf of stockholders, we are unable to estimate the total number of stockholders represented by these record 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any future earnings to fund business development and growth,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Price Performance Graph</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graph shows a comparison from December 31, 2019 through December 31, 2024 of the cumulative total return for an investment of $100 (and the reinvestment of dividends) in our common stock, the NASDAQ Global Select Market Composite Index and the NASDAQ Computer Index and the S&amp;P 500 Index. Such returns are based on historical results and are not intended to suggest future performance.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COMPARISON OF CUMULATIVE TOTAL RETURN*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Among Qualys, Inc., NASDAQ-Global Select Market Composite Index, and NASDAQ Computer Index and S&amp;P 500 Index</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$100 invested on December 31, 2019 in stock or index, including reinvestment of dividends. Fiscal 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154305</wp:posOffset>
            </wp:positionV>
            <wp:extent cx="5254625" cy="32575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4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Qualys, Inc.</w:t>
            </w:r>
          </w:p>
        </w:tc>
        <w:tc>
          <w:tcPr>
            <w:tcW w:w="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168.19</w:t>
            </w: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143.04</w:t>
            </w:r>
          </w:p>
        </w:tc>
        <w:tc>
          <w:tcPr>
            <w:tcW w:w="10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176.11</w:t>
            </w:r>
          </w:p>
        </w:tc>
        <w:tc>
          <w:tcPr>
            <w:tcW w:w="10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118.67</w:t>
            </w:r>
          </w:p>
        </w:tc>
        <w:tc>
          <w:tcPr>
            <w:tcW w:w="10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172.13</w:t>
            </w:r>
          </w:p>
        </w:tc>
        <w:tc>
          <w:tcPr>
            <w:tcW w:w="8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222.62</w:t>
            </w: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 Computer</w:t>
            </w:r>
          </w:p>
        </w:tc>
        <w:tc>
          <w:tcPr>
            <w:tcW w:w="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301.44</w:t>
            </w: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118.40</w:t>
            </w:r>
          </w:p>
        </w:tc>
        <w:tc>
          <w:tcPr>
            <w:tcW w:w="10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152.39</w:t>
            </w:r>
          </w:p>
        </w:tc>
        <w:tc>
          <w:tcPr>
            <w:tcW w:w="10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124.79</w:t>
            </w:r>
          </w:p>
        </w:tc>
        <w:tc>
          <w:tcPr>
            <w:tcW w:w="10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157.59</w:t>
            </w:r>
          </w:p>
        </w:tc>
        <w:tc>
          <w:tcPr>
            <w:tcW w:w="8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197.02</w:t>
            </w:r>
          </w:p>
        </w:tc>
      </w:tr>
    </w:tbl>
    <w:p>
      <w:pPr>
        <w:spacing w:after="0" w:line="30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information on the above Stock Price Performance Graph shall not be deemed to be “filed” for purposes of Section 18 of the Securities Exchange Act of 1934, as amended, or otherwise subject to the liabilities of that section or Sections 11 and 12(a)(2) of the Securities Act of 1933, as amended, and shall not be incorporated by reference into any registration statement or other document filed by us with the SEC, whether made before or after the date of this Annual Report on Form 10-K, regardless of any general incorporation language in such filing, except as shall be expressly set forth by specific reference in such filing.</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32"/>
        </w:trPr>
        <w:tc>
          <w:tcPr>
            <w:tcW w:w="9120" w:type="dxa"/>
            <w:vAlign w:val="bottom"/>
            <w:gridSpan w:val="8"/>
          </w:tcPr>
          <w:p>
            <w:pPr>
              <w:ind w:left="340"/>
              <w:spacing w:after="0"/>
              <w:rPr>
                <w:sz w:val="20"/>
                <w:szCs w:val="20"/>
                <w:color w:val="auto"/>
              </w:rPr>
            </w:pPr>
            <w:r>
              <w:rPr>
                <w:rFonts w:ascii="Times New Roman" w:cs="Times New Roman" w:eastAsia="Times New Roman" w:hAnsi="Times New Roman"/>
                <w:sz w:val="18"/>
                <w:szCs w:val="18"/>
                <w:color w:val="auto"/>
              </w:rPr>
              <w:t>A summary of our repurchases of common stock during the three months ended December 31, 2024 is as follows: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64"/>
        </w:trPr>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Approximate Dollar</w:t>
            </w: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6"/>
              </w:rPr>
              <w:t>Value of</w:t>
            </w: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8"/>
                <w:szCs w:val="18"/>
                <w:color w:val="auto"/>
              </w:rPr>
            </w:pPr>
          </w:p>
        </w:tc>
        <w:tc>
          <w:tcPr>
            <w:tcW w:w="20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Shares that May Yet</w:t>
            </w: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 as Part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Be</w:t>
            </w: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Publicly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Purchased under</w:t>
            </w: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0" w:type="dxa"/>
            <w:vAlign w:val="bottom"/>
          </w:tcPr>
          <w:p>
            <w:pPr>
              <w:spacing w:after="0"/>
              <w:rPr>
                <w:sz w:val="18"/>
                <w:szCs w:val="18"/>
                <w:color w:val="auto"/>
              </w:rPr>
            </w:pPr>
          </w:p>
        </w:tc>
        <w:tc>
          <w:tcPr>
            <w:tcW w:w="1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Average Price Paid</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Announced Plan or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the Plan or</w:t>
            </w:r>
          </w:p>
        </w:tc>
      </w:tr>
      <w:tr>
        <w:trPr>
          <w:trHeight w:val="238"/>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 (1)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Program</w:t>
            </w:r>
          </w:p>
        </w:tc>
      </w:tr>
      <w:tr>
        <w:trPr>
          <w:trHeight w:val="27"/>
        </w:trPr>
        <w:tc>
          <w:tcPr>
            <w:tcW w:w="3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r>
      <w:tr>
        <w:trPr>
          <w:trHeight w:val="243"/>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2024 - October 31, 2024</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145,802</w:t>
            </w: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123.87</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145,802</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167,659,031</w:t>
            </w: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2024 - November 30, 2024</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74,190</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144.16</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74,190</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159,964,062</w:t>
            </w:r>
          </w:p>
        </w:tc>
        <w:tc>
          <w:tcPr>
            <w:tcW w:w="380" w:type="dxa"/>
            <w:vAlign w:val="bottom"/>
          </w:tcPr>
          <w:p>
            <w:pPr>
              <w:spacing w:after="0"/>
              <w:rPr>
                <w:sz w:val="21"/>
                <w:szCs w:val="21"/>
                <w:color w:val="auto"/>
              </w:rPr>
            </w:pPr>
          </w:p>
        </w:tc>
      </w:tr>
      <w:tr>
        <w:trPr>
          <w:trHeight w:val="27"/>
        </w:trPr>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70"/>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2024 - December 31, 2024</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91,730</w:t>
            </w: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147.60</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91,730</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143,424,943 (2)</w:t>
            </w:r>
          </w:p>
        </w:tc>
      </w:tr>
      <w:tr>
        <w:trPr>
          <w:trHeight w:val="263"/>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311,722</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1"/>
        </w:trPr>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8"/>
        <w:spacing w:after="0" w:line="254" w:lineRule="auto"/>
        <w:tabs>
          <w:tab w:leader="none" w:pos="26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12, 2018, we announced that our board of directors authorized a $100.0 million share repurchase program. On each of October 30, 2018, October 30, 2019, May 7, 2020, February 10, 2021 and February 9, 2023, we announced that our board of directors had authorized an increase of $100.0 million, and on each of November 3, 2021, May 4, 2022, and February 7, 2024, we announced that our board of directors had authorized an increase of $200.0 million to the share repurchase program, resulting in an aggregate authorization of $1.2 billion as of December 31, 2024. On February 6, 2025, we announced that our board of directors authorized an increase of $200.0 million to the share repurchase program, resulting in an aggregate authorization of $1.4 billion. Shares may be repurchased from time to time on the open market in accordance with Rule 10b-18 of the Exchange Act of 1934. We have entered into a pre-set trading plan adopted in accordance with Rule 10b5-1 under the Exchange Act to effect repurchases under our share repurchase program. All share repurchases have been made using cash resources. Our share repurchase program does not have an expiration date.</w:t>
      </w:r>
    </w:p>
    <w:p>
      <w:pPr>
        <w:spacing w:after="0" w:line="19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the $200.0 million increase to our share repurchase program announced on February 6, 2025.</w:t>
      </w:r>
    </w:p>
    <w:p>
      <w:pPr>
        <w:spacing w:after="0" w:line="22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conjunction with our consolidated financial statements and the related notes included elsewhere in this Annual Report on Form 10-K. You should carefully review and consider the information regarding our financial condition and results of operations set forth under Part II-Item 7 (Management’s Discussion and Analysis of Financial Condition and Results of Operations) in our Annual Report on Form 10-K for the fiscal year ended December 31, 2023, filed with the SEC on February 22, 2024, for an understanding of our results of operations and liquidity discussions and analysis comparing fiscal year 2023 to fiscal year 2022, which information is hereby incorporated by reference. In addition to historical information, this discussion contains forward-looking statements that involve risks and uncertainties that could cause our actual results to differ materially from our expectations, as discussed in "Forward-Looking Statements" in Part I of this Annual Report on Form 10-K. Factors that could cause such differences include, but are not limited to, those described in the section titled "Risk Factors" and elsewhere in this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a leading provider of a cloud-based platform delivering information technology (IT), security and compliance solutions that enable organizations to identify security risks to their IT infrastructures, help protect their IT systems and applications from ever-evolving cyber-attacks and achieve compliance with internal policies and external regulations. Our cloud platform addresses the growing security and compliance complexities and risks that are amplified by the dissolving boundaries between IT infrastructures and web environments, the rapid adoption of cloud computing, containers and serverless IT models, and the proliferation of geographically dispersed IT assets. Our integrated suite of IT, security and compliance solutions delivered on Qualys' Enterprise TruRisk Platform enables our customers to identify and manage their IT and operational technology (OT) assets, collect and analyze large amounts of IT security data, discover and prioritize vulnerabilities, quantify cyber risk exposure, recommend and implement remediation actions and verify the implementation of such actions. Organizations use our integrated suite of solutions to cost-effectively obtain a unified view of their internal and external IT and OT asset inventory as well as security and compliance posture across globally-distributed IT infrastructures as our solution offers a single platform for information technology, information security, application security, endpoint, developer security and cloud teams.</w:t>
      </w:r>
    </w:p>
    <w:p>
      <w:pPr>
        <w:spacing w:after="0" w:line="19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were founded and incorporated in December 1999 with a vision of transforming the way organizations secure and protect their IT infrastructure and applications and initially launched our first cloud solution, Vulnerability Management (VM), in 2000. As VM gained acceptance, we introduced additional solutions to help customers manage increasing IT, security and compliance requirements. Today, the suite of solutions that we offer on our cloud platform and refer to as the Qualys Cloud Apps help our customers detect, measure, prioritize and remediate cyber risk spanning a range of assets across on-premises, endpoints, cloud, containers, and mobile environments.</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provide our solutions through a software-as-a-service model, primarily with renewable annual subscriptions. These subscriptions require customers to pay a fee in order to access each of our cloud solutions. We generally invoice our customers for the entire subscription amount at the start of the subscription term, and the invoiced amounts are treated as deferred revenues and are recognized ratably over the term of each subscription. We continue to experience revenue growth from our existing customers as they renew and purchase additional subscriptions, as well as from the addition of new customers to our cloud platform.</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market and sell our solutions to enterprises, government entities and small and medium-sized businesses across a broad range of industries, including education, financial services, government, healthcare, insurance, manufacturing, media, retail, technology and utilities. In 2024, 2023 and 2022, 58%, 60% and 60%, respectively, of our revenues were derived from customers in the United States based on our customers' billing addresses. We sell our solutions to enterprises and government entities primarily through our field sales force and to small and medium-sized businesses through our inside sales force. We generate a significant portion of sales through our channel partners, including managed security service providers, leading cloud providers, value-added resellers and consulting firms in the United States and internationally.</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Impacts of Current Macroeconomic Environment</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uncertainty surrounding macroeconomic factors in the U.S. and globally characterized by inflationary pressure, high interest rates, significant volatility of global markets, reduced spending and extended sales cycles, and geopolitical conflicts could have a material adverse effect on our long-term business and could lead to further economic disruption and expose us to greater risk as our current and potential customers may reduce or eliminate their overall spending on IT security. We will continue to evaluate the nature and extent of the impact to our business, financial position, results of operations and cash flows.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derive revenues from the sale of subscriptions to our IT, security and compliance solutions, which are delivered on our cloud platform. Subscriptions to our solutions allow customers to access our cloud-based IT, security and compliance solutions through a unified, web-based interface. Customers generally enter into one-year renewable subscriptions. The subscription fee entitles the customer to an unlimited number of scans for a specified number of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In some cases, we also provide certain computer equipment used to extend our cloud platform into our customers' private cloud environment. Customers are required to return physical scanner appliances and computer equipment if they do not renew their subscriptions.</w:t>
      </w:r>
    </w:p>
    <w:p>
      <w:pPr>
        <w:spacing w:after="0" w:line="19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typically invoice our customers for the entire subscription amount at the start of the subscription term. Invoiced amounts are reflected on our consolidated balance sheets as accounts receivable or as cash when collected, and as deferred revenues until earned and recognized ratably over the subscription period. Accordingly, deferred revenues represent the amount billed to customers that has not yet been earned or recognized as revenues, pursuant to subscriptions entered into in current and prior periods.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Cost of revenues consists primarily of personnel expenses, comprised of salaries, benefits, performance-based compensation and stock-based compensation, for employees who operate our shared cloud platforms and provide support services to our customers. Other expenses include depreciation of shared cloud platform equipment, physical scanner appliances and computer hardware provided to certain customers as part of their subscriptions, expenses related to the use of shared cloud platforms, amortization of software and license fees, amortization of intangibles related to acquisitions, maintenance support, fees paid to contractors who supplement or support our operations center personnel and overhead allocations. We expect to continue to expand our shared cloud platform infrastructures and invest in our customer support and operations teams to support our customers and operations, which in turn, is expected to increase the cost of revenues in absolute dollars.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 expenses, comprised of salaries, benefits, performance-based compensation and stock-based compensation, for our research and development teams. Other expenses include third-party contractor fees, software and license fees, amortization of intangibles related to acquisitions and overhead allocations. We expect to continue to devote resources to research and development in an effort to continuously improve our existing solutions as well as develop new solutions and capabilities, which in turn, is expected to increase the research and development expenses in absolute dollars.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software licenses and overhead allocations. Sales commissions related to new business and upsells are capitalized as an asset. We amortize the capitalized commission cost as a selling expense on a straight-line basis over a period of five years. We expense sales commissions related to contract renewals as incurred.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or the participation in new marketing events or programs, and the rate at which these generate incremental revenues, may affect our future operating results. We expect to continue to invest in sales and marketing teams and also in more marketing programs to support new solutions on our platform, which in turn, is expected to increase sales and marketing expenses in absolute dollars.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expenses, comprised of salaries, benefits, performance-based compensation and stock-based compensation for our executive, finance and accounting, IT, legal and human resources teams, as well as professional services, fees, software licenses and overhead allocations. We expect to continue to invest in our people and incur professional services to support our growth and compliance with legal and regulatory requirements, which in turn, is expected to increase general and administrative expenses in absolute dollars.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other income (expense), net consists primarily of interest and returns from our cash equivalent, short-term and long-term marketable securities, non-marketable securities gains and losses, and foreign exchange gains and losses.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are subject to federal, state and foreign income taxes for jurisdictions in which we operate, and we use estimates in determining our income tax provision and deferred tax assets. Earnings from our non-U.S. activities are subject to income taxes in the local countries at rates which are generally similar to the U.S. statutory tax rate. We regularly assess the realizability of our net deferred tax assets. As of December 31, 2024, valuation allowances remain in certain jurisdictions where we believe it is necessary to see positive evidence, such as sustained achievement of sufficient profits, to meet a more likely than not stance that the valuation allowance should be reversed. The exact timing and amount of the valuation allowance release is subject to change based on the level of profitability achieved in future periods. Release of the valuation allowance would result in the recognition of deferred tax assets and a corresponding decrease to income tax expense in the period the release is recorded.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selected consolidated statements of operations data for each of the periods presented as a percentage of revenues:</w:t>
      </w:r>
    </w:p>
    <w:p>
      <w:pPr>
        <w:spacing w:after="0" w:line="275"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36830</wp:posOffset>
            </wp:positionV>
            <wp:extent cx="19970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60" w:type="dxa"/>
            <w:vAlign w:val="bottom"/>
            <w:gridSpan w:val="2"/>
          </w:tcPr>
          <w:p>
            <w:pPr>
              <w:ind w:left="86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5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5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44</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80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Comparison of Years Ended December 31, 2024 and 2023</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64"/>
        </w:trPr>
        <w:tc>
          <w:tcPr>
            <w:tcW w:w="5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8"/>
        </w:trPr>
        <w:tc>
          <w:tcPr>
            <w:tcW w:w="5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5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5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gridSpan w:val="7"/>
          </w:tcPr>
          <w:p>
            <w:pPr>
              <w:ind w:left="20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020" w:type="dxa"/>
            <w:vAlign w:val="bottom"/>
          </w:tcPr>
          <w:p>
            <w:pPr>
              <w:spacing w:after="0"/>
              <w:rPr>
                <w:sz w:val="24"/>
                <w:szCs w:val="24"/>
                <w:color w:val="auto"/>
              </w:rPr>
            </w:pPr>
          </w:p>
        </w:tc>
      </w:tr>
      <w:tr>
        <w:trPr>
          <w:trHeight w:val="27"/>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607,571</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554,458</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53,113</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7"/>
        </w:trPr>
        <w:tc>
          <w:tcPr>
            <w:tcW w:w="52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Revenues increased by $53.1 million in 2024 compared to 2023, driven by increased demand for our subscription services by our end customers. Of the total increase of $53.1 million in revenues, 69% was from customers existing at or prior to December 31, 2023, and the remaining 31% was from new customers added in 2024. Of the total increase of $53.1 million, 42% was from customers in the United States and the remaining 58% was from customers in foreign countries. In 2024, 54% of total revenues were direct and 46% of total revenues were through partners. Of the total increase of $53.1 million, 20% was direct and the remaining 80% was from partners.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With our strong market position driving further demand for our solutions, we expect revenue growth from new and existing customers to continue.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64"/>
        </w:trPr>
        <w:tc>
          <w:tcPr>
            <w:tcW w:w="5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8"/>
        </w:trPr>
        <w:tc>
          <w:tcPr>
            <w:tcW w:w="5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5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5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gridSpan w:val="7"/>
          </w:tcPr>
          <w:p>
            <w:pPr>
              <w:ind w:left="20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020" w:type="dxa"/>
            <w:vAlign w:val="bottom"/>
          </w:tcPr>
          <w:p>
            <w:pPr>
              <w:spacing w:after="0"/>
              <w:rPr>
                <w:sz w:val="24"/>
                <w:szCs w:val="24"/>
                <w:color w:val="auto"/>
              </w:rPr>
            </w:pPr>
          </w:p>
        </w:tc>
      </w:tr>
      <w:tr>
        <w:trPr>
          <w:trHeight w:val="27"/>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111,482</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107,485</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7"/>
        </w:trPr>
        <w:tc>
          <w:tcPr>
            <w:tcW w:w="52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Cost of revenues increased by $4.0 million in 2024 compared to 2023, primarily due to an increase in shared cloud platform cost of $6.0 million, an increase in personnel costs, including stock-based compensation, of $4.6 million, driven by additional employees hired to support the growth of our business, an increase in license expenses and professional service expenses of $1.2 million, partially offset by a decrease in depreciation and amortization expense of $7.8 million resulting from certain of our assets becoming fully depreciated or amortized.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64"/>
        </w:trPr>
        <w:tc>
          <w:tcPr>
            <w:tcW w:w="5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8"/>
        </w:trPr>
        <w:tc>
          <w:tcPr>
            <w:tcW w:w="5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8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5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5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020" w:type="dxa"/>
            <w:vAlign w:val="bottom"/>
          </w:tcPr>
          <w:p>
            <w:pPr>
              <w:spacing w:after="0"/>
              <w:rPr>
                <w:sz w:val="24"/>
                <w:szCs w:val="24"/>
                <w:color w:val="auto"/>
              </w:rPr>
            </w:pPr>
          </w:p>
        </w:tc>
      </w:tr>
      <w:tr>
        <w:trPr>
          <w:trHeight w:val="27"/>
        </w:trPr>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111,852</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110,472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7"/>
        </w:trPr>
        <w:tc>
          <w:tcPr>
            <w:tcW w:w="5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$1.4 million in 2024 compared to 2023, primarily due to an increase in personnel costs, including stock-based compensation, of $2.8 million, driven by increased headcount, partially offset by a decrease in depreciation and amortization expense in property and equipment of $0.8 million, and a decrease in overhead allocation of $0.6 million.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64"/>
        </w:trPr>
        <w:tc>
          <w:tcPr>
            <w:tcW w:w="5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8"/>
        </w:trPr>
        <w:tc>
          <w:tcPr>
            <w:tcW w:w="5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5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5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gridSpan w:val="7"/>
          </w:tcPr>
          <w:p>
            <w:pPr>
              <w:ind w:left="20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020" w:type="dxa"/>
            <w:vAlign w:val="bottom"/>
          </w:tcPr>
          <w:p>
            <w:pPr>
              <w:spacing w:after="0"/>
              <w:rPr>
                <w:sz w:val="24"/>
                <w:szCs w:val="24"/>
                <w:color w:val="auto"/>
              </w:rPr>
            </w:pPr>
          </w:p>
        </w:tc>
      </w:tr>
      <w:tr>
        <w:trPr>
          <w:trHeight w:val="27"/>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128,303</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111,691</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16,612</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7"/>
        </w:trPr>
        <w:tc>
          <w:tcPr>
            <w:tcW w:w="52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Sales and marketing expenses increased by $16.6 million in 2024 compared to 2023, primarily due to an increase in personnel costs, including stock-based compensation, of $12.9 million, driven by increased headcount, an increase in travel and entertainment cost of $1.8 million, an increase in marketing expenses related to trade shows of $0.7 million, an increase in overhead allocation of $0.7 million, and an increase in subscribed license and software costs of $0.5 million.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64"/>
        </w:trPr>
        <w:tc>
          <w:tcPr>
            <w:tcW w:w="5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8"/>
        </w:trPr>
        <w:tc>
          <w:tcPr>
            <w:tcW w:w="5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5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5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020" w:type="dxa"/>
            <w:vAlign w:val="bottom"/>
          </w:tcPr>
          <w:p>
            <w:pPr>
              <w:spacing w:after="0"/>
              <w:rPr>
                <w:sz w:val="24"/>
                <w:szCs w:val="24"/>
                <w:color w:val="auto"/>
              </w:rPr>
            </w:pPr>
          </w:p>
        </w:tc>
      </w:tr>
      <w:tr>
        <w:trPr>
          <w:trHeight w:val="27"/>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68,738</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61,741</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7"/>
        </w:trPr>
        <w:tc>
          <w:tcPr>
            <w:tcW w:w="52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$7.0 million in 2024 compared to 2023, primarily due to an increase in personnel costs, including stock-based compensation, of $6.3 million, driven by increased headcount, annual merit increases and refresh grants to eligible employees and executives, and an increase in subscribed software costs and other expenses of $0.7 million.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 net</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64"/>
        </w:trPr>
        <w:tc>
          <w:tcPr>
            <w:tcW w:w="5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8"/>
        </w:trPr>
        <w:tc>
          <w:tcPr>
            <w:tcW w:w="5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5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5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gridSpan w:val="7"/>
          </w:tcPr>
          <w:p>
            <w:pPr>
              <w:ind w:left="20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020" w:type="dxa"/>
            <w:vAlign w:val="bottom"/>
          </w:tcPr>
          <w:p>
            <w:pPr>
              <w:spacing w:after="0"/>
              <w:rPr>
                <w:sz w:val="24"/>
                <w:szCs w:val="24"/>
                <w:color w:val="auto"/>
              </w:rPr>
            </w:pPr>
          </w:p>
        </w:tc>
      </w:tr>
      <w:tr>
        <w:trPr>
          <w:trHeight w:val="27"/>
        </w:trPr>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22,626</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15,582</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7"/>
        </w:trPr>
        <w:tc>
          <w:tcPr>
            <w:tcW w:w="5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Total other income, net increased by $7.0 million in 2024 compared to 2023, primarily due to an increase in interest income of $8.9 million driven by an increase in our average daily cash and investment balance, a non-recurring unrealized loss of $0.5 million on a non-marketable equity security recognized during 2023, partially offset by an increase in foreign currency loss of $2.4 million.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64"/>
        </w:trPr>
        <w:tc>
          <w:tcPr>
            <w:tcW w:w="5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8"/>
        </w:trPr>
        <w:tc>
          <w:tcPr>
            <w:tcW w:w="5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5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5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020" w:type="dxa"/>
            <w:vAlign w:val="bottom"/>
          </w:tcPr>
          <w:p>
            <w:pPr>
              <w:spacing w:after="0"/>
              <w:rPr>
                <w:sz w:val="24"/>
                <w:szCs w:val="24"/>
                <w:color w:val="auto"/>
              </w:rPr>
            </w:pPr>
          </w:p>
        </w:tc>
      </w:tr>
      <w:tr>
        <w:trPr>
          <w:trHeight w:val="27"/>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36,142</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27,056</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9,086</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7"/>
        </w:trPr>
        <w:tc>
          <w:tcPr>
            <w:tcW w:w="52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Income tax provision increased by $9.1 million in 2024 compared to 2023, primarily due to the tax effect of an increase in pretax income, increase in foreign withholding taxes, decrease in excess tax benefit from stock-based compensation compared to prior year, and decrease in other discrete tax adjustments. The increase in tax expense was partially offset by an increase in foreign derived intangible income benefit, an increase in research and development tax credits, and the recognition of an income tax benefit related to uncertain tax positions due to statute lapse.</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our income tax provision included a benefit of $2.5 million related to an increase in foreign derived intangible income benefit and research and development tax credits associated with our U.S. income tax return filed during the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and Non-GAAP Financial Performance Metrics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addition to measures of financial performance presented in our consolidated financial statements, we monitor the key metrics set forth below to help us evaluate growth trends, establish budgets, measure the effectiveness of our sales and marketing efforts and assess operational efficiencies.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Dollar Expansion Rate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evaluate our ability to retain and grow existing customers by assessing our net dollar expansion rate on a last twelve months, or LTM, basis. This metric is used to appropriately manage resources and customer retention and expansion. We calculate the net dollar expansion rate on a foreign exchange neutral basis by dividing a numerator by a denominator, each defined as follows: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Denominator: To calculate our net dollar expansion rate as of the end of a reporting period, we first determine the annual recurring revenue, or ARR, from all active subscriptions as of the last day of the same reporting period in the prior year. This represents recurring payments that we expect to receive in the next 12-month period from the cohort of customers that existed on the last day of the same reporting period in the prior year.</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Numerator: We measure the ARR for that same cohort of customers representing all active subscriptions as of the end of the reporting period, using the same foreign exchange rate from the prior year.</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net dollar expansion rates were 103% and 105% for the years ended December 31, 2024 and 2023, respectively.</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Adjusted EBITDA should not be considered in isolation from, or as a substitute for, financial information prepared in accordance with U.S. GAAP. We calculate Adjusted EBITDA as net income before (1) other (income) expense, net, which includes interest income, interest expense and other income and expense, (2) income tax provision (benefit), (3) depreciation and amortization of property and equipment, (4) amortization of intangible assets, (5) stock-based compensation and (6) non-recurring expenses that do not reflect ongoing costs of operating the business.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Adjusted EBITDA has limitations as an analytical tool and should not be considered in isolation from or as a substitute for the measures presented in accordance with U.S. GAAP. Some of these limitations are:</w:t>
      </w:r>
    </w:p>
    <w:p>
      <w:pPr>
        <w:spacing w:after="0" w:line="162" w:lineRule="exact"/>
        <w:rPr>
          <w:sz w:val="20"/>
          <w:szCs w:val="20"/>
          <w:color w:val="auto"/>
        </w:rPr>
      </w:pPr>
    </w:p>
    <w:p>
      <w:pPr>
        <w:ind w:left="740" w:hanging="327"/>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certain cash and non-cash charges that are recurring;</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 payments that reduce cash available to us;</w:t>
      </w:r>
    </w:p>
    <w:p>
      <w:pPr>
        <w:spacing w:after="0" w:line="225" w:lineRule="exact"/>
        <w:rPr>
          <w:rFonts w:ascii="Times New Roman" w:cs="Times New Roman" w:eastAsia="Times New Roman" w:hAnsi="Times New Roman"/>
          <w:sz w:val="18"/>
          <w:szCs w:val="18"/>
          <w:color w:val="auto"/>
        </w:rPr>
      </w:pPr>
    </w:p>
    <w:p>
      <w:pPr>
        <w:ind w:left="740" w:right="240" w:hanging="327"/>
        <w:spacing w:after="0" w:line="282" w:lineRule="auto"/>
        <w:tabs>
          <w:tab w:leader="none" w:pos="7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depreciation and amortization of property and equipment and amortization of intangible assets, although these are non-cash charges, the assets being depreciated and amortized may have to be replaced in the future; and</w:t>
      </w:r>
    </w:p>
    <w:p>
      <w:pPr>
        <w:spacing w:after="0" w:line="161" w:lineRule="exact"/>
        <w:rPr>
          <w:rFonts w:ascii="Times New Roman" w:cs="Times New Roman" w:eastAsia="Times New Roman" w:hAnsi="Times New Roman"/>
          <w:sz w:val="18"/>
          <w:szCs w:val="18"/>
          <w:color w:val="auto"/>
        </w:rPr>
      </w:pPr>
    </w:p>
    <w:p>
      <w:pPr>
        <w:ind w:left="740" w:right="120" w:hanging="327"/>
        <w:spacing w:after="0" w:line="282" w:lineRule="auto"/>
        <w:tabs>
          <w:tab w:leader="none" w:pos="7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may calculate Adjusted EBITDA differently or not at all, which reduces its usefulness as a comparative measure.</w:t>
      </w:r>
    </w:p>
    <w:p>
      <w:pPr>
        <w:spacing w:after="0" w:line="16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Because of these limitations, Adjusted EBITDA should be considered alongside other financial performance measures, including revenues, net income, cash flows from operating activities and our financial results presented in accordance with U.S. GAAP.</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unaudited table presents the reconciliation of net income to Adjusted EBITDA for the years ended December 31, 2024 and 2023.</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7"/>
        </w:trPr>
        <w:tc>
          <w:tcPr>
            <w:tcW w:w="8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8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7"/>
        </w:trPr>
        <w:tc>
          <w:tcPr>
            <w:tcW w:w="8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80" w:type="dxa"/>
            <w:vAlign w:val="bottom"/>
          </w:tcPr>
          <w:p>
            <w:pPr>
              <w:spacing w:after="0"/>
              <w:rPr>
                <w:sz w:val="24"/>
                <w:szCs w:val="24"/>
                <w:color w:val="auto"/>
              </w:rPr>
            </w:pPr>
          </w:p>
        </w:tc>
      </w:tr>
      <w:tr>
        <w:trPr>
          <w:trHeight w:val="27"/>
        </w:trPr>
        <w:tc>
          <w:tcPr>
            <w:tcW w:w="8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173,680</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151,595</w:t>
            </w:r>
          </w:p>
        </w:tc>
      </w:tr>
      <w:tr>
        <w:trPr>
          <w:trHeight w:val="24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as a percentage of revenues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7"/>
        </w:trPr>
        <w:tc>
          <w:tcPr>
            <w:tcW w:w="8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15,610</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23,904</w:t>
            </w:r>
          </w:p>
        </w:tc>
      </w:tr>
      <w:tr>
        <w:trPr>
          <w:trHeight w:val="243"/>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2,903</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3,087</w:t>
            </w:r>
          </w:p>
        </w:tc>
      </w:tr>
      <w:tr>
        <w:trPr>
          <w:trHeight w:val="27"/>
        </w:trPr>
        <w:tc>
          <w:tcPr>
            <w:tcW w:w="8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36,142</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27,056</w:t>
            </w:r>
          </w:p>
        </w:tc>
      </w:tr>
      <w:tr>
        <w:trPr>
          <w:trHeight w:val="243"/>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77,133</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69,079</w:t>
            </w:r>
          </w:p>
        </w:tc>
      </w:tr>
      <w:tr>
        <w:trPr>
          <w:trHeight w:val="27"/>
        </w:trPr>
        <w:tc>
          <w:tcPr>
            <w:tcW w:w="8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(22,626)</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(15,582)</w:t>
            </w:r>
          </w:p>
        </w:tc>
      </w:tr>
      <w:tr>
        <w:trPr>
          <w:trHeight w:val="26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282,842</w:t>
            </w:r>
          </w:p>
        </w:tc>
        <w:tc>
          <w:tcPr>
            <w:tcW w:w="8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259,139</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as a percentage of revenues</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7"/>
        </w:trPr>
        <w:tc>
          <w:tcPr>
            <w:tcW w:w="80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2024, our principal source of liquidity was cash, cash equivalents and marketable securities of $575.3 million, including $119.9 million of cash held outside of the United States. The following summary of cash flows for the periods indicated have been derived from our consolidated financial statements included elsewhere in this report: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2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7"/>
        </w:trPr>
        <w:tc>
          <w:tcPr>
            <w:tcW w:w="8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7"/>
        </w:trPr>
        <w:tc>
          <w:tcPr>
            <w:tcW w:w="8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7"/>
        </w:trPr>
        <w:tc>
          <w:tcPr>
            <w:tcW w:w="8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80" w:type="dxa"/>
            <w:vAlign w:val="bottom"/>
          </w:tcPr>
          <w:p>
            <w:pPr>
              <w:spacing w:after="0"/>
              <w:rPr>
                <w:sz w:val="24"/>
                <w:szCs w:val="24"/>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244,094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244,605</w:t>
            </w: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(71,427)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(73,166)</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(145,650)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(141,493)</w:t>
            </w:r>
          </w:p>
        </w:tc>
      </w:tr>
      <w:tr>
        <w:trPr>
          <w:trHeight w:val="26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27,017</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29,946</w:t>
            </w:r>
          </w:p>
        </w:tc>
      </w:tr>
      <w:tr>
        <w:trPr>
          <w:trHeight w:val="21"/>
        </w:trPr>
        <w:tc>
          <w:tcPr>
            <w:tcW w:w="8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2024, we generated $243.9 million of cash from our net income, as adjusted for non-cash items mainly related to stock-based compensation expense, depreciation and amortization expense and deferred taxes, as compared to $226.4 million in 2023. In addition, we also generated $0.2 million of cash from working capital change in 2024, of which $11.7 million was related to the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increases in accounts receivable and deferred revenue due to the timing of collections and growth in billings, a $3.2 million increase in payables and accrued liabilities driven by the timing of payment, partially offset by a $14.7 million increase in prepaid expenses. In 2023, we generated $226.4 million of cash from our net income, as adjusted for non-cash items mainly related to stock-based compensation expense, depreciation and amortization expense and deferred taxes. In addition, we also generated $18.2 million of cash from working capital change in 2023, of which $22.7 million was related to the net increase in deferred revenue and accounts receivable due to the growth in billing and the timing of collections, partially offset by a $1.1 million decrease in payables and accrued liabilities and a $3.4 million increase in prepaid expenses primarily driven by the timing of payments.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2024, we used $59.1 million of cash for purchases of marketable securities net of sales and maturities, and used $12.3 million of cash in capital expenditures mainly related to computer equipment to support our growth and development and leasehold improvement for expansion of our office spaces and shared cloud platform facilities, as compared to the use of $64.4 million of cash for purchases of marketable securities net of sales and maturities, and the use of $8.8 million of cash in capital expenditures mainly related to computer equipment to support our growth and development in 2023.</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2024, we used $139.9 million of cash for share repurchases and $28.4 million of cash in payment of employee withholding taxes upon vesting of restricted stock units and $1.5 million payment of cash held in escrow as part of the Blue Hexagon acquisition on October 4, 2022, partially offset by $17.3 million of proceeds from employee exercise of stock options and $6.9 million of proceeds from issuance of common stock through our employee stock purchase plan ("ESPP"), as compared to $170.8 million of cash for share repurchase and $22.3 million of cash in payment of employee withholding taxes upon vesting of restricted stock units, partially offset by $45.6 million of proceeds from employee exercise of stock options and $6.1 million of proceeds from issuance of common stock through our ESPP in 2023.</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believe our existing cash and cash equivalents, marketable securities and our expected cash flow generated from operations will be sufficient to fund our operations for the next twelve months and beyond. If we repatriate funds from our foreign subsidiaries, we could be subject to foreign withholding taxes.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material cash requirements mainly include the following contractual and other obligations:</w:t>
      </w:r>
    </w:p>
    <w:p>
      <w:pPr>
        <w:spacing w:after="0" w:line="225" w:lineRule="exact"/>
        <w:rPr>
          <w:sz w:val="20"/>
          <w:szCs w:val="20"/>
          <w:color w:val="auto"/>
        </w:rPr>
      </w:pPr>
    </w:p>
    <w:p>
      <w:pPr>
        <w:jc w:val="both"/>
        <w:ind w:left="1140" w:right="20" w:hanging="322"/>
        <w:spacing w:after="0" w:line="257" w:lineRule="auto"/>
        <w:tabs>
          <w:tab w:leader="none" w:pos="11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lease obligations to make payments under our non-cancelable lease agreements for our facilities and shared cloud platforms. We had fixed operating lease payment obligations of $59.9 million as of December 31, 2024, with $13.5 million expected to be paid within the next 12 months.</w:t>
      </w:r>
    </w:p>
    <w:p>
      <w:pPr>
        <w:spacing w:after="0" w:line="1" w:lineRule="exact"/>
        <w:rPr>
          <w:rFonts w:ascii="Times New Roman" w:cs="Times New Roman" w:eastAsia="Times New Roman" w:hAnsi="Times New Roman"/>
          <w:sz w:val="18"/>
          <w:szCs w:val="18"/>
          <w:color w:val="auto"/>
        </w:rPr>
      </w:pPr>
    </w:p>
    <w:p>
      <w:pPr>
        <w:jc w:val="both"/>
        <w:ind w:left="1140" w:hanging="322"/>
        <w:spacing w:after="0" w:line="250" w:lineRule="auto"/>
        <w:tabs>
          <w:tab w:leader="none" w:pos="11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outflow for capital expenditures in 2025 is expected to be in a range of $8.0 million to $13.0 million. Our future capital requirements will depend on many factors, including our rate of revenue growth, the expansion of our sales and marketing activities, the timing, type and extent of our spending on research and development efforts, international expansion and investment in shared cloud platforms and cloud infrastructures. We may also seek to invest in or acquire complementary businesses or technologies.</w:t>
      </w:r>
    </w:p>
    <w:p>
      <w:pPr>
        <w:spacing w:after="0" w:line="1" w:lineRule="exact"/>
        <w:rPr>
          <w:rFonts w:ascii="Times New Roman" w:cs="Times New Roman" w:eastAsia="Times New Roman" w:hAnsi="Times New Roman"/>
          <w:sz w:val="18"/>
          <w:szCs w:val="18"/>
          <w:color w:val="auto"/>
        </w:rPr>
      </w:pPr>
    </w:p>
    <w:p>
      <w:pPr>
        <w:ind w:left="1140" w:hanging="322"/>
        <w:spacing w:after="0" w:line="260" w:lineRule="auto"/>
        <w:tabs>
          <w:tab w:leader="none" w:pos="11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non-cancelable purchase obligations related to cloud infrastructures and other service providers totaled $70.5 million, of which $39.2 million is expected to be paid within the next 12 months.</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expect to continue to use cash to repurchase shares in 2025 under our share repurchase program authorized by our board of directors on February 5, 2018. As of December 31, 2024, approximately $143.4 million remained available under our share repurchase program. Shares will be repurchased from time to time in privately negotiated transactions or on the open market in accordance with Rule 10b-18 of the Exchange Act of 1934, including pursuant to a pre-set trading plan adopted in accordance with Rule 10b5-1 under the Exchange Act. On February 6, 2025, we announced that our board of directors authorized an additional $200.0 million under the share repurchase program, increasing the total amount of authorized repurchase to $1.4 billion.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accordance with U.S. GAAP requires us to make estimates and assumptions that affect the reported amounts of assets, liabilities, revenues, expenses and related disclosures. Our significant</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accounting policies are described in Note 1 - The Company and Summary of Significant Accounting Policies in the accompanying notes to the consolidated financial statements included in Part II, Item 8, "Financial Statements and Supplementary Data" of this Annual Report on Form 10-K. On an ongoing basis, we evaluate our estimates and assumptions based on historical and anticipated results and trends that we believe represent our best estimate under the circumstances. However, as accounting estimates are subject to inherent uncertainty, our actual results may differ from these estimates under different assumptions or conditions.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Significant assumptions, judgments and estimates are involved in determining our provision for (benefit from) income taxes, our deferred tax assets and liabilities, and any valuation allowance to be recorded against our deferred tax assets. Our judgments, assumptions and estimates relating to the current provision for income taxes include the geographic mix and amount of income (loss), expectations of future income, our interpretation of current tax laws, our business, and possible outcomes of current and future audits conducted by foreign and domestic tax authorities. Our judgments also include anticipating the tax positions we will record in the financial statements before preparing and filing the tax returns. Our estimates and assumptions may differ from the actual results as reflected in our income tax returns and we record the required adjustments when they are identified or resolved. Changes in our business and tax laws or our interpretation of those, and developments in current and future tax audits, could significantly impact the amounts provided for income taxes in our results of operations, financial position, or cash flows.</w:t>
      </w:r>
    </w:p>
    <w:p>
      <w:pPr>
        <w:spacing w:after="0" w:line="19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assessment of tax effects of our uncertain tax positions in our financial statements involves significant judgment in interpreting complex and ambiguous tax laws, regulations, and administrative practices, determining the probability of various possible settlement outcomes, evaluating the litigation process based on tax authority behaviors in similar cases, and estimating the likelihood that another taxing authority could review the respective tax position. These judgments are inherently challenging and subjective because a taxing authority may change its behavior at any time. We must also determine when it is reasonably possible that the amount of unrecognized tax benefits will significantly increase or decrease in the 12 months after each fiscal year-end. We reevaluate our income tax positions on a quarterly basis to consider factors such as changes in facts or circumstances, changes in tax laws, effectively settled issues under audit, the potential for interest and penalties, and new audit activity. Such a change in recognition or measurement would result in recognition of a tax benefit or an additional charge to the tax provision that could be material in the future.</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recognize the fair value of our employee stock options and restricted stock units, including performance-based restricted stock units, over the requisite service period. The fair value of each stock option is estimated on date of grant using the Black-Scholes-Merton option pricing model. Determining the appropriate fair value model and calculating the fair value of employee stock options requires the use of subjective assumptions, including the expected life of the stock option and stock price volatility. The recognition of expenses for performance based restricted stock units requires us to estimate the probability that the performance condition will be achieved and the number of awards that will vest are adjusted accordingly at each reporting period. The assumptions used in calculating the fair value of employee stock options and estimating the probability of achievement of performance metrics represent management’s best estimates, which require significant judgment and involve inherent uncertainties. If factors change and we use different assumptions, our stock-based compensation expense could be materially different in the future.</w:t>
      </w:r>
    </w:p>
    <w:p>
      <w:pPr>
        <w:spacing w:after="0" w:line="18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results of operations and cash flows have been and will continue to be subject to fluctuations because of changes in foreign currency exchange rates, particularly changes in exchange rates between the U.S. Dollar and the EUR, GBP, INR and Canadian Dollar ("C$" or "CAD"), the currencies of countries where we currently have our most significant international operations. We enter into foreign currency forward contracts to reduce our exposure to foreign currency exchange rate fluctuations related to forecasted subscription revenue, operating expenses and foreign currency denominated assets or liabilities. As of December 31, 2024, we had designated cash flow hedge forward contracts with notional amounts of €51.4 million, £20.3 million and Rs.4,381.0 million and non-designated forward contracts with notional amounts of €27.0 million, £8.0 million, Rs.1,252.0</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million and C$1.0 million. With our hedging strategy applied, the effect of an immediate 10% adverse change in foreign exchange rates would not be material to our financial condition, operating results or cash flows.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had $575.3 million in cash, cash equivalents and short-term and long-term marketable securities as of December 31, 2024. Our exposure to market risk for changes in interest rates primarily relates to our cash and cash equivalents and marketable securities. Our cash equivalents and marketable securities are held in money market funds, fixed-income U.S. Treasury and government agency securities, commercial paper, corporate bonds and asset-backed securities. The primary objectives of our investment activities are the preservation of principal and support of our liquidity requirements. We do not invest for trading or speculative purposes. Our marketable securities are subject to market risk due to changes in interest rates, which may affect the interest income we earn and the fair market value. As of December 31, 2024, a hypothetical 100 basis point increase in interest rate would not result in a material decrease in the fair value of our marketable securities.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101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47"/>
        </w:trPr>
        <w:tc>
          <w:tcPr>
            <w:tcW w:w="101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80" w:type="dxa"/>
            <w:vAlign w:val="bottom"/>
            <w:gridSpan w:val="2"/>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9"/>
              </w:rPr>
              <w:t>Qualys, Inc.</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960" w:type="dxa"/>
            <w:vAlign w:val="bottom"/>
            <w:gridSpan w:val="4"/>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80" w:type="dxa"/>
            <w:vAlign w:val="bottom"/>
            <w:gridSpan w:val="2"/>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7"/>
        </w:trPr>
        <w:tc>
          <w:tcPr>
            <w:tcW w:w="20" w:type="dxa"/>
            <w:vAlign w:val="bottom"/>
          </w:tcPr>
          <w:p>
            <w:pPr>
              <w:spacing w:after="0"/>
              <w:rPr>
                <w:sz w:val="2"/>
                <w:szCs w:val="2"/>
                <w:color w:val="auto"/>
              </w:rPr>
            </w:pPr>
          </w:p>
        </w:tc>
        <w:tc>
          <w:tcPr>
            <w:tcW w:w="210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101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Reports of Independent Registered Public Accounting Firm (PCAOB ID Number 248)</w:t>
            </w:r>
          </w:p>
        </w:tc>
        <w:tc>
          <w:tcPr>
            <w:tcW w:w="108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9"/>
              </w:rPr>
              <w:t>53</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4140" w:type="dxa"/>
            <w:vAlign w:val="bottom"/>
            <w:gridSpan w:val="6"/>
          </w:tcPr>
          <w:p>
            <w:pPr>
              <w:spacing w:after="0"/>
              <w:rPr>
                <w:sz w:val="21"/>
                <w:szCs w:val="21"/>
                <w:color w:val="auto"/>
              </w:rPr>
            </w:pPr>
          </w:p>
        </w:tc>
        <w:tc>
          <w:tcPr>
            <w:tcW w:w="3880" w:type="dxa"/>
            <w:vAlign w:val="bottom"/>
          </w:tcPr>
          <w:p>
            <w:pPr>
              <w:spacing w:after="0"/>
              <w:rPr>
                <w:sz w:val="21"/>
                <w:szCs w:val="21"/>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55</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7300" w:type="dxa"/>
            <w:vAlign w:val="bottom"/>
            <w:gridSpan w:val="6"/>
          </w:tcPr>
          <w:p>
            <w:pPr>
              <w:spacing w:after="0"/>
              <w:rPr>
                <w:sz w:val="21"/>
                <w:szCs w:val="21"/>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56</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1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57</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860" w:type="dxa"/>
            <w:vAlign w:val="bottom"/>
            <w:gridSpan w:val="3"/>
          </w:tcPr>
          <w:p>
            <w:pPr>
              <w:spacing w:after="0"/>
              <w:rPr>
                <w:sz w:val="21"/>
                <w:szCs w:val="21"/>
                <w:color w:val="auto"/>
              </w:rPr>
            </w:pPr>
          </w:p>
        </w:tc>
        <w:tc>
          <w:tcPr>
            <w:tcW w:w="6380" w:type="dxa"/>
            <w:vAlign w:val="bottom"/>
            <w:gridSpan w:val="2"/>
          </w:tcPr>
          <w:p>
            <w:pPr>
              <w:spacing w:after="0"/>
              <w:rPr>
                <w:sz w:val="21"/>
                <w:szCs w:val="21"/>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58</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1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59</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1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60" w:type="dxa"/>
            <w:vAlign w:val="bottom"/>
          </w:tcPr>
          <w:p>
            <w:pPr>
              <w:spacing w:after="0"/>
              <w:rPr>
                <w:sz w:val="21"/>
                <w:szCs w:val="21"/>
                <w:color w:val="auto"/>
              </w:rPr>
            </w:pPr>
          </w:p>
        </w:tc>
        <w:tc>
          <w:tcPr>
            <w:tcW w:w="6600" w:type="dxa"/>
            <w:vAlign w:val="bottom"/>
            <w:gridSpan w:val="3"/>
          </w:tcPr>
          <w:p>
            <w:pPr>
              <w:spacing w:after="0"/>
              <w:rPr>
                <w:sz w:val="21"/>
                <w:szCs w:val="21"/>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60</w:t>
            </w:r>
          </w:p>
        </w:tc>
        <w:tc>
          <w:tcPr>
            <w:tcW w:w="20" w:type="dxa"/>
            <w:vAlign w:val="bottom"/>
          </w:tcPr>
          <w:p>
            <w:pPr>
              <w:spacing w:after="0"/>
              <w:rPr>
                <w:sz w:val="21"/>
                <w:szCs w:val="21"/>
                <w:color w:val="auto"/>
              </w:rPr>
            </w:pPr>
          </w:p>
        </w:tc>
      </w:tr>
      <w:tr>
        <w:trPr>
          <w:trHeight w:val="952"/>
        </w:trPr>
        <w:tc>
          <w:tcPr>
            <w:tcW w:w="20" w:type="dxa"/>
            <w:vAlign w:val="bottom"/>
          </w:tcPr>
          <w:p>
            <w:pPr>
              <w:spacing w:after="0"/>
              <w:rPr>
                <w:sz w:val="24"/>
                <w:szCs w:val="24"/>
                <w:color w:val="auto"/>
              </w:rPr>
            </w:pPr>
          </w:p>
        </w:tc>
        <w:tc>
          <w:tcPr>
            <w:tcW w:w="3160" w:type="dxa"/>
            <w:vAlign w:val="bottom"/>
            <w:tcBorders>
              <w:top w:val="single" w:sz="8" w:color="0000FF"/>
            </w:tcBorders>
            <w:gridSpan w:val="5"/>
          </w:tcPr>
          <w:p>
            <w:pPr>
              <w:spacing w:after="0"/>
              <w:rPr>
                <w:sz w:val="24"/>
                <w:szCs w:val="24"/>
                <w:color w:val="auto"/>
              </w:rPr>
            </w:pPr>
          </w:p>
        </w:tc>
        <w:tc>
          <w:tcPr>
            <w:tcW w:w="3080" w:type="dxa"/>
            <w:vAlign w:val="bottom"/>
            <w:gridSpan w:val="3"/>
          </w:tcPr>
          <w:p>
            <w:pPr>
              <w:jc w:val="center"/>
              <w:ind w:left="1730"/>
              <w:spacing w:after="0"/>
              <w:rPr>
                <w:sz w:val="20"/>
                <w:szCs w:val="20"/>
                <w:color w:val="auto"/>
              </w:rPr>
            </w:pPr>
            <w:r>
              <w:rPr>
                <w:rFonts w:ascii="Times New Roman" w:cs="Times New Roman" w:eastAsia="Times New Roman" w:hAnsi="Times New Roman"/>
                <w:sz w:val="18"/>
                <w:szCs w:val="18"/>
                <w:color w:val="auto"/>
                <w:w w:val="99"/>
              </w:rPr>
              <w:t>52</w:t>
            </w:r>
          </w:p>
        </w:tc>
        <w:tc>
          <w:tcPr>
            <w:tcW w:w="3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Qualys,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Qualys, Inc. (a Delaware corporation) and subsidiaries (the “Company”) as of December 31, 2024 and 2023, the related consolidated statements of operations, comprehensive income,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2024,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February 21, 2025 expressed an unqualified opinion.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accounting principle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 discussed in Note 1 to the consolidated financial statements, the Company has adopted new accounting guidance in 2024 related to the disclosure of segment information in accordance with Accounting Standards Update ("ASU") 2023-07, </w:t>
      </w:r>
      <w:r>
        <w:rPr>
          <w:rFonts w:ascii="Times New Roman" w:cs="Times New Roman" w:eastAsia="Times New Roman" w:hAnsi="Times New Roman"/>
          <w:sz w:val="18"/>
          <w:szCs w:val="18"/>
          <w:i w:val="1"/>
          <w:iCs w:val="1"/>
          <w:color w:val="auto"/>
        </w:rPr>
        <w:t>Segment Reporting (Topic 280)</w:t>
      </w:r>
      <w:r>
        <w:rPr>
          <w:rFonts w:ascii="Times New Roman" w:cs="Times New Roman" w:eastAsia="Times New Roman" w:hAnsi="Times New Roman"/>
          <w:sz w:val="18"/>
          <w:szCs w:val="18"/>
          <w:color w:val="auto"/>
        </w:rPr>
        <w:t>. The adoption was retrospectively applied to 2023 and 2022.</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2025</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Qualys,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Qualys, Inc. (a Delaware corporation) and subsidiaries (the “Company”) as of December 31, 2024,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COSO.</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Company as of and for the year ended December 31, 2024, and our report dated February 21, 2025 expressed an unqualified opinion on those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2025</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Qualys,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232,182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203,665</w:t>
            </w:r>
          </w:p>
        </w:tc>
        <w:tc>
          <w:tcPr>
            <w:tcW w:w="0" w:type="dxa"/>
            <w:vAlign w:val="bottom"/>
          </w:tcPr>
          <w:p>
            <w:pPr>
              <w:spacing w:after="0"/>
              <w:rPr>
                <w:sz w:val="1"/>
                <w:szCs w:val="1"/>
                <w:color w:val="auto"/>
              </w:rPr>
            </w:pP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149,241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221,893</w:t>
            </w:r>
          </w:p>
        </w:tc>
        <w:tc>
          <w:tcPr>
            <w:tcW w:w="0" w:type="dxa"/>
            <w:vAlign w:val="bottom"/>
          </w:tcPr>
          <w:p>
            <w:pPr>
              <w:spacing w:after="0"/>
              <w:rPr>
                <w:sz w:val="1"/>
                <w:szCs w:val="1"/>
                <w:color w:val="auto"/>
              </w:rPr>
            </w:pP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of $1,064 and $778 as of December 31, 2024 and 2023, respectively</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164,551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146,226</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26,714</w:t>
            </w:r>
          </w:p>
        </w:tc>
        <w:tc>
          <w:tcPr>
            <w:tcW w:w="0" w:type="dxa"/>
            <w:vAlign w:val="bottom"/>
          </w:tcPr>
          <w:p>
            <w:pPr>
              <w:spacing w:after="0"/>
              <w:rPr>
                <w:sz w:val="1"/>
                <w:szCs w:val="1"/>
                <w:color w:val="auto"/>
              </w:rPr>
            </w:pPr>
          </w:p>
        </w:tc>
      </w:tr>
      <w:tr>
        <w:trPr>
          <w:trHeight w:val="237"/>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585,691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599,998</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193,887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56,644</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32,599</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 - right of use asset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22,391</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81,307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62,761</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9,715</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19,863</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973,537</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812,618</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3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43,096</w:t>
            </w:r>
          </w:p>
        </w:tc>
        <w:tc>
          <w:tcPr>
            <w:tcW w:w="0" w:type="dxa"/>
            <w:vAlign w:val="bottom"/>
          </w:tcPr>
          <w:p>
            <w:pPr>
              <w:spacing w:after="0"/>
              <w:rPr>
                <w:sz w:val="1"/>
                <w:szCs w:val="1"/>
                <w:color w:val="auto"/>
              </w:rPr>
            </w:pP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revenues, current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371,457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333,267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11,857</w:t>
            </w:r>
          </w:p>
        </w:tc>
        <w:tc>
          <w:tcPr>
            <w:tcW w:w="0" w:type="dxa"/>
            <w:vAlign w:val="bottom"/>
          </w:tcPr>
          <w:p>
            <w:pPr>
              <w:spacing w:after="0"/>
              <w:rPr>
                <w:sz w:val="1"/>
                <w:szCs w:val="1"/>
                <w:color w:val="auto"/>
              </w:rPr>
            </w:pPr>
          </w:p>
        </w:tc>
      </w:tr>
      <w:tr>
        <w:trPr>
          <w:trHeight w:val="237"/>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428,390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389,208</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revenues, noncurrent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31,671</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16,885</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6,680</w:t>
            </w:r>
          </w:p>
        </w:tc>
        <w:tc>
          <w:tcPr>
            <w:tcW w:w="0" w:type="dxa"/>
            <w:vAlign w:val="bottom"/>
          </w:tcPr>
          <w:p>
            <w:pPr>
              <w:spacing w:after="0"/>
              <w:rPr>
                <w:sz w:val="1"/>
                <w:szCs w:val="1"/>
                <w:color w:val="auto"/>
              </w:rPr>
            </w:pPr>
          </w:p>
        </w:tc>
      </w:tr>
      <w:tr>
        <w:trPr>
          <w:trHeight w:val="237"/>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496,421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444,444</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20,000 shares authorized, no shares issued and outstanding as of</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2024 and 2023</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$0.001 par value; 1,000,000 shares authorized, 36,503 and 36,909 shares issued and outstanding</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of December 31, 2024 and 2023, respectively</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664,879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597,921</w:t>
            </w:r>
          </w:p>
        </w:tc>
        <w:tc>
          <w:tcPr>
            <w:tcW w:w="0" w:type="dxa"/>
            <w:vAlign w:val="bottom"/>
          </w:tcPr>
          <w:p>
            <w:pPr>
              <w:spacing w:after="0"/>
              <w:rPr>
                <w:sz w:val="1"/>
                <w:szCs w:val="1"/>
                <w:color w:val="auto"/>
              </w:rPr>
            </w:pP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(189,217)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(228,080)</w:t>
            </w:r>
          </w:p>
        </w:tc>
        <w:tc>
          <w:tcPr>
            <w:tcW w:w="0" w:type="dxa"/>
            <w:vAlign w:val="bottom"/>
          </w:tcPr>
          <w:p>
            <w:pPr>
              <w:spacing w:after="0"/>
              <w:rPr>
                <w:sz w:val="1"/>
                <w:szCs w:val="1"/>
                <w:color w:val="auto"/>
              </w:rPr>
            </w:pPr>
          </w:p>
        </w:tc>
      </w:tr>
      <w:tr>
        <w:trPr>
          <w:trHeight w:val="236"/>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477,116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368,174</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973,537</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812,618</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20"/>
          </w:cols>
          <w:pgMar w:left="320" w:top="33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Qualys,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40" w:type="dxa"/>
            <w:vAlign w:val="bottom"/>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489,723</w:t>
            </w:r>
          </w:p>
        </w:tc>
        <w:tc>
          <w:tcPr>
            <w:tcW w:w="0" w:type="dxa"/>
            <w:vAlign w:val="bottom"/>
          </w:tcPr>
          <w:p>
            <w:pPr>
              <w:spacing w:after="0"/>
              <w:rPr>
                <w:sz w:val="1"/>
                <w:szCs w:val="1"/>
                <w:color w:val="auto"/>
              </w:rPr>
            </w:pP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102,788</w:t>
            </w:r>
          </w:p>
        </w:tc>
        <w:tc>
          <w:tcPr>
            <w:tcW w:w="0" w:type="dxa"/>
            <w:vAlign w:val="bottom"/>
          </w:tcPr>
          <w:p>
            <w:pPr>
              <w:spacing w:after="0"/>
              <w:rPr>
                <w:sz w:val="1"/>
                <w:szCs w:val="1"/>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386,935</w:t>
            </w:r>
          </w:p>
        </w:tc>
        <w:tc>
          <w:tcPr>
            <w:tcW w:w="0" w:type="dxa"/>
            <w:vAlign w:val="bottom"/>
          </w:tcPr>
          <w:p>
            <w:pPr>
              <w:spacing w:after="0"/>
              <w:rPr>
                <w:sz w:val="1"/>
                <w:szCs w:val="1"/>
                <w:color w:val="auto"/>
              </w:rPr>
            </w:pP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101,186</w:t>
            </w:r>
          </w:p>
        </w:tc>
        <w:tc>
          <w:tcPr>
            <w:tcW w:w="0" w:type="dxa"/>
            <w:vAlign w:val="bottom"/>
          </w:tcPr>
          <w:p>
            <w:pPr>
              <w:spacing w:after="0"/>
              <w:rPr>
                <w:sz w:val="1"/>
                <w:szCs w:val="1"/>
                <w:color w:val="auto"/>
              </w:rPr>
            </w:pPr>
          </w:p>
        </w:tc>
      </w:tr>
      <w:tr>
        <w:trPr>
          <w:trHeight w:val="243"/>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97,221</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57,981</w:t>
            </w:r>
          </w:p>
        </w:tc>
        <w:tc>
          <w:tcPr>
            <w:tcW w:w="0" w:type="dxa"/>
            <w:vAlign w:val="bottom"/>
          </w:tcPr>
          <w:p>
            <w:pPr>
              <w:spacing w:after="0"/>
              <w:rPr>
                <w:sz w:val="1"/>
                <w:szCs w:val="1"/>
                <w:color w:val="auto"/>
              </w:rPr>
            </w:pPr>
          </w:p>
        </w:tc>
      </w:tr>
      <w:tr>
        <w:trPr>
          <w:trHeight w:val="237"/>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308,893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283,904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256,388</w:t>
            </w:r>
          </w:p>
        </w:tc>
        <w:tc>
          <w:tcPr>
            <w:tcW w:w="0" w:type="dxa"/>
            <w:vAlign w:val="bottom"/>
          </w:tcPr>
          <w:p>
            <w:pPr>
              <w:spacing w:after="0"/>
              <w:rPr>
                <w:sz w:val="1"/>
                <w:szCs w:val="1"/>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130,547</w:t>
            </w:r>
          </w:p>
        </w:tc>
        <w:tc>
          <w:tcPr>
            <w:tcW w:w="0" w:type="dxa"/>
            <w:vAlign w:val="bottom"/>
          </w:tcPr>
          <w:p>
            <w:pPr>
              <w:spacing w:after="0"/>
              <w:rPr>
                <w:sz w:val="1"/>
                <w:szCs w:val="1"/>
                <w:color w:val="auto"/>
              </w:rPr>
            </w:pP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w:t>
            </w:r>
          </w:p>
        </w:tc>
        <w:tc>
          <w:tcPr>
            <w:tcW w:w="0" w:type="dxa"/>
            <w:vAlign w:val="bottom"/>
          </w:tcPr>
          <w:p>
            <w:pPr>
              <w:spacing w:after="0"/>
              <w:rPr>
                <w:sz w:val="1"/>
                <w:szCs w:val="1"/>
                <w:color w:val="auto"/>
              </w:rPr>
            </w:pPr>
          </w:p>
        </w:tc>
      </w:tr>
      <w:tr>
        <w:trPr>
          <w:trHeight w:val="243"/>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0" w:type="dxa"/>
            <w:vAlign w:val="bottom"/>
          </w:tcPr>
          <w:p>
            <w:pPr>
              <w:spacing w:after="0"/>
              <w:rPr>
                <w:sz w:val="1"/>
                <w:szCs w:val="1"/>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income, net</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0" w:type="dxa"/>
            <w:vAlign w:val="bottom"/>
          </w:tcPr>
          <w:p>
            <w:pPr>
              <w:spacing w:after="0"/>
              <w:rPr>
                <w:sz w:val="1"/>
                <w:szCs w:val="1"/>
                <w:color w:val="auto"/>
              </w:rPr>
            </w:pPr>
          </w:p>
        </w:tc>
      </w:tr>
      <w:tr>
        <w:trPr>
          <w:trHeight w:val="237"/>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209,822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178,651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133,700</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25,708</w:t>
            </w:r>
          </w:p>
        </w:tc>
        <w:tc>
          <w:tcPr>
            <w:tcW w:w="0" w:type="dxa"/>
            <w:vAlign w:val="bottom"/>
          </w:tcPr>
          <w:p>
            <w:pPr>
              <w:spacing w:after="0"/>
              <w:rPr>
                <w:sz w:val="1"/>
                <w:szCs w:val="1"/>
                <w:color w:val="auto"/>
              </w:rPr>
            </w:pPr>
          </w:p>
        </w:tc>
      </w:tr>
      <w:tr>
        <w:trPr>
          <w:trHeight w:val="264"/>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173,680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151,595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107,992</w:t>
            </w:r>
          </w:p>
        </w:tc>
        <w:tc>
          <w:tcPr>
            <w:tcW w:w="0" w:type="dxa"/>
            <w:vAlign w:val="bottom"/>
          </w:tcPr>
          <w:p>
            <w:pPr>
              <w:spacing w:after="0"/>
              <w:rPr>
                <w:sz w:val="1"/>
                <w:szCs w:val="1"/>
                <w:color w:val="auto"/>
              </w:rPr>
            </w:pP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in computing net income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8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38,453</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37,353</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37,602</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39,344</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Qualys,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40" w:type="dxa"/>
            <w:vAlign w:val="bottom"/>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40" w:type="dxa"/>
            <w:vAlign w:val="bottom"/>
          </w:tcPr>
          <w:p>
            <w:pPr>
              <w:spacing w:after="0"/>
              <w:rPr>
                <w:sz w:val="20"/>
                <w:szCs w:val="20"/>
                <w:color w:val="auto"/>
              </w:rPr>
            </w:pPr>
          </w:p>
        </w:tc>
      </w:tr>
      <w:tr>
        <w:trPr>
          <w:trHeight w:val="27"/>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107,992</w:t>
            </w:r>
          </w:p>
        </w:tc>
      </w:tr>
      <w:tr>
        <w:trPr>
          <w:trHeight w:val="243"/>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 in unrealized gains (losses) on available-for-sale debt securities,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r>
      <w:tr>
        <w:trPr>
          <w:trHeight w:val="243"/>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change in unrealized gains (losses) on cash flow hedges, net of tax</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7"/>
        </w:trPr>
        <w:tc>
          <w:tcPr>
            <w:tcW w:w="6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6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r>
      <w:tr>
        <w:trPr>
          <w:trHeight w:val="26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176,801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151,838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105,038</w:t>
            </w:r>
          </w:p>
        </w:tc>
      </w:tr>
      <w:tr>
        <w:trPr>
          <w:trHeight w:val="20"/>
        </w:trPr>
        <w:tc>
          <w:tcPr>
            <w:tcW w:w="6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Qualys,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6"/>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8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from operating 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173,680</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151,595</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107,992</w:t>
            </w:r>
          </w:p>
        </w:tc>
        <w:tc>
          <w:tcPr>
            <w:tcW w:w="0" w:type="dxa"/>
            <w:vAlign w:val="bottom"/>
          </w:tcPr>
          <w:p>
            <w:pPr>
              <w:spacing w:after="0"/>
              <w:rPr>
                <w:sz w:val="1"/>
                <w:szCs w:val="1"/>
                <w:color w:val="auto"/>
              </w:rPr>
            </w:pPr>
          </w:p>
        </w:tc>
      </w:tr>
      <w:tr>
        <w:trPr>
          <w:trHeight w:val="253"/>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26,991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34,622</w:t>
            </w:r>
          </w:p>
        </w:tc>
        <w:tc>
          <w:tcPr>
            <w:tcW w:w="0" w:type="dxa"/>
            <w:vAlign w:val="bottom"/>
          </w:tcPr>
          <w:p>
            <w:pPr>
              <w:spacing w:after="0"/>
              <w:rPr>
                <w:sz w:val="1"/>
                <w:szCs w:val="1"/>
                <w:color w:val="auto"/>
              </w:rPr>
            </w:pPr>
          </w:p>
        </w:tc>
      </w:tr>
      <w:tr>
        <w:trPr>
          <w:trHeight w:val="253"/>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0" w:type="dxa"/>
            <w:vAlign w:val="bottom"/>
          </w:tcPr>
          <w:p>
            <w:pPr>
              <w:spacing w:after="0"/>
              <w:rPr>
                <w:sz w:val="1"/>
                <w:szCs w:val="1"/>
                <w:color w:val="auto"/>
              </w:rPr>
            </w:pPr>
          </w:p>
        </w:tc>
      </w:tr>
      <w:tr>
        <w:trPr>
          <w:trHeight w:val="233"/>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3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53"/>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 non-marketable securities</w:t>
            </w:r>
          </w:p>
        </w:tc>
        <w:tc>
          <w:tcPr>
            <w:tcW w:w="3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Stock-based compensation, net of amounts capitalized</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77,133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69,079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53,408</w:t>
            </w:r>
          </w:p>
        </w:tc>
        <w:tc>
          <w:tcPr>
            <w:tcW w:w="0" w:type="dxa"/>
            <w:vAlign w:val="bottom"/>
          </w:tcPr>
          <w:p>
            <w:pPr>
              <w:spacing w:after="0"/>
              <w:rPr>
                <w:sz w:val="1"/>
                <w:szCs w:val="1"/>
                <w:color w:val="auto"/>
              </w:rPr>
            </w:pPr>
          </w:p>
        </w:tc>
      </w:tr>
      <w:tr>
        <w:trPr>
          <w:trHeight w:val="253"/>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(accretion) of premiums (discount) on marketable securities, net</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0" w:type="dxa"/>
            <w:vAlign w:val="bottom"/>
          </w:tcPr>
          <w:p>
            <w:pPr>
              <w:spacing w:after="0"/>
              <w:rPr>
                <w:sz w:val="1"/>
                <w:szCs w:val="1"/>
                <w:color w:val="auto"/>
              </w:rPr>
            </w:pPr>
          </w:p>
        </w:tc>
      </w:tr>
      <w:tr>
        <w:trPr>
          <w:trHeight w:val="233"/>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(19,465)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(16,636)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(20,251)</w:t>
            </w:r>
          </w:p>
        </w:tc>
        <w:tc>
          <w:tcPr>
            <w:tcW w:w="0" w:type="dxa"/>
            <w:vAlign w:val="bottom"/>
          </w:tcPr>
          <w:p>
            <w:pPr>
              <w:spacing w:after="0"/>
              <w:rPr>
                <w:sz w:val="1"/>
                <w:szCs w:val="1"/>
                <w:color w:val="auto"/>
              </w:rPr>
            </w:pPr>
          </w:p>
        </w:tc>
      </w:tr>
      <w:tr>
        <w:trPr>
          <w:trHeight w:val="253"/>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8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(19,089)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(24,978)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(13,387)</w:t>
            </w:r>
          </w:p>
        </w:tc>
        <w:tc>
          <w:tcPr>
            <w:tcW w:w="0" w:type="dxa"/>
            <w:vAlign w:val="bottom"/>
          </w:tcPr>
          <w:p>
            <w:pPr>
              <w:spacing w:after="0"/>
              <w:rPr>
                <w:sz w:val="1"/>
                <w:szCs w:val="1"/>
                <w:color w:val="auto"/>
              </w:rPr>
            </w:pPr>
          </w:p>
        </w:tc>
      </w:tr>
      <w:tr>
        <w:trPr>
          <w:trHeight w:val="253"/>
        </w:trPr>
        <w:tc>
          <w:tcPr>
            <w:tcW w:w="6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3,878</w:t>
            </w:r>
          </w:p>
        </w:tc>
        <w:tc>
          <w:tcPr>
            <w:tcW w:w="0" w:type="dxa"/>
            <w:vAlign w:val="bottom"/>
          </w:tcPr>
          <w:p>
            <w:pPr>
              <w:spacing w:after="0"/>
              <w:rPr>
                <w:sz w:val="1"/>
                <w:szCs w:val="1"/>
                <w:color w:val="auto"/>
              </w:rPr>
            </w:pPr>
          </w:p>
        </w:tc>
      </w:tr>
      <w:tr>
        <w:trPr>
          <w:trHeight w:val="233"/>
        </w:trPr>
        <w:tc>
          <w:tcPr>
            <w:tcW w:w="68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0" w:type="dxa"/>
            <w:vAlign w:val="bottom"/>
          </w:tcPr>
          <w:p>
            <w:pPr>
              <w:spacing w:after="0"/>
              <w:rPr>
                <w:sz w:val="1"/>
                <w:szCs w:val="1"/>
                <w:color w:val="auto"/>
              </w:rPr>
            </w:pPr>
          </w:p>
        </w:tc>
      </w:tr>
      <w:tr>
        <w:trPr>
          <w:trHeight w:val="253"/>
        </w:trPr>
        <w:tc>
          <w:tcPr>
            <w:tcW w:w="6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Accrued liabilities and other noncurrent liabilities</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3,867</w:t>
            </w:r>
          </w:p>
        </w:tc>
        <w:tc>
          <w:tcPr>
            <w:tcW w:w="0" w:type="dxa"/>
            <w:vAlign w:val="bottom"/>
          </w:tcPr>
          <w:p>
            <w:pPr>
              <w:spacing w:after="0"/>
              <w:rPr>
                <w:sz w:val="1"/>
                <w:szCs w:val="1"/>
                <w:color w:val="auto"/>
              </w:rPr>
            </w:pPr>
          </w:p>
        </w:tc>
      </w:tr>
      <w:tr>
        <w:trPr>
          <w:trHeight w:val="236"/>
        </w:trPr>
        <w:tc>
          <w:tcPr>
            <w:tcW w:w="68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Deferred revenues</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30,784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47,720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25,189</w:t>
            </w:r>
          </w:p>
        </w:tc>
        <w:tc>
          <w:tcPr>
            <w:tcW w:w="0" w:type="dxa"/>
            <w:vAlign w:val="bottom"/>
          </w:tcPr>
          <w:p>
            <w:pPr>
              <w:spacing w:after="0"/>
              <w:rPr>
                <w:sz w:val="1"/>
                <w:szCs w:val="1"/>
                <w:color w:val="auto"/>
              </w:rPr>
            </w:pPr>
          </w:p>
        </w:tc>
      </w:tr>
      <w:tr>
        <w:trPr>
          <w:trHeight w:val="243"/>
        </w:trPr>
        <w:tc>
          <w:tcPr>
            <w:tcW w:w="6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244,094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244,605</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198,854</w:t>
            </w: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 from investing activities: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(368,277)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(306,812)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(178,788)</w:t>
            </w:r>
          </w:p>
        </w:tc>
        <w:tc>
          <w:tcPr>
            <w:tcW w:w="0" w:type="dxa"/>
            <w:vAlign w:val="bottom"/>
          </w:tcPr>
          <w:p>
            <w:pPr>
              <w:spacing w:after="0"/>
              <w:rPr>
                <w:sz w:val="1"/>
                <w:szCs w:val="1"/>
                <w:color w:val="auto"/>
              </w:rPr>
            </w:pPr>
          </w:p>
        </w:tc>
      </w:tr>
      <w:tr>
        <w:trPr>
          <w:trHeight w:val="233"/>
        </w:trPr>
        <w:tc>
          <w:tcPr>
            <w:tcW w:w="6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Sales and maturities of marketable securities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309,184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242,432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347,837</w:t>
            </w:r>
          </w:p>
        </w:tc>
        <w:tc>
          <w:tcPr>
            <w:tcW w:w="0" w:type="dxa"/>
            <w:vAlign w:val="bottom"/>
          </w:tcPr>
          <w:p>
            <w:pPr>
              <w:spacing w:after="0"/>
              <w:rPr>
                <w:sz w:val="1"/>
                <w:szCs w:val="1"/>
                <w:color w:val="auto"/>
              </w:rPr>
            </w:pPr>
          </w:p>
        </w:tc>
      </w:tr>
      <w:tr>
        <w:trPr>
          <w:trHeight w:val="253"/>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(15,361)</w:t>
            </w:r>
          </w:p>
        </w:tc>
        <w:tc>
          <w:tcPr>
            <w:tcW w:w="0" w:type="dxa"/>
            <w:vAlign w:val="bottom"/>
          </w:tcPr>
          <w:p>
            <w:pPr>
              <w:spacing w:after="0"/>
              <w:rPr>
                <w:sz w:val="1"/>
                <w:szCs w:val="1"/>
                <w:color w:val="auto"/>
              </w:rPr>
            </w:pPr>
          </w:p>
        </w:tc>
      </w:tr>
      <w:tr>
        <w:trPr>
          <w:trHeight w:val="236"/>
        </w:trPr>
        <w:tc>
          <w:tcPr>
            <w:tcW w:w="6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Purchases of intangible assets</w:t>
            </w:r>
          </w:p>
        </w:tc>
        <w:tc>
          <w:tcPr>
            <w:tcW w:w="3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(8,620)</w:t>
            </w:r>
          </w:p>
        </w:tc>
        <w:tc>
          <w:tcPr>
            <w:tcW w:w="0" w:type="dxa"/>
            <w:vAlign w:val="bottom"/>
          </w:tcPr>
          <w:p>
            <w:pPr>
              <w:spacing w:after="0"/>
              <w:rPr>
                <w:sz w:val="1"/>
                <w:szCs w:val="1"/>
                <w:color w:val="auto"/>
              </w:rPr>
            </w:pPr>
          </w:p>
        </w:tc>
      </w:tr>
      <w:tr>
        <w:trPr>
          <w:trHeight w:val="243"/>
        </w:trPr>
        <w:tc>
          <w:tcPr>
            <w:tcW w:w="682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(71,427)</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(73,166)</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145,068</w:t>
            </w: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 from financing activities: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(139,875)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(170,800)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(317,344)</w:t>
            </w:r>
          </w:p>
        </w:tc>
        <w:tc>
          <w:tcPr>
            <w:tcW w:w="0" w:type="dxa"/>
            <w:vAlign w:val="bottom"/>
          </w:tcPr>
          <w:p>
            <w:pPr>
              <w:spacing w:after="0"/>
              <w:rPr>
                <w:sz w:val="1"/>
                <w:szCs w:val="1"/>
                <w:color w:val="auto"/>
              </w:rPr>
            </w:pPr>
          </w:p>
        </w:tc>
      </w:tr>
      <w:tr>
        <w:trPr>
          <w:trHeight w:val="233"/>
        </w:trPr>
        <w:tc>
          <w:tcPr>
            <w:tcW w:w="6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45,576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24,483</w:t>
            </w:r>
          </w:p>
        </w:tc>
        <w:tc>
          <w:tcPr>
            <w:tcW w:w="0" w:type="dxa"/>
            <w:vAlign w:val="bottom"/>
          </w:tcPr>
          <w:p>
            <w:pPr>
              <w:spacing w:after="0"/>
              <w:rPr>
                <w:sz w:val="1"/>
                <w:szCs w:val="1"/>
                <w:color w:val="auto"/>
              </w:rPr>
            </w:pPr>
          </w:p>
        </w:tc>
      </w:tr>
      <w:tr>
        <w:trPr>
          <w:trHeight w:val="253"/>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Payments for taxes related to net share settlement of equity awards</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(28,416)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(22,346)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(17,615)</w:t>
            </w:r>
          </w:p>
        </w:tc>
        <w:tc>
          <w:tcPr>
            <w:tcW w:w="0" w:type="dxa"/>
            <w:vAlign w:val="bottom"/>
          </w:tcPr>
          <w:p>
            <w:pPr>
              <w:spacing w:after="0"/>
              <w:rPr>
                <w:sz w:val="1"/>
                <w:szCs w:val="1"/>
                <w:color w:val="auto"/>
              </w:rPr>
            </w:pPr>
          </w:p>
        </w:tc>
      </w:tr>
      <w:tr>
        <w:trPr>
          <w:trHeight w:val="233"/>
        </w:trPr>
        <w:tc>
          <w:tcPr>
            <w:tcW w:w="6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issuance of common stock through employee stock purchase plan</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4,445</w:t>
            </w:r>
          </w:p>
        </w:tc>
        <w:tc>
          <w:tcPr>
            <w:tcW w:w="0" w:type="dxa"/>
            <w:vAlign w:val="bottom"/>
          </w:tcPr>
          <w:p>
            <w:pPr>
              <w:spacing w:after="0"/>
              <w:rPr>
                <w:sz w:val="1"/>
                <w:szCs w:val="1"/>
                <w:color w:val="auto"/>
              </w:rPr>
            </w:pPr>
          </w:p>
        </w:tc>
      </w:tr>
      <w:tr>
        <w:trPr>
          <w:trHeight w:val="24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 of acquisition-related holdback</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68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(145,650)</w:t>
            </w:r>
          </w:p>
        </w:tc>
        <w:tc>
          <w:tcPr>
            <w:tcW w:w="1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(141,493)</w:t>
            </w:r>
          </w:p>
        </w:tc>
        <w:tc>
          <w:tcPr>
            <w:tcW w:w="1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(306,031)</w:t>
            </w:r>
          </w:p>
        </w:tc>
        <w:tc>
          <w:tcPr>
            <w:tcW w:w="0" w:type="dxa"/>
            <w:vAlign w:val="bottom"/>
          </w:tcPr>
          <w:p>
            <w:pPr>
              <w:spacing w:after="0"/>
              <w:rPr>
                <w:sz w:val="1"/>
                <w:szCs w:val="1"/>
                <w:color w:val="auto"/>
              </w:rPr>
            </w:pPr>
          </w:p>
        </w:tc>
      </w:tr>
      <w:tr>
        <w:trPr>
          <w:trHeight w:val="24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27,017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29,946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37,891</w:t>
            </w:r>
          </w:p>
        </w:tc>
        <w:tc>
          <w:tcPr>
            <w:tcW w:w="0" w:type="dxa"/>
            <w:vAlign w:val="bottom"/>
          </w:tcPr>
          <w:p>
            <w:pPr>
              <w:spacing w:after="0"/>
              <w:rPr>
                <w:sz w:val="1"/>
                <w:szCs w:val="1"/>
                <w:color w:val="auto"/>
              </w:rPr>
            </w:pPr>
          </w:p>
        </w:tc>
      </w:tr>
      <w:tr>
        <w:trPr>
          <w:trHeight w:val="237"/>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206,365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176,419</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138,528</w:t>
            </w:r>
          </w:p>
        </w:tc>
        <w:tc>
          <w:tcPr>
            <w:tcW w:w="0" w:type="dxa"/>
            <w:vAlign w:val="bottom"/>
          </w:tcPr>
          <w:p>
            <w:pPr>
              <w:spacing w:after="0"/>
              <w:rPr>
                <w:sz w:val="1"/>
                <w:szCs w:val="1"/>
                <w:color w:val="auto"/>
              </w:rPr>
            </w:pPr>
          </w:p>
        </w:tc>
      </w:tr>
      <w:tr>
        <w:trPr>
          <w:trHeight w:val="26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233,382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206,365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176,419</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8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paid for income taxes, net of refunds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60,554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34,920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39,739</w:t>
            </w:r>
          </w:p>
        </w:tc>
        <w:tc>
          <w:tcPr>
            <w:tcW w:w="0" w:type="dxa"/>
            <w:vAlign w:val="bottom"/>
          </w:tcPr>
          <w:p>
            <w:pPr>
              <w:spacing w:after="0"/>
              <w:rPr>
                <w:sz w:val="1"/>
                <w:szCs w:val="1"/>
                <w:color w:val="auto"/>
              </w:rPr>
            </w:pPr>
          </w:p>
        </w:tc>
      </w:tr>
      <w:tr>
        <w:trPr>
          <w:trHeight w:val="23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Purchases of intangible assets recorded in accrued liabilities and other noncurrent liabilities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w:t>
            </w:r>
          </w:p>
        </w:tc>
        <w:tc>
          <w:tcPr>
            <w:tcW w:w="0" w:type="dxa"/>
            <w:vAlign w:val="bottom"/>
          </w:tcPr>
          <w:p>
            <w:pPr>
              <w:spacing w:after="0"/>
              <w:rPr>
                <w:sz w:val="1"/>
                <w:szCs w:val="1"/>
                <w:color w:val="auto"/>
              </w:rPr>
            </w:pPr>
          </w:p>
        </w:tc>
      </w:tr>
      <w:tr>
        <w:trPr>
          <w:trHeight w:val="233"/>
        </w:trPr>
        <w:tc>
          <w:tcPr>
            <w:tcW w:w="6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Purchases of property and equipment recorded in accounts payable and accrued liabilities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0" w:type="dxa"/>
            <w:vAlign w:val="bottom"/>
          </w:tcPr>
          <w:p>
            <w:pPr>
              <w:spacing w:after="0"/>
              <w:rPr>
                <w:sz w:val="1"/>
                <w:szCs w:val="1"/>
                <w:color w:val="auto"/>
              </w:rPr>
            </w:pPr>
          </w:p>
        </w:tc>
      </w:tr>
      <w:tr>
        <w:trPr>
          <w:trHeight w:val="253"/>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Accrual for repurchase of common stock</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Qualys,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60" w:type="dxa"/>
            <w:vAlign w:val="bottom"/>
          </w:tcPr>
          <w:p>
            <w:pPr>
              <w:spacing w:after="0"/>
              <w:rPr>
                <w:sz w:val="16"/>
                <w:szCs w:val="16"/>
                <w:color w:val="auto"/>
              </w:rPr>
            </w:pPr>
          </w:p>
        </w:tc>
        <w:tc>
          <w:tcPr>
            <w:tcW w:w="2140" w:type="dxa"/>
            <w:vAlign w:val="bottom"/>
            <w:gridSpan w:val="4"/>
            <w:vMerge w:val="restart"/>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3"/>
        </w:trPr>
        <w:tc>
          <w:tcPr>
            <w:tcW w:w="4460" w:type="dxa"/>
            <w:vAlign w:val="bottom"/>
          </w:tcPr>
          <w:p>
            <w:pPr>
              <w:spacing w:after="0"/>
              <w:rPr>
                <w:sz w:val="13"/>
                <w:szCs w:val="13"/>
                <w:color w:val="auto"/>
              </w:rPr>
            </w:pPr>
          </w:p>
        </w:tc>
        <w:tc>
          <w:tcPr>
            <w:tcW w:w="214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60" w:type="dxa"/>
            <w:vAlign w:val="bottom"/>
            <w:gridSpan w:val="3"/>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12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4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50"/>
        </w:trPr>
        <w:tc>
          <w:tcPr>
            <w:tcW w:w="4460" w:type="dxa"/>
            <w:vAlign w:val="bottom"/>
          </w:tcPr>
          <w:p>
            <w:pPr>
              <w:spacing w:after="0"/>
              <w:rPr>
                <w:sz w:val="21"/>
                <w:szCs w:val="21"/>
                <w:color w:val="auto"/>
              </w:rPr>
            </w:pPr>
          </w:p>
        </w:tc>
        <w:tc>
          <w:tcPr>
            <w:tcW w:w="11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1"/>
                <w:szCs w:val="21"/>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200" w:type="dxa"/>
            <w:vAlign w:val="bottom"/>
          </w:tcPr>
          <w:p>
            <w:pPr>
              <w:spacing w:after="0"/>
              <w:rPr>
                <w:sz w:val="21"/>
                <w:szCs w:val="21"/>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21"/>
                <w:szCs w:val="21"/>
                <w:color w:val="auto"/>
              </w:rPr>
            </w:pPr>
          </w:p>
        </w:tc>
        <w:tc>
          <w:tcPr>
            <w:tcW w:w="84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70"/>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2021</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39,112</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477,323</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(41,655)</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436,714</w:t>
            </w:r>
          </w:p>
        </w:tc>
        <w:tc>
          <w:tcPr>
            <w:tcW w:w="0" w:type="dxa"/>
            <w:vAlign w:val="bottom"/>
          </w:tcPr>
          <w:p>
            <w:pPr>
              <w:spacing w:after="0"/>
              <w:rPr>
                <w:sz w:val="1"/>
                <w:szCs w:val="1"/>
                <w:color w:val="auto"/>
              </w:rPr>
            </w:pPr>
          </w:p>
        </w:tc>
      </w:tr>
      <w:tr>
        <w:trPr>
          <w:trHeight w:val="237"/>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107,992</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107,992</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upon exercise of stock options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24,483</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(287,784)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(317,344)</w:t>
            </w:r>
          </w:p>
        </w:tc>
        <w:tc>
          <w:tcPr>
            <w:tcW w:w="0" w:type="dxa"/>
            <w:vAlign w:val="bottom"/>
          </w:tcPr>
          <w:p>
            <w:pPr>
              <w:spacing w:after="0"/>
              <w:rPr>
                <w:sz w:val="1"/>
                <w:szCs w:val="1"/>
                <w:color w:val="auto"/>
              </w:rPr>
            </w:pPr>
          </w:p>
        </w:tc>
      </w:tr>
      <w:tr>
        <w:trPr>
          <w:trHeight w:val="225"/>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upon vesting of restricted stock</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related to net share settlement of equity awards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(17,615)</w:t>
            </w:r>
          </w:p>
        </w:tc>
        <w:tc>
          <w:tcPr>
            <w:tcW w:w="0" w:type="dxa"/>
            <w:vAlign w:val="bottom"/>
          </w:tcPr>
          <w:p>
            <w:pPr>
              <w:spacing w:after="0"/>
              <w:rPr>
                <w:sz w:val="1"/>
                <w:szCs w:val="1"/>
                <w:color w:val="auto"/>
              </w:rPr>
            </w:pPr>
          </w:p>
        </w:tc>
      </w:tr>
      <w:tr>
        <w:trPr>
          <w:trHeight w:val="225"/>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through employee stock</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plan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53,408</w:t>
            </w:r>
          </w:p>
        </w:tc>
        <w:tc>
          <w:tcPr>
            <w:tcW w:w="0" w:type="dxa"/>
            <w:vAlign w:val="bottom"/>
          </w:tcPr>
          <w:p>
            <w:pPr>
              <w:spacing w:after="0"/>
              <w:rPr>
                <w:sz w:val="1"/>
                <w:szCs w:val="1"/>
                <w:color w:val="auto"/>
              </w:rPr>
            </w:pPr>
          </w:p>
        </w:tc>
      </w:tr>
      <w:tr>
        <w:trPr>
          <w:trHeight w:val="237"/>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at December 31, 2022</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37,362</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512,486</w:t>
            </w: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(221,447)</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289,129</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151,595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151,595</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upon exercise of stock options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45,576</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(158,228)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(171,219)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upon vesting of restricted stock</w:t>
            </w: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related to net share settlement of equity awards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through employee stock</w:t>
            </w: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plan</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69,119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69,119</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2023</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36,909</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597,921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(228,080)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368,174</w:t>
            </w:r>
          </w:p>
        </w:tc>
        <w:tc>
          <w:tcPr>
            <w:tcW w:w="0" w:type="dxa"/>
            <w:vAlign w:val="bottom"/>
          </w:tcPr>
          <w:p>
            <w:pPr>
              <w:spacing w:after="0"/>
              <w:rPr>
                <w:sz w:val="1"/>
                <w:szCs w:val="1"/>
                <w:color w:val="auto"/>
              </w:rPr>
            </w:pPr>
          </w:p>
        </w:tc>
      </w:tr>
      <w:tr>
        <w:trPr>
          <w:trHeight w:val="237"/>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173,680</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173,680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upon exercise of stock options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(134,817)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(140,773)</w:t>
            </w:r>
          </w:p>
        </w:tc>
        <w:tc>
          <w:tcPr>
            <w:tcW w:w="0" w:type="dxa"/>
            <w:vAlign w:val="bottom"/>
          </w:tcPr>
          <w:p>
            <w:pPr>
              <w:spacing w:after="0"/>
              <w:rPr>
                <w:sz w:val="1"/>
                <w:szCs w:val="1"/>
                <w:color w:val="auto"/>
              </w:rPr>
            </w:pPr>
          </w:p>
        </w:tc>
      </w:tr>
      <w:tr>
        <w:trPr>
          <w:trHeight w:val="225"/>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upon vesting of restricted stock</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related to net share settlement of equity awards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(28,416)</w:t>
            </w:r>
          </w:p>
        </w:tc>
        <w:tc>
          <w:tcPr>
            <w:tcW w:w="0" w:type="dxa"/>
            <w:vAlign w:val="bottom"/>
          </w:tcPr>
          <w:p>
            <w:pPr>
              <w:spacing w:after="0"/>
              <w:rPr>
                <w:sz w:val="1"/>
                <w:szCs w:val="1"/>
                <w:color w:val="auto"/>
              </w:rPr>
            </w:pPr>
          </w:p>
        </w:tc>
      </w:tr>
      <w:tr>
        <w:trPr>
          <w:trHeight w:val="225"/>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through employee stock</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plan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6,872</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77,189</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77,189</w:t>
            </w:r>
          </w:p>
        </w:tc>
        <w:tc>
          <w:tcPr>
            <w:tcW w:w="0" w:type="dxa"/>
            <w:vAlign w:val="bottom"/>
          </w:tcPr>
          <w:p>
            <w:pPr>
              <w:spacing w:after="0"/>
              <w:rPr>
                <w:sz w:val="1"/>
                <w:szCs w:val="1"/>
                <w:color w:val="auto"/>
              </w:rPr>
            </w:pPr>
          </w:p>
        </w:tc>
      </w:tr>
      <w:tr>
        <w:trPr>
          <w:trHeight w:val="264"/>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at December 31, 2024</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36,503</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664,879</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(189,217)</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477,116</w:t>
            </w:r>
          </w:p>
        </w:tc>
        <w:tc>
          <w:tcPr>
            <w:tcW w:w="0" w:type="dxa"/>
            <w:vAlign w:val="bottom"/>
          </w:tcPr>
          <w:p>
            <w:pPr>
              <w:spacing w:after="0"/>
              <w:rPr>
                <w:sz w:val="1"/>
                <w:szCs w:val="1"/>
                <w:color w:val="auto"/>
              </w:rPr>
            </w:pPr>
          </w:p>
        </w:tc>
      </w:tr>
      <w:tr>
        <w:trPr>
          <w:trHeight w:val="21"/>
        </w:trPr>
        <w:tc>
          <w:tcPr>
            <w:tcW w:w="4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Qualys,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NOTE 1.</w:t>
        <w:tab/>
        <w:t>The Company and Summary of Significant Accounting Policies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Qualys, Inc. (the “Company”, "we", "us", "our") was incorporated in the state of Delaware on December 30, 1999</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is headquartered in Foster City, California and has wholly-owned subsidiaries throughout the world. The Company is a leading provider of cloud-based IT, security and compliance solutions that enable organizations to identify security risks to their IT infrastructures, help protect their IT systems and applications from ever-evolving cyber-attacks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Qualys' Enterprise TruRisk Platform to cost-effectively obtain a unified view of their security and compliance posture across globally-distributed IT infrastructures.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and footnotes have been prepared in accordance with U.S. GAAP as well as the instructions to Form 10-K and the rules and regulations of the SEC. In the opinion of management, the accompanying consolidated financial statements reflect all adjustments, which include only normal recurring adjustments, necessary for the fair presentation of the Company’s consolidated financial position, results of operations and cash flows for the periods presented. The accompanying consolidated financial statements include the accounts of the Company and its wholly-owned subsidiaries. All intercompany transactions and balances have been eliminated upon consolidation.</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certain estimates and assumptions that affect the reported amounts of assets and liabilities and disclosure of assets and liabilities at the date of the consolidated financial statements and the reported results of operations during the reporting period. The Company’s management regularly assesses these estimates, which primarily affect revenue recognition, allowance for credit loss, the valuation of goodwill and intangible assets, leases, stock-based compensation and income tax provision. Actual results could differ from those estimates and such differences may be material to the accompanying consolidated financial statements.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invests its cash and cash equivalents with major financial institutions. Cash balances with any one institution at times may be in excess of federally insured limits. Cash equivalents are invested in high-quality investment grade financial instruments and are diversified. The Company has not experienced any losses in such accounts and believes it is not exposed to any significant credit risk.</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Credit risk with respect to accounts receivable is dispersed due to the large number of customers. Collateral is not required for accounts receivable. As of December 31, 2024 and 2023, no customer or channel partner accounted for more than 10% of the Company's revenues and accounts receivable balance.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Restricted cash and Short-Term and Long-Term Marketable Securities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Cash and cash equivalents include cash held in banks, highly liquid money market funds, commercial paper and fixed-income U.S. Treasury and government agency securities, all with original maturities of three months or less when acquired. The Company’s short-term and long-term marketable securities consist of fixed-income U.S. Treasury and government agency securities, corporate bonds, asset-backed securities and commercial paper. Management determines the appropriate classification of the Company's investments at the time of purchase and reevaluates such designation at each balance sheet date. The Company classifies its marketable securities as either short-term or long-term based on each instrument's underlying remaining contractual maturity date.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Company had a restricted cash balance of $1.2 million and $2.7 million, respectively, of which $1.2 million in the form of a letter of credit issued to the landlord of the Company's California headquarter office lease as security deposit and $1.5 million was related to cash held in escrow as part of the Blue Hexagon acquisition.</w:t>
      </w:r>
    </w:p>
    <w:p>
      <w:pPr>
        <w:spacing w:after="0" w:line="17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Cash equivalents are stated at cost, which approximates fair market value. Short-term and long-term marketable securities are classified as available-for-sale debt securities (“AFS debt securities”) and are carried at fair value. Unrealized gains and losses in fair value of the AFS debt securities are reported in other comprehensive income (loss). When the AFS debt securities are sold, cost is based on the specific identification method, and the realized gains and losses are included in other income (expense), net in the consolidated statements of operations. AFS debt securities are reviewed quarterly for impairment. An investment is considered impaired when its fair value is below its amortized cost. Declines in fair value from amortized cost for AFS debt securities that the company intends to sell or will more likely than not be required to sell before the expected recovery of the amortized cost basis are charged to other income (expense), net in the period in which the loss occurs. Otherwise, the credit loss component of the impairment is recorded as allowance for credit losses with an offsetting entry charged to other income (expense), net, while the remaining loss is recognized in other comprehensive income (loss).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Accounts receivable are recorded at the invoiced amount and do not bear interest. The allowance for credit losses is determined on a collective basis where similar risk characteristics exist and on an individual basis when the Company identifies significant customers or invoices with collectability issues. The estimate for credit losses considers historical write-offs by aging category, that are adjusted for current conditions and reasonable and supportable forecasts of future losses. Any change in the assumptions used in analyzing credit losses may result in additional allowances being recognized in the period in which the change occurs. When the Company ultimately concludes that a receivable is uncollectible, the balance is written off against the allowance for credit losses. Payments subsequently received on such receivables are recognized in the period received. The allowance for credit losses recognized and write-offs charged against the allowance were not significant for the years ended December 31, 2024 and 2023. The balance of accounts receivable, net of allowance for credit losses was $164.6 million, $146.2 million and $121.8 million as of December 31, 2024, December 31, 2023 and December 31, 2022, respectively.</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Non-marketable securities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2018, the Company invested $2.5 million in preferred stock of a privately-held company (the “Investee”). The fair value of the investment is not readily available, and there are no quoted market prices for the investment. The Company elected the measurement alternative to account for the investment at cost less impairment and will measure the investment at fair value when the Company identifies observable price changes. The investment is assessed for impairment annually or whenever events or changes in circumstances indicate that the fair value of the investment is less than carrying value. The investment is included in other noncurrent assets in the consolidated balance sheets. The Company has not received any dividends from the investment. During the second quarter of 2023, the Company identified an observable price change in the investment and recognized an immaterial unrealized loss in other income (expense), net of the consolidated statement of operations.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is computed using the straight-line method over the estimated useful lives of the assets, which range from three to five years. Leasehold improvements are amortized on a straight-line basis over the lesser of the estimated useful life of the asset or the remaining lease term.</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purchases physical scanner appliances and other computer equipment that are provided to some customers on a subscription basis.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equipment is recorded within property and equipment and the depreciation is recorded in cost of revenues over an estimated useful life of three years.</w:t>
      </w:r>
    </w:p>
    <w:p>
      <w:pPr>
        <w:spacing w:after="0" w:line="20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Upon retirement or disposal, the cost of assets and the related accumulated depreciation are removed from the accounts and any resulting gain or loss is reflected in the consolidated statements of operations. Repairs and maintenance that do not extend the life of an asset are expensed as incurred and major improvements are capitalized as property and equipment.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leases certain offices, computer equipment and its shared cloud platform facilities under finance leases and non-cancelable operating leases. For both operating and finance leases, the Company recognizes a right-of-use asset, which</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represents the Company's right to use the underlying asset for the lease term, and a lease liability, which represents the present value of the Company's obligation to make payments arising over the lease term. Many of the Company's leases include rental escalation clauses, renewal options and/or termination options that are factored into the Company's determination of lease payments and lease terms when appropriate. The present value of the lease payments is calculated using the incremental borrowing rate of the underlying leases determined at lease commencement. As most of the Company's leases do not provide a readily determinable implicit rate, the Company determines an incremental borrowing rate using a portfolio approach based on the rate of interest that the Company would have to pay to borrow an amount equal to the lease payments on a collateralized basis over a similar term as the leases.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Where the Company is the lessee, the Company elects to account for non-lease components associated with its leases (e.g., common area maintenance costs) and lease components separately for substantially all of its asset classes, except for shared cloud platforms, for which the Company elected to combine lease and non-lease components. For leases with a term of one year or less, the Company has elected not to record the right-of-use asset or liability.</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In arrangements where the Company is the lessor, the Company elected to apply the practical expedient to account for lease components (e.g., customer premise equipment) and non-lease components (e.g., service revenue) as combined components as revenue under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 service revenues are the predominant components in the arrangements.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evaluates its long-lived assets, which consist of property and equipment, and intangible assets subject to amortization, for indicators of possible impairment when events or changes in circumstances indicate the carrying amount of an asset may not be recoverable. Impairment exists if the carrying amounts of such assets exceed the estimates of future undiscounted cash flows expected to be generated by such assets. Should an impairment exist, the impairment loss would be measured based on the excess carrying value of the asset over the asset’s estimated fair value. For the years ended December 31, 2024, 2023 and 2022, there was no impairment of long-lived assets.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net tangible and identifiable intangible assets acquired in a business combination. Goodwill and indefinite-lived intangible assets are not amortized but tested for impairment at least annually or more frequently if certain circumstances indicate a possible impairment may exist. The goodwill impairment tests are performed at the reporting unit level. The Company’s operations are organized as one reporting unit.</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testing for a potential impairment of goodwill and the indefinite-lived intangible assets, the Company first performs a qualitative assessment to determine if it is more likely than not (a more than 50% likelihood) that the fair value of the reporting unit or the indefinite-lived intangible assets is less than their carrying amount. If the fair value is not considered to be less than the carrying amount, no further evaluation is necessary. Otherwise, the Company will perform a quantitative test. Goodwill impairment is measured as the amount by which the carrying value of the reporting unit or the indefinite-lived intangible assets exceeds their fair value. The Company performed the annual assessments on December 1, 2024 and 2023 and concluded there was no impairment of goodwill or the indefinite-lived intangible assets.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Costs related to software developed, acquired or modified for internal use are capitalized and included in other noncurrent assets on the consolidated balance sheets. Costs incurred during the preliminary planning and evaluation stage of the project and during the post implementation stages of the project are expensed as incurred. Costs incurred during the application development stage of the project are capitalized. These capitalized costs consist of internal compensation related costs and external direct costs. Costs related to software developed for internal use are amortized over an estimated useful life of three years and recorded in cost of revenues. Management evaluates the useful lives of these assets on an annual basis and tests for impairment whenever events or changes in circumstances occur that could impact the recoverability of these assets. As of December 31, 2024 and 2023, unamortized balances related to the Company's internally developed software costs are immaterial.</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Acquisitions and Business Combinations</w:t>
      </w:r>
    </w:p>
    <w:p>
      <w:pPr>
        <w:spacing w:after="0" w:line="227"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color w:val="auto"/>
        </w:rPr>
        <w:t xml:space="preserve">The Company applies the provisions of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in accounting for its acquisitions. To determine whether transactions should be accounted for as asset acquisition or business combination, the Company evaluates whether</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substantially all of the fair value of gross assets included in a transaction is concentrated in a single asset (or a group of similar assets), resulting in an asset acquisition, if not, resulting in a business combination. In an asset acquisition, the cost of acquiring the asset group, including transaction costs, is allocated to the acquired assets or assumed liabilities based on their relative fair values without giving rise to goodwill. In a business combination, the Company recognize separately from goodwill the assets acquired and the liabilities assumed at their acquisition date fair values. Goodwill as of the acquisition date is measured as the excess of consideration transferred over the net of the acquisition date fair values of the assets acquired and the liabilities assumed. While the Company uses its best estimates and assumptions to accurately value assets acquired and liabilities assumed at the acquisition date as well as any contingent consideration, where applicable, its estimates are inherently uncertain and subject to refinement. As a result, during the measurement period, which may be up to one year from the acquisition date, the Company records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its consolidated statements of operations.</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Derivative financial instruments are utilized by the Company to reduce foreign currency exchange risks. The Company uses foreign currency forward contracts, with maturities of 13 months or less, to mitigate the impact of foreign currency fluctuations of certain non-U.S. dollar denominated net asset positions, to date primarily cash, accounts receivable and operating lease liabilities, as well as to manage foreign currency fluctuation risk related to forecasted transactions. Open contracts are recorded within prepaid expenses and other current assets, other noncurrent assets, accrued liabilities or other noncurrent liabilities in the consolidated balance sheets. Gains and losses resulting from currency exchange rate movements on non-designated forward contracts are recognized in other income (expense), net. Any gains or losses from derivatives designated as cash flow hedges are first recorded within accumulated other comprehensive income (“AOCI”) and then reclassified into revenue or operating expenses when the hedged item impacts the consolidated statements of operations. Cash flows related to these forward contracts are classified in the Company's consolidated statements of cash flows in the same manner as the underlying hedged transaction within cash flows from operating activities.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recognizes the fair value of its stock options, restricted stock units (“RSUs”) and stock purchase rights under the ESPP on a straight-line basis over the requisite service periods. The fair value of each stock option or stock purchase right is estimated on the date of grant using the Black-Scholes-Merton option pricing model and the fair value of each RSU is based on the Company's common stock price on the date of grant. Compensation expenses for performance-based restricted stock units (“PRSUs”) are recorded based on expected achievement of the performance metrics specified in the grant, which are assessed on a quarterly basis. Forfeitures are estimated on the date of grant and revised if actual or expected forfeiture materially differs from original estimates.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derives revenues from subscriptions that require customers to pay a fee in order to access the Company’s cloud solutions. Contract period with customers generally are one year with occasional contracts ranging up to five years. The subscription fee entitles the customer to an unlimited number of scans for a specified number of networked devices or web applications and, if requested by a customer as part of their subscription, a specified number of physical or virtual scanner appliances. The Company’s physical and virtual scanner appliances are requested by certain customers as part of their subscriptions in order to scan IT infrastructures within their firewalls and do not function without, and are not sold separately from, subscriptions for the Company’s solutions. In some limited cases, the Company also provides certain computer equipment used to extend Qualys' Enterprise TruRisk Platform into its customers’ private cloud environment. Customers are required to return physical scanner appliances and computer equipment if they do not renew their subscriptions.</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determines revenue recognition through the following steps:</w:t>
      </w:r>
    </w:p>
    <w:p>
      <w:pPr>
        <w:spacing w:after="0" w:line="117"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At the inception of a customer contract, the Company makes an assessment as to that customer's ability to pay for the services provided. The Company assesses collectability based on several factors, including credit worthiness of the customer along with past transaction history. In addition, the Company performs periodic evaluations of its customers’ financial condition.</w:t>
      </w:r>
    </w:p>
    <w:p>
      <w:pPr>
        <w:spacing w:after="0" w:line="17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Most of the Company’s revenue contracts are subscription based and contain a single performance obligation. The subscription contracts typically do not offer to the customers any future rights that would constitute material rights. Contract prices are generally composed of fixed consideration for a specific period of time as the Company in general does not offer refunds, volume rebates, customer loyalty programs or other forms of customer incentive payments. In limited situations, contract prices are contingent on future events, such as actual usage during the contract terms, which are accounted for as variable consideration and estimated based on the most likely amount of consideration that the Company is expected to be entitled to. Estimates are included in the contract price to the extent that it is considered probable that a significant reversal in the amount of cumulative revenue recognized will not occur when the uncertainty associated with the variable consideration is subsequently resolved. Such estimates are made at contract inception and updated periodically when additional information becomes available. A cumulative catch-up adjustment is made when there is a change in the estimate of variable consideration.</w:t>
      </w:r>
    </w:p>
    <w:p>
      <w:pPr>
        <w:spacing w:after="0" w:line="18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As the Company's cloud-based subscription services are delivered to customers electronically and over time, revenue is generally recognized ratably over the contract terms. When physical equipment is provided to the customers as part of the subscription service contract, the Company applies the practical expedient allowed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 combine lease and nonlease components as a combined component to be accounted for under ASC 606, as the Company determined that the software subscription is the predominant component of the combined components. Therefore, the Company recognizes revenue for the physical equipment ratably over the related subscription period.</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Contract modifications happen when there is an upsell, where the customers subsequently enter into contract with the Company to purchase additional product offerings or additional scans for additional devices. Contract modifications related to upsells are accounted for prospectively.</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Deferred revenues consist of customer contracts billed or cash received that will be recognized in the future under subscriptions existing at the balance sheet date. The current portion of deferred revenues represents amounts that are expected to be recognized within one year of the balance sheet date.</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Costs of shipping and handling charges incurred by the Company associated with physical scanner appliances and other computer equipment are included in cost of revenues. Sales taxes and other taxes collected from customers to be remitted to government authorities are excluded from revenues.</w:t>
      </w:r>
    </w:p>
    <w:p>
      <w:pPr>
        <w:spacing w:after="0" w:line="16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Incremental direct costs of obtaining a contract, which consist of sales commissions primarily for new business and upsells, are deferred and amortized over the estimated life of the customer relationship if renewals are expected and the renewal commission is not commensurate with the initial commission. The Company elected the practical expedient to expense commissions on renewals where the specific anticipated contract term amortization period is one year or less. The Company amortizes the capitalized commission cost as a selling expense on a straight-line basis over a period of five years. The Company classifies deferred commissions as current or noncurrent based on the timing of when it expects to recognize the expense. The current and noncurrent portions of deferred commissions are included in prepaid expenses and other current assets and other noncurrent assets, respectively, in its consolidated balance sheets.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and are included in sales and marketing expense in the consolidated statements of operations. The Company incurred advertising costs of $2.9 million, $3.0 million and $3.3 million for the years ended December 31, 2024, 2023 and 2022, respectively.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provides for the effect of income taxes in its consolidated financial statements using the asset and liability method which requires the recognition of deferred tax assets and liabilities for the expected future tax consequences of events that have been included in the consolidated financial statements. Under this method, deferred tax assets and liabilities are recognized for the future tax consequences attributable to differences between the financial statement carrying amounts of existing assets and liabilities and their respective tax bases, net operating loss carryovers, and tax credit carry forwards. The Company regularly reviews its deferred tax assets for recoverability and establishes a valuation allowance if it is more likely than not that some portion or all of the deferred tax assets will not be realized. To make this assessment, the Company takes into account predictions of the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amount and category of taxable income from various sources and all available positive and negative evidence about these possible sources of taxable income. The weight given to the potential effect of negative and positive evidence is commensurate with the extent to which the strength of the evidence can be objectively verified.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includes the enactment date.</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Income tax expense or benefit is recognized for the amount of taxes payable or refundable for the current year and for deferred tax assets and liabilities for the tax consequences of events that have been recognized in an entity’s financial statements or tax returns. The Company must make significant assumptions, judgments and estimates to determine its current income tax provision (benefit), its deferred tax assets and liabilities, and any valuation allowance to be recorded against its deferred tax assets. The Company's estimates and assumptions may differ from the actual results as reflected on its income tax returns and will record the required adjustments when they are identified or resolved.</w:t>
      </w:r>
    </w:p>
    <w:p>
      <w:pPr>
        <w:spacing w:after="0" w:line="183"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The Company applies a two-step approach to determining the financial statement recognition and measurement of uncertain tax positions. The Company only recognizes an income tax expense or benefit with respect to uncertain tax positions in its financial statements that the Company judges is more likely than not to be sustained solely on its technical merits in a tax audit, including resolution of any related appeals or litigation processes. To make this judgment, the Company must interpret complex and sometimes ambiguous tax laws, regulations and administrative practices. If an income tax position meets the more likely than not recognition threshold, then the Company must measure the amount of the tax benefit to be recognized by determining the largest amount of tax benefit that has a greater than a 50% likelihood of being realized upon effective settlement with a taxing authority that has full knowledge of all of the relevant facts. It is inherently difficult and subjective to estimate such amounts, as this requires the Company to determine the probability of various possible settlement outcomes. To determine if a tax position is effectively settled after a tax examination has been completed, the Company must also estimate the likelihood that another taxing authority could review the respective tax position. The Company must also determine when it is reasonably possible that the amount of unrecognized tax benefits will significantly increase or decrease in the 12 months after each fiscal year-end. These judgments are difficult because a taxing authority may change its behavior as a result of the Company's disclosures in its financial statements. The Company must reevaluate its income tax positions on a quarterly basis to consider factors such as changes in facts or circumstances, changes in tax law, effectively settled issues under audit, and new audit activity. Such a change in recognition or measurement would result in recognition of a tax benefit or an additional charge to the tax provision. The Company's policy is to recognize interest and penalties related to unrecognized tax benefits as a component of the provision for income taxes.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comprehensive income (loss) consists of unrealized gains (losses) on marketable securities, net of tax, and derivative financial instruments designated as cash flow hedges, net of tax, which are not included in the Company’s net income. Total comprehensive income includes net income and other comprehensive income (loss) and is included in the consolidated statements of comprehensive income.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operations are conducted in various countries around the world and the financial statements of its foreign subsidiaries are reported in the U.S. dollar as their respective functional currency. Monetary assets and liabilities denominated in foreign currencies have been re-measured into U.S. dollars using the exchange rates in effect at the balance sheet date, and income and expenses are re-measured at average exchange rates during the period. Foreign currency re-measurement gains and losses and foreign currency transaction gains and losses are recognized in other income (expense), net.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Income Per Share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Basic net income per share is computed by dividing net income by the weighted-average number of shares outstanding during the period. Diluted net income per share is computed by dividing net income by the weighted-average number of shares outstanding plus potentially dilutive shares outstanding during the period. The potentially dilutive shares are computed by applying the treasury stock method to the Company's stock options, RSUs and the stock purchase rights under the ESPP. Any potential shares that would be anti-dilutive are excluded from the computation of diluted net income per share.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ASU 2023-07 - </w:t>
      </w:r>
      <w:r>
        <w:rPr>
          <w:rFonts w:ascii="Times New Roman" w:cs="Times New Roman" w:eastAsia="Times New Roman" w:hAnsi="Times New Roman"/>
          <w:sz w:val="18"/>
          <w:szCs w:val="18"/>
          <w:i w:val="1"/>
          <w:iCs w:val="1"/>
          <w:color w:val="auto"/>
        </w:rPr>
        <w:t>Segment Reporting (Topic 280):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Reportable Segment Disclosures</w:t>
      </w:r>
      <w:r>
        <w:rPr>
          <w:rFonts w:ascii="Times New Roman" w:cs="Times New Roman" w:eastAsia="Times New Roman" w:hAnsi="Times New Roman"/>
          <w:sz w:val="18"/>
          <w:szCs w:val="18"/>
          <w:color w:val="auto"/>
        </w:rPr>
        <w:t>, requiring enhanced segment disclosures. The ASU requires disclosure of significant segment expenses regularly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chief operating decision maker ("CODM") included within segment operating profit or loss. Additionally, the ASU requires a description of how the CODM utilizes segment operating profit or loss to assess segment performance. The requirements of the ASU are effective for annual periods beginning after December 15, 2023, and interim periods within fiscal years beginning after December 15, 2024. The Company's annual reporting requirements will be effective for fiscal 2024 and interim reporting requirements will be effective beginning with the first quarter of fiscal 2025. Retrospective application is required for all periods presented. The Company adopted this ASU during fiscal year 2024. See Note 13, "Segment and Geographic Area Information" for the additional required disclosures.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2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requiring improvements to income tax disclosures. The new ASU requires disclosure of disaggregated information about the effective tax rate and income taxes paid. The requirements of the ASU are effective for annual periods beginning after December 15, 2024 and are to be applied on a prospective basis. The Company's annual reporting requirements will be effective for fiscal year 2025. Companies can choose to early adopt and apply the guidance retrospectively. The Company is in the process of analyzing the impact of the ASU on related disclosures.</w:t>
      </w:r>
    </w:p>
    <w:p>
      <w:pPr>
        <w:spacing w:after="0" w:line="18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requiring more detailed information about the types of expenses included in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captions presented on the consolidated statements of operations. Additionally, this amendment requires the disclosure of a qualitative description of the amounts remaining in relevant expense captions that are not separately disaggregated quantitatively and the disclosure of the total amount of selling expenses. The requirements of the ASU are effective for annual periods beginning after December 15, 2026, and for interim periods within fiscal years beginning after December 15, 2027 and are to be applied on a retrospective or prospective basis, with early adoption permitted. The Company's annual reporting requirements will be effective for fiscal year 2027. The Company is in the process of analyzing the impact of the ASU on related disclosures.</w:t>
      </w:r>
    </w:p>
    <w:p>
      <w:pPr>
        <w:spacing w:after="0" w:line="18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does not believe any other new accounting pronouncements issued by the FASB that have not become effective will have a material impact on its consolidated financial statements.</w:t>
      </w:r>
    </w:p>
    <w:p>
      <w:pPr>
        <w:spacing w:after="0" w:line="1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For certain of the Company’s financial instruments, including certain cash equivalents, accounts receivable, accounts payable and accrued liabilities, the carrying amounts approximate their fair values due to the relatively short maturity of these balances.</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measures and reports certain cash equivalents, marketable securities, derivative foreign currency forward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Valuations based on quoted prices in active markets for identical assets or liabilities.</w:t>
      </w:r>
    </w:p>
    <w:p>
      <w:pPr>
        <w:spacing w:after="0" w:line="225"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Valuations based on other than quoted prices in active markets for identical assets and liabilities, including quoted prices for identical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liabilities in less active or inactive markets, quoted prices for similar assets or liabilities in active markets, or inputs other than quoted prices that are observable for substantially the full term of the assets or liabilities.</w:t>
      </w:r>
    </w:p>
    <w:p>
      <w:pPr>
        <w:spacing w:after="0" w:line="173" w:lineRule="exact"/>
        <w:rPr>
          <w:sz w:val="20"/>
          <w:szCs w:val="20"/>
          <w:color w:val="auto"/>
        </w:rPr>
      </w:pPr>
    </w:p>
    <w:p>
      <w:pPr>
        <w:jc w:val="both"/>
        <w:ind w:right="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Valuations based on inputs that are generally unobservable and typically reflect management’s estimates of assumptions that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participants would use in pricing the asset or liability.</w:t>
      </w:r>
    </w:p>
    <w:p>
      <w:pPr>
        <w:spacing w:after="0" w:line="16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of assets and liabilities measured using Level 1 and 2 inputs. Level 1 assets include a highly liquid money market fund, which is valued using unadjusted quoted prices that are available in an active market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an identical asset. Level 2 assets include fixed-income U.S. Treasury and government agency securities, commercial paper, corporate bonds, asset-backed securities, and derivative financial instruments consisting of foreign currency forward contracts. The securities, bonds and commercial paper are valued using prices from independent pricing services based on quoted prices of identical instruments in less active or inactive markets, quoted prices of similar instruments in active markets, or industry models using data inputs such as interest rates and prices that can be directly observed or corroborated in active markets. The foreign currency forward contracts are valued using observable inputs, such as quotations on forward foreign exchange points and foreign interest rates.</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fair value of the Company's financial assets and liabilities measured at fair value on a recurring basis: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68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20"/>
                <w:szCs w:val="20"/>
                <w:color w:val="auto"/>
              </w:rPr>
            </w:pP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68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7"/>
        </w:trPr>
        <w:tc>
          <w:tcPr>
            <w:tcW w:w="6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
        </w:trPr>
        <w:tc>
          <w:tcPr>
            <w:tcW w:w="6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0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6,443</w:t>
            </w:r>
          </w:p>
        </w:tc>
      </w:tr>
      <w:tr>
        <w:trPr>
          <w:trHeight w:val="27"/>
        </w:trPr>
        <w:tc>
          <w:tcPr>
            <w:tcW w:w="6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233,279</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0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131,812</w:t>
            </w:r>
          </w:p>
        </w:tc>
      </w:tr>
      <w:tr>
        <w:trPr>
          <w:trHeight w:val="27"/>
        </w:trPr>
        <w:tc>
          <w:tcPr>
            <w:tcW w:w="6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0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r>
      <w:tr>
        <w:trPr>
          <w:trHeight w:val="27"/>
        </w:trPr>
        <w:tc>
          <w:tcPr>
            <w:tcW w:w="68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4"/>
        </w:trPr>
        <w:tc>
          <w:tcPr>
            <w:tcW w:w="6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381,629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382,033</w:t>
            </w:r>
          </w:p>
        </w:tc>
      </w:tr>
      <w:tr>
        <w:trPr>
          <w:trHeight w:val="20"/>
        </w:trPr>
        <w:tc>
          <w:tcPr>
            <w:tcW w:w="6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7"/>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r>
      <w:tr>
        <w:trPr>
          <w:trHeight w:val="27"/>
        </w:trPr>
        <w:tc>
          <w:tcPr>
            <w:tcW w:w="68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3"/>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68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20"/>
                <w:szCs w:val="20"/>
                <w:color w:val="auto"/>
              </w:rPr>
            </w:pP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68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7"/>
        </w:trPr>
        <w:tc>
          <w:tcPr>
            <w:tcW w:w="6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
        </w:trPr>
        <w:tc>
          <w:tcPr>
            <w:tcW w:w="6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0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54,279</w:t>
            </w:r>
          </w:p>
        </w:tc>
      </w:tr>
      <w:tr>
        <w:trPr>
          <w:trHeight w:val="27"/>
        </w:trPr>
        <w:tc>
          <w:tcPr>
            <w:tcW w:w="6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208,536</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0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56,465</w:t>
            </w:r>
          </w:p>
        </w:tc>
      </w:tr>
      <w:tr>
        <w:trPr>
          <w:trHeight w:val="27"/>
        </w:trPr>
        <w:tc>
          <w:tcPr>
            <w:tcW w:w="6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13,881</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0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7"/>
        </w:trPr>
        <w:tc>
          <w:tcPr>
            <w:tcW w:w="68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3"/>
        </w:trPr>
        <w:tc>
          <w:tcPr>
            <w:tcW w:w="6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333,272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333,359</w:t>
            </w:r>
          </w:p>
        </w:tc>
      </w:tr>
      <w:tr>
        <w:trPr>
          <w:trHeight w:val="20"/>
        </w:trPr>
        <w:tc>
          <w:tcPr>
            <w:tcW w:w="68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7"/>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r>
      <w:tr>
        <w:trPr>
          <w:trHeight w:val="27"/>
        </w:trPr>
        <w:tc>
          <w:tcPr>
            <w:tcW w:w="68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3"/>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transfers between Level 1, Level 2 and Level 3 categories during the years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 and investments</w:t>
            </w: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2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The Company's cash equivalents and marketable securities consist of the following:</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8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5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340" w:type="dxa"/>
            <w:vAlign w:val="bottom"/>
          </w:tcPr>
          <w:p>
            <w:pPr>
              <w:spacing w:after="0"/>
              <w:rPr>
                <w:sz w:val="20"/>
                <w:szCs w:val="20"/>
                <w:color w:val="auto"/>
              </w:rPr>
            </w:pP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20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20"/>
                <w:szCs w:val="20"/>
                <w:color w:val="auto"/>
              </w:rPr>
            </w:pP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8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 (1)</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8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0" w:type="dxa"/>
            <w:vAlign w:val="bottom"/>
          </w:tcPr>
          <w:p>
            <w:pPr>
              <w:spacing w:after="0"/>
              <w:rPr>
                <w:sz w:val="1"/>
                <w:szCs w:val="1"/>
                <w:color w:val="auto"/>
              </w:rPr>
            </w:pPr>
          </w:p>
        </w:tc>
      </w:tr>
      <w:tr>
        <w:trPr>
          <w:trHeight w:val="243"/>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33,939</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33,943</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36,326</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36,330</w:t>
            </w:r>
          </w:p>
        </w:tc>
        <w:tc>
          <w:tcPr>
            <w:tcW w:w="0" w:type="dxa"/>
            <w:vAlign w:val="bottom"/>
          </w:tcPr>
          <w:p>
            <w:pPr>
              <w:spacing w:after="0"/>
              <w:rPr>
                <w:sz w:val="1"/>
                <w:szCs w:val="1"/>
                <w:color w:val="auto"/>
              </w:rPr>
            </w:pPr>
          </w:p>
        </w:tc>
      </w:tr>
      <w:tr>
        <w:trPr>
          <w:trHeight w:val="23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0" w:type="dxa"/>
            <w:vAlign w:val="bottom"/>
          </w:tcPr>
          <w:p>
            <w:pPr>
              <w:spacing w:after="0"/>
              <w:rPr>
                <w:sz w:val="1"/>
                <w:szCs w:val="1"/>
                <w:color w:val="auto"/>
              </w:rPr>
            </w:pPr>
          </w:p>
        </w:tc>
      </w:tr>
      <w:tr>
        <w:trPr>
          <w:trHeight w:val="243"/>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47,155</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47,259</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97,338</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97,522</w:t>
            </w:r>
          </w:p>
        </w:tc>
        <w:tc>
          <w:tcPr>
            <w:tcW w:w="0" w:type="dxa"/>
            <w:vAlign w:val="bottom"/>
          </w:tcPr>
          <w:p>
            <w:pPr>
              <w:spacing w:after="0"/>
              <w:rPr>
                <w:sz w:val="1"/>
                <w:szCs w:val="1"/>
                <w:color w:val="auto"/>
              </w:rPr>
            </w:pPr>
          </w:p>
        </w:tc>
      </w:tr>
      <w:tr>
        <w:trPr>
          <w:trHeight w:val="237"/>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148,952</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149,241</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84,414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84,553</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7,426</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0" w:type="dxa"/>
            <w:vAlign w:val="bottom"/>
          </w:tcPr>
          <w:p>
            <w:pPr>
              <w:spacing w:after="0"/>
              <w:rPr>
                <w:sz w:val="1"/>
                <w:szCs w:val="1"/>
                <w:color w:val="auto"/>
              </w:rPr>
            </w:pPr>
          </w:p>
        </w:tc>
      </w:tr>
      <w:tr>
        <w:trPr>
          <w:trHeight w:val="243"/>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101,834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101,814</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193,674</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193,887</w:t>
            </w:r>
          </w:p>
        </w:tc>
        <w:tc>
          <w:tcPr>
            <w:tcW w:w="0" w:type="dxa"/>
            <w:vAlign w:val="bottom"/>
          </w:tcPr>
          <w:p>
            <w:pPr>
              <w:spacing w:after="0"/>
              <w:rPr>
                <w:sz w:val="1"/>
                <w:szCs w:val="1"/>
                <w:color w:val="auto"/>
              </w:rPr>
            </w:pPr>
          </w:p>
        </w:tc>
      </w:tr>
      <w:tr>
        <w:trPr>
          <w:trHeight w:val="264"/>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378,952</w:t>
            </w:r>
          </w:p>
        </w:tc>
        <w:tc>
          <w:tcPr>
            <w:tcW w:w="80" w:type="dxa"/>
            <w:vAlign w:val="bottom"/>
          </w:tcPr>
          <w:p>
            <w:pPr>
              <w:spacing w:after="0"/>
              <w:rPr>
                <w:sz w:val="22"/>
                <w:szCs w:val="22"/>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379,458</w:t>
            </w:r>
          </w:p>
        </w:tc>
        <w:tc>
          <w:tcPr>
            <w:tcW w:w="0" w:type="dxa"/>
            <w:vAlign w:val="bottom"/>
          </w:tcPr>
          <w:p>
            <w:pPr>
              <w:spacing w:after="0"/>
              <w:rPr>
                <w:sz w:val="1"/>
                <w:szCs w:val="1"/>
                <w:color w:val="auto"/>
              </w:rPr>
            </w:pPr>
          </w:p>
        </w:tc>
      </w:tr>
      <w:tr>
        <w:trPr>
          <w:trHeight w:val="20"/>
        </w:trPr>
        <w:tc>
          <w:tcPr>
            <w:tcW w:w="53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(1) Excludes cash of $195.9 million.</w:t>
            </w: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53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8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5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340" w:type="dxa"/>
            <w:vAlign w:val="bottom"/>
          </w:tcPr>
          <w:p>
            <w:pPr>
              <w:spacing w:after="0"/>
              <w:rPr>
                <w:sz w:val="20"/>
                <w:szCs w:val="20"/>
                <w:color w:val="auto"/>
              </w:rPr>
            </w:pP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20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20"/>
                <w:szCs w:val="20"/>
                <w:color w:val="auto"/>
              </w:rPr>
            </w:pP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8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 (1)</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54,620</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54,624</w:t>
            </w:r>
          </w:p>
        </w:tc>
        <w:tc>
          <w:tcPr>
            <w:tcW w:w="0" w:type="dxa"/>
            <w:vAlign w:val="bottom"/>
          </w:tcPr>
          <w:p>
            <w:pPr>
              <w:spacing w:after="0"/>
              <w:rPr>
                <w:sz w:val="1"/>
                <w:szCs w:val="1"/>
                <w:color w:val="auto"/>
              </w:rPr>
            </w:pPr>
          </w:p>
        </w:tc>
      </w:tr>
      <w:tr>
        <w:trPr>
          <w:trHeight w:val="237"/>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54,707</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54,711</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4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54,279</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23,013</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22,865</w:t>
            </w:r>
          </w:p>
        </w:tc>
        <w:tc>
          <w:tcPr>
            <w:tcW w:w="0" w:type="dxa"/>
            <w:vAlign w:val="bottom"/>
          </w:tcPr>
          <w:p>
            <w:pPr>
              <w:spacing w:after="0"/>
              <w:rPr>
                <w:sz w:val="1"/>
                <w:szCs w:val="1"/>
                <w:color w:val="auto"/>
              </w:rPr>
            </w:pPr>
          </w:p>
        </w:tc>
      </w:tr>
      <w:tr>
        <w:trPr>
          <w:trHeight w:val="243"/>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144,901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144,749</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222,168</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221,893</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4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33,337</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33,600</w:t>
            </w:r>
          </w:p>
        </w:tc>
        <w:tc>
          <w:tcPr>
            <w:tcW w:w="0" w:type="dxa"/>
            <w:vAlign w:val="bottom"/>
          </w:tcPr>
          <w:p>
            <w:pPr>
              <w:spacing w:after="0"/>
              <w:rPr>
                <w:sz w:val="1"/>
                <w:szCs w:val="1"/>
                <w:color w:val="auto"/>
              </w:rPr>
            </w:pPr>
          </w:p>
        </w:tc>
      </w:tr>
      <w:tr>
        <w:trPr>
          <w:trHeight w:val="243"/>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13,785</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13,881</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9,116</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9,163</w:t>
            </w:r>
          </w:p>
        </w:tc>
        <w:tc>
          <w:tcPr>
            <w:tcW w:w="0" w:type="dxa"/>
            <w:vAlign w:val="bottom"/>
          </w:tcPr>
          <w:p>
            <w:pPr>
              <w:spacing w:after="0"/>
              <w:rPr>
                <w:sz w:val="1"/>
                <w:szCs w:val="1"/>
                <w:color w:val="auto"/>
              </w:rPr>
            </w:pPr>
          </w:p>
        </w:tc>
      </w:tr>
      <w:tr>
        <w:trPr>
          <w:trHeight w:val="236"/>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56,238</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56,644</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333,113</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333,248</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(1) Excludes cash of $149.0 million.</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340" w:type="dxa"/>
            <w:vAlign w:val="bottom"/>
            <w:vMerge w:val="continue"/>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337" w:right="359" w:bottom="1440" w:gutter="0" w:footer="0" w:header="0"/>
        </w:sect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gross unrealized losses and fair value of the Company's marketable securities that were in an unrealized loss position aggregated by length of time: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gridSpan w:val="5"/>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gridSpan w:val="5"/>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12 months or longer</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4"/>
          </w:tcPr>
          <w:p>
            <w:pPr>
              <w:ind w:left="10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tcPr>
          <w:p>
            <w:pPr>
              <w:spacing w:after="0"/>
              <w:rPr>
                <w:sz w:val="20"/>
                <w:szCs w:val="20"/>
                <w:color w:val="auto"/>
              </w:rPr>
            </w:pPr>
          </w:p>
        </w:tc>
      </w:tr>
      <w:tr>
        <w:trPr>
          <w:trHeight w:val="27"/>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r>
      <w:tr>
        <w:trPr>
          <w:trHeight w:val="214"/>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Gross Unrealized</w:t>
            </w:r>
          </w:p>
        </w:tc>
      </w:tr>
      <w:tr>
        <w:trPr>
          <w:trHeight w:val="238"/>
        </w:trPr>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0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Losses</w:t>
            </w:r>
          </w:p>
        </w:tc>
      </w:tr>
      <w:tr>
        <w:trPr>
          <w:trHeight w:val="27"/>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gridSpan w:val="5"/>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4,464</w:t>
            </w: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27,154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7"/>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5"/>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and government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61"/>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agencies</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64,517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63"/>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96,135</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9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gridSpan w:val="2"/>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96,807</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1"/>
        </w:trPr>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74"/>
        </w:trPr>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gridSpan w:val="5"/>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
        </w:trPr>
        <w:tc>
          <w:tcPr>
            <w:tcW w:w="2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4"/>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gridSpan w:val="5"/>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12 months or longer</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4"/>
          </w:tcPr>
          <w:p>
            <w:pPr>
              <w:ind w:left="10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tcPr>
          <w:p>
            <w:pPr>
              <w:spacing w:after="0"/>
              <w:rPr>
                <w:sz w:val="20"/>
                <w:szCs w:val="20"/>
                <w:color w:val="auto"/>
              </w:rPr>
            </w:pPr>
          </w:p>
        </w:tc>
      </w:tr>
      <w:tr>
        <w:trPr>
          <w:trHeight w:val="27"/>
        </w:trPr>
        <w:tc>
          <w:tcPr>
            <w:tcW w:w="2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r>
      <w:tr>
        <w:trPr>
          <w:trHeight w:val="214"/>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Gross Unrealized</w:t>
            </w:r>
          </w:p>
        </w:tc>
      </w:tr>
      <w:tr>
        <w:trPr>
          <w:trHeight w:val="238"/>
        </w:trPr>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9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0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Losses</w:t>
            </w:r>
          </w:p>
        </w:tc>
      </w:tr>
      <w:tr>
        <w:trPr>
          <w:trHeight w:val="27"/>
        </w:trPr>
        <w:tc>
          <w:tcPr>
            <w:tcW w:w="2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gridSpan w:val="5"/>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5"/>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and government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4"/>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agencies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(188)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7"/>
        </w:trPr>
        <w:tc>
          <w:tcPr>
            <w:tcW w:w="2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40,374</w:t>
            </w:r>
          </w:p>
        </w:tc>
        <w:tc>
          <w:tcPr>
            <w:tcW w:w="6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(365)</w:t>
            </w:r>
          </w:p>
        </w:tc>
        <w:tc>
          <w:tcPr>
            <w:tcW w:w="40" w:type="dxa"/>
            <w:vAlign w:val="bottom"/>
            <w:shd w:val="clear" w:color="auto" w:fill="CCEEFF"/>
          </w:tcPr>
          <w:p>
            <w:pPr>
              <w:spacing w:after="0"/>
              <w:rPr>
                <w:sz w:val="24"/>
                <w:szCs w:val="24"/>
                <w:color w:val="auto"/>
              </w:rPr>
            </w:pPr>
          </w:p>
        </w:tc>
        <w:tc>
          <w:tcPr>
            <w:tcW w:w="2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108,585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considered the extent to which any unrealized losses on its marketable securities were driven by credit risk and other factors, including market risk, and if it is more-likely-than-not that the Company would have to sell the security before the recovery of the amortized cost basis. At December 31, 2024 and 2023, the unrealized losses related to its marketable securities were due to rising market interest rates compared to when the investments were initiated. The Company does not believe the unrealized losses represent credit risk, and the Company does not intend to sell any of the securities in an unrealized loss position and it is not likely that the Company would be required to sell these securities before recovery of their amortized cost basis, which may be at maturity. Thus, no credit loss was recognized for the Company's marketable securities for the years ended December 31, 2024 and 2023.</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summarizes the fair value of marketable securities by contractual maturity: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0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6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0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9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0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478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w:t>
            </w:r>
          </w:p>
        </w:tc>
        <w:tc>
          <w:tcPr>
            <w:tcW w:w="4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43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36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378,952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379,458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3960" w:type="dxa"/>
            <w:vAlign w:val="bottom"/>
          </w:tcPr>
          <w:p>
            <w:pPr>
              <w:spacing w:after="0" w:line="20" w:lineRule="exact"/>
              <w:rPr>
                <w:sz w:val="1"/>
                <w:szCs w:val="1"/>
                <w:color w:val="auto"/>
              </w:rPr>
            </w:pPr>
          </w:p>
        </w:tc>
        <w:tc>
          <w:tcPr>
            <w:tcW w:w="4360" w:type="dxa"/>
            <w:vAlign w:val="bottom"/>
            <w:vMerge w:val="restart"/>
          </w:tcPr>
          <w:p>
            <w:pPr>
              <w:jc w:val="right"/>
              <w:ind w:right="2510"/>
              <w:spacing w:after="0"/>
              <w:rPr>
                <w:sz w:val="20"/>
                <w:szCs w:val="20"/>
                <w:color w:val="auto"/>
              </w:rPr>
            </w:pPr>
            <w:r>
              <w:rPr>
                <w:rFonts w:ascii="Times New Roman" w:cs="Times New Roman" w:eastAsia="Times New Roman" w:hAnsi="Times New Roman"/>
                <w:sz w:val="18"/>
                <w:szCs w:val="18"/>
                <w:color w:val="auto"/>
              </w:rPr>
              <w:t>69</w:t>
            </w: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96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43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Designated cash flow hedges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enters into foreign currency forward contracts to reduce the risk of variability in future cash flow due to foreign currency exchange rate fluctuation from certain forecasted subscription revenue orders billed in GBP and EUR and operating expenses incurred in INR, which are designated as cash flow hedges. Hedge effectiveness is assessed at inception and at each reporting period utilizing regression analysis. Unrealized foreign exchange gains or losses related to those designated cash flow hedge contracts are recorded in accumulated other comprehensive income ("AOCI") and will be reclassified into revenues or operating expenses, respectively, in the same periods when the hedged transactions are recognized in earnings.</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designated cash flow hedge forward contracts with notional amounts of €51.4 million, £20.3 million and Rs.4,381.0 million. As of December 31, 2023, the Company had designated cash flow hedge forward contracts with notional amounts of €48.5 million, £14.6 million and Rs.4,042.0 million.</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December 31, 2024, the amount of net unrealized gains of $1.6 million before tax on the foreign currency forward contracts for GBP and EUR reported in AOCI is expected to be reclassified into revenue within the next 12 months. As of December 31, 2024, the amount of net unrealized loss of $1.2 million before tax on the foreign currency forward contracts for INR reported in AOCI is expected to be reclassified into operating expenses within the next 12 months.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Non-designated forward contracts</w:t>
      </w:r>
    </w:p>
    <w:p>
      <w:pPr>
        <w:spacing w:after="0" w:line="227"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Company also uses foreign currency forward contracts to hedge certain foreign currency denominated assets or liabilities, which are not designated as cash flow hedges. Unrealized foreign exchange gain or losses related to the non-designated forward contracts are recorded in other income (expenses), net and offset the foreign exchange gain or loss on the underlying net monetary assets or liabilities.</w:t>
      </w:r>
    </w:p>
    <w:p>
      <w:pPr>
        <w:spacing w:after="0" w:line="17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non-designated forward contracts with notional amounts of €27.0 million, £8.0 million, Rs.1,252.0 million, and C$1.0 million. As of December 31, 2023, the Company had non-designated forward contracts with notional amounts of €19.2 million, £6.0 million, Rs.440.0 million, and C$1.0 million.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summarizes the fair value of derivative financial instruments as of December 31, 2024 and 2023:</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7"/>
        </w:trPr>
        <w:tc>
          <w:tcPr>
            <w:tcW w:w="83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7"/>
        </w:trPr>
        <w:tc>
          <w:tcPr>
            <w:tcW w:w="8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880" w:type="dxa"/>
            <w:vAlign w:val="bottom"/>
          </w:tcPr>
          <w:p>
            <w:pPr>
              <w:spacing w:after="0"/>
              <w:rPr>
                <w:sz w:val="24"/>
                <w:szCs w:val="24"/>
                <w:color w:val="auto"/>
              </w:rPr>
            </w:pP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forward contracts designated as cash flow hedge</w:t>
            </w: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forward contracts not designated as hedging instruments</w:t>
            </w:r>
          </w:p>
        </w:tc>
        <w:tc>
          <w:tcPr>
            <w:tcW w:w="9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6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7"/>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9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forward contracts designated as cash flow hedge</w:t>
            </w: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forward contracts not designated as hedging instruments</w:t>
            </w:r>
          </w:p>
        </w:tc>
        <w:tc>
          <w:tcPr>
            <w:tcW w:w="9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6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w:t>
            </w:r>
          </w:p>
        </w:tc>
      </w:tr>
      <w:tr>
        <w:trPr>
          <w:trHeight w:val="21"/>
        </w:trPr>
        <w:tc>
          <w:tcPr>
            <w:tcW w:w="8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presents its derivative assets and derivative liabilities at gross fair values in the consolidated balance sheets. However, under the master netting agreements with the respective counterparties of the foreign exchange contracts, subject to applicable requirements, the Company is allowed to net settle transactions of the same currency with a single net amount payable by one party to the other. The potential offset to both assets and liabilities under the right of set-off associated with the Company's foreign currency exchange contracts are immaterial as of December 31, 2024 and 2023. The derivatives held by the Company are not subject to any credit contingent features negotiated with its counterparties. The Company is not required to pledge nor is entitled to receive cash collateral related to the above contracts. The counterparties to these derivatives are large, global financial</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institutions that the Company believes are creditworthy, and therefore, it does not consider the risk of counterparty nonperformance to be material.</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summarizes the gains (losses) recognized from forward contracts and other foreign currency transactions in other income (expense), net in the consolidated statements of operations: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40" w:type="dxa"/>
            <w:vAlign w:val="bottom"/>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40" w:type="dxa"/>
            <w:vAlign w:val="bottom"/>
          </w:tcPr>
          <w:p>
            <w:pPr>
              <w:spacing w:after="0"/>
              <w:rPr>
                <w:sz w:val="20"/>
                <w:szCs w:val="20"/>
                <w:color w:val="auto"/>
              </w:rPr>
            </w:pPr>
          </w:p>
        </w:tc>
      </w:tr>
      <w:tr>
        <w:trPr>
          <w:trHeight w:val="27"/>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6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(losses) from non-designated forward contracts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8"/>
              </w:rPr>
              <w:t>1,445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5,093</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foreign currency transactions gains (losses)</w:t>
            </w:r>
          </w:p>
        </w:tc>
        <w:tc>
          <w:tcPr>
            <w:tcW w:w="320" w:type="dxa"/>
            <w:vAlign w:val="bottom"/>
          </w:tcPr>
          <w:p>
            <w:pPr>
              <w:spacing w:after="0"/>
              <w:rPr>
                <w:sz w:val="21"/>
                <w:szCs w:val="21"/>
                <w:color w:val="auto"/>
              </w:rPr>
            </w:pPr>
          </w:p>
        </w:tc>
        <w:tc>
          <w:tcPr>
            <w:tcW w:w="10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(4,637)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8"/>
              </w:rPr>
              <w:t>(6,864)</w:t>
            </w:r>
          </w:p>
        </w:tc>
      </w:tr>
      <w:tr>
        <w:trPr>
          <w:trHeight w:val="27"/>
        </w:trPr>
        <w:tc>
          <w:tcPr>
            <w:tcW w:w="6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6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foreign exchange gains (losses),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8"/>
              </w:rPr>
              <w:t>(3,192)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(1,771)</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Accumulated Other Comprehensive Income (Loss)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and changes in accumulated other comprehensive income (loss)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Available-for-</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Sale Debt</w:t>
            </w:r>
          </w:p>
        </w:tc>
        <w:tc>
          <w:tcPr>
            <w:tcW w:w="1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Cash Flow</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7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4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Hedges</w:t>
            </w:r>
          </w:p>
        </w:tc>
        <w:tc>
          <w:tcPr>
            <w:tcW w:w="300" w:type="dxa"/>
            <w:vAlign w:val="bottom"/>
          </w:tcPr>
          <w:p>
            <w:pPr>
              <w:spacing w:after="0"/>
              <w:rPr>
                <w:sz w:val="20"/>
                <w:szCs w:val="20"/>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2021</w:t>
            </w:r>
          </w:p>
        </w:tc>
        <w:tc>
          <w:tcPr>
            <w:tcW w:w="2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unrealized gains (losses) during the period</w:t>
            </w:r>
          </w:p>
        </w:tc>
        <w:tc>
          <w:tcPr>
            <w:tcW w:w="20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 reclassified into income during the period</w:t>
            </w:r>
          </w:p>
        </w:tc>
        <w:tc>
          <w:tcPr>
            <w:tcW w:w="2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effect</w:t>
            </w:r>
          </w:p>
        </w:tc>
        <w:tc>
          <w:tcPr>
            <w:tcW w:w="2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 during the period</w:t>
            </w:r>
          </w:p>
        </w:tc>
        <w:tc>
          <w:tcPr>
            <w:tcW w:w="2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at December 31, 2022</w:t>
            </w:r>
          </w:p>
        </w:tc>
        <w:tc>
          <w:tcPr>
            <w:tcW w:w="204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unrealized gains (losses) during the period</w:t>
            </w:r>
          </w:p>
        </w:tc>
        <w:tc>
          <w:tcPr>
            <w:tcW w:w="2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 reclassified into income during the period</w:t>
            </w:r>
          </w:p>
        </w:tc>
        <w:tc>
          <w:tcPr>
            <w:tcW w:w="2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effect</w:t>
            </w:r>
          </w:p>
        </w:tc>
        <w:tc>
          <w:tcPr>
            <w:tcW w:w="20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change during the period</w:t>
            </w:r>
          </w:p>
        </w:tc>
        <w:tc>
          <w:tcPr>
            <w:tcW w:w="20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2023</w:t>
            </w:r>
          </w:p>
        </w:tc>
        <w:tc>
          <w:tcPr>
            <w:tcW w:w="20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unrealized gains (losses) during the period</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 reclassified into income during the period</w:t>
            </w:r>
          </w:p>
        </w:tc>
        <w:tc>
          <w:tcPr>
            <w:tcW w:w="2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effect</w:t>
            </w:r>
          </w:p>
        </w:tc>
        <w:tc>
          <w:tcPr>
            <w:tcW w:w="2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 during the period</w:t>
            </w:r>
          </w:p>
        </w:tc>
        <w:tc>
          <w:tcPr>
            <w:tcW w:w="2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at December 31, 2024</w:t>
            </w:r>
          </w:p>
        </w:tc>
        <w:tc>
          <w:tcPr>
            <w:tcW w:w="20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040" w:type="dxa"/>
            <w:vAlign w:val="bottom"/>
            <w:vMerge w:val="restart"/>
          </w:tcPr>
          <w:p>
            <w:pPr>
              <w:jc w:val="right"/>
              <w:ind w:right="1010"/>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78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effects on income before income taxes of amounts reclassified from AOCI to the consolidated statements of operations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0" w:type="dxa"/>
            <w:vAlign w:val="bottom"/>
            <w:gridSpan w:val="6"/>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of AOCI - Available-for-sale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3"/>
                <w:szCs w:val="23"/>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of AOCI - Cash flow hedges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0" w:type="dxa"/>
            <w:vAlign w:val="bottom"/>
          </w:tcPr>
          <w:p>
            <w:pPr>
              <w:spacing w:after="0"/>
              <w:rPr>
                <w:sz w:val="1"/>
                <w:szCs w:val="1"/>
                <w:color w:val="auto"/>
              </w:rPr>
            </w:pPr>
          </w:p>
        </w:tc>
      </w:tr>
      <w:tr>
        <w:trPr>
          <w:trHeight w:val="243"/>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43"/>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64"/>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Property and Equipment, Net</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68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2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Property and equipment, net, which includes assets under finance leases, consists of the following:</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187,281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179,002</w:t>
            </w:r>
          </w:p>
        </w:tc>
        <w:tc>
          <w:tcPr>
            <w:tcW w:w="0" w:type="dxa"/>
            <w:vAlign w:val="bottom"/>
          </w:tcPr>
          <w:p>
            <w:pPr>
              <w:spacing w:after="0"/>
              <w:rPr>
                <w:sz w:val="1"/>
                <w:szCs w:val="1"/>
                <w:color w:val="auto"/>
              </w:rPr>
            </w:pP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26,133</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20,924</w:t>
            </w:r>
          </w:p>
        </w:tc>
        <w:tc>
          <w:tcPr>
            <w:tcW w:w="0" w:type="dxa"/>
            <w:vAlign w:val="bottom"/>
          </w:tcPr>
          <w:p>
            <w:pPr>
              <w:spacing w:after="0"/>
              <w:rPr>
                <w:sz w:val="1"/>
                <w:szCs w:val="1"/>
                <w:color w:val="auto"/>
              </w:rPr>
            </w:pP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Scanner appliances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18,369</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0" w:type="dxa"/>
            <w:vAlign w:val="bottom"/>
          </w:tcPr>
          <w:p>
            <w:pPr>
              <w:spacing w:after="0"/>
              <w:rPr>
                <w:sz w:val="1"/>
                <w:szCs w:val="1"/>
                <w:color w:val="auto"/>
              </w:rPr>
            </w:pPr>
          </w:p>
        </w:tc>
      </w:tr>
      <w:tr>
        <w:trPr>
          <w:trHeight w:val="237"/>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261,121</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251,127</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(230,772)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(218,528)</w:t>
            </w:r>
          </w:p>
        </w:tc>
        <w:tc>
          <w:tcPr>
            <w:tcW w:w="0" w:type="dxa"/>
            <w:vAlign w:val="bottom"/>
          </w:tcPr>
          <w:p>
            <w:pPr>
              <w:spacing w:after="0"/>
              <w:rPr>
                <w:sz w:val="1"/>
                <w:szCs w:val="1"/>
                <w:color w:val="auto"/>
              </w:rPr>
            </w:pPr>
          </w:p>
        </w:tc>
      </w:tr>
      <w:tr>
        <w:trPr>
          <w:trHeight w:val="264"/>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30,349</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32,599</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2024 and 2023, physical scanner appliances and other computer equipment that are or will be subject to leases by customers had a net carrying value of $11.2 million and $10.1 million, respectively, including assets that had not been placed in service of $7.4 million and $6.4 million, respectively.</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relating to property and equipment were $15.6 million, $23.9 million and $28.2 million for the years ended December 31, 2024, 2023 and 2022, respectively, which were mainly recorded in cost of revenues in the consolidated statements of operations.</w:t>
      </w:r>
    </w:p>
    <w:p>
      <w:pPr>
        <w:spacing w:after="0" w:line="37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Revenue from Contracts with Customers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records deferred revenue when cash payments are received or due in advance of its performance obligations offset by revenue recognized in the period. Revenues of $332.3 million and $292.2 million were recognized during the years ended December 31, 2024 and December 31, 2023, respectively, which amounts were included in the deferred revenue balances of $364.9 million and $317.2 million as of December 31, 2023 and December 31, 2022, respectively</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payment terms vary by the type and location of its customers. The term between invoicing and when payment is due is not significant. In certain circumstances, based on the credit quality of the customer, the Company requires payment before the products or services are delivered to the customer.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expected revenue from all remaining performance obligations as of December 31, 2024:</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86"/>
        </w:trPr>
        <w:tc>
          <w:tcPr>
            <w:tcW w:w="9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
        </w:trPr>
        <w:tc>
          <w:tcPr>
            <w:tcW w:w="9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243,415</w:t>
            </w:r>
          </w:p>
        </w:tc>
      </w:tr>
      <w:tr>
        <w:trPr>
          <w:trHeight w:val="243"/>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136,689</w:t>
            </w:r>
          </w:p>
        </w:tc>
      </w:tr>
      <w:tr>
        <w:trPr>
          <w:trHeight w:val="27"/>
        </w:trPr>
        <w:tc>
          <w:tcPr>
            <w:tcW w:w="9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52,240</w:t>
            </w:r>
          </w:p>
        </w:tc>
      </w:tr>
      <w:tr>
        <w:trPr>
          <w:trHeight w:val="243"/>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r>
      <w:tr>
        <w:trPr>
          <w:trHeight w:val="27"/>
        </w:trPr>
        <w:tc>
          <w:tcPr>
            <w:tcW w:w="9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43"/>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9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8"/>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434,645</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Revenues allocated to remaining performance obligations represents the transaction price of noncancelable orders for which service has not been performed, which include deferred revenue and the amounts that will be invoiced and recognized as revenues in future periods from open contracts and excludes unexercised renewals. The Company applied the short-term contract exemption to exclude the remaining performance obligations that are part of a contract that has an original expected duration of one year or less.</w:t>
      </w:r>
    </w:p>
    <w:p>
      <w:pPr>
        <w:spacing w:after="0" w:line="18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From time to time, the Company enters into contracts with customers that extend beyond one year, with certain of its customers electing to pay for more than one year of services upon contract execution. The Company concluded that these contracts did not contain a financing component.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Revenues by sales channel are as follows: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86"/>
        </w:trPr>
        <w:tc>
          <w:tcPr>
            <w:tcW w:w="6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40" w:type="dxa"/>
            <w:vAlign w:val="bottom"/>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40" w:type="dxa"/>
            <w:vAlign w:val="bottom"/>
          </w:tcPr>
          <w:p>
            <w:pPr>
              <w:spacing w:after="0"/>
              <w:rPr>
                <w:sz w:val="24"/>
                <w:szCs w:val="24"/>
                <w:color w:val="auto"/>
              </w:rPr>
            </w:pPr>
          </w:p>
        </w:tc>
      </w:tr>
      <w:tr>
        <w:trPr>
          <w:trHeight w:val="27"/>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6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285,382</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204,341</w:t>
            </w:r>
          </w:p>
        </w:tc>
      </w:tr>
      <w:tr>
        <w:trPr>
          <w:trHeight w:val="27"/>
        </w:trPr>
        <w:tc>
          <w:tcPr>
            <w:tcW w:w="6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607,571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554,458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489,723</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Company utilizes partners to enable and accelerate the adoption of its cloud platform by increasing its distribution capabilities and market awareness of its cloud platform as well as by targeting geographic regions outside the reach of its direct sales force. The Company's channel partners maintain relationships with their customers throughout the territories in which they operate and provide their customers with services and third-party solutions to help meet those customers’ evolving security and compliance requirements. As such, these partners may offer the Company's IT security and compliance solutions in conjunction with one or more of their own products or services and act as a conduit through which the Company can connect with these prospective customers to offer its solutions. For sales involving a channel partner, the channel partner engages with the prospective customer directly and involves the Company's sales team as needed to assist in developing and closing an order. When a channel partner secures a sale, the Company sells the associated subscription to the channel partner who in turn resells the subscription to the customer. Sales to channel partners are made at a discount and revenues are recorded at this discounted price over the subscription terms. The Company does not have any influence or specific knowledge of its partners' selling terms with their customers. See Note 13, "Segment and Geographic Area Information" for disaggregation of revenue by geographic area.</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costs to obtain contracts are as follows: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86"/>
        </w:trPr>
        <w:tc>
          <w:tcPr>
            <w:tcW w:w="8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Pr>
          <w:p>
            <w:pPr>
              <w:spacing w:after="0"/>
              <w:rPr>
                <w:sz w:val="24"/>
                <w:szCs w:val="24"/>
                <w:color w:val="auto"/>
              </w:rPr>
            </w:pPr>
          </w:p>
        </w:tc>
      </w:tr>
      <w:tr>
        <w:trPr>
          <w:trHeight w:val="27"/>
        </w:trPr>
        <w:tc>
          <w:tcPr>
            <w:tcW w:w="8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7"/>
        </w:trPr>
        <w:tc>
          <w:tcPr>
            <w:tcW w:w="8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7"/>
        </w:trPr>
        <w:tc>
          <w:tcPr>
            <w:tcW w:w="8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80" w:type="dxa"/>
            <w:vAlign w:val="bottom"/>
          </w:tcPr>
          <w:p>
            <w:pPr>
              <w:spacing w:after="0"/>
              <w:rPr>
                <w:sz w:val="24"/>
                <w:szCs w:val="24"/>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w:t>
            </w: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15,301</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11,844</w:t>
            </w:r>
          </w:p>
        </w:tc>
      </w:tr>
    </w:tbl>
    <w:p>
      <w:pPr>
        <w:spacing w:after="0" w:line="3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2023 and 2022, the Company recognized $7.2 million, $6.0 million and $5.0 million, respectively, of amortization expense relating to deferred costs to obtain contracts in sales and marketing expense in the consolidated statements of operations. During the same periods, there was no impairment loss related to the deferred costs to obtain contracts.</w:t>
      </w:r>
    </w:p>
    <w:p>
      <w:pPr>
        <w:spacing w:after="0" w:line="38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October 4, 2022, the Company acquired certain assets of Blue Hexagon Inc., a privately held company incorporated in Delaware, for $10.0 million in cash, of which $8.5 million was paid on the acquisition date and the remaining $1.5 million was deferred and paid in March 2024. In addition, the Company assumed $1.4 million deferred revenue. Blue Hexagon's AI/ML-driven network detection enables the Company to leverage its cloud platform with AI/machine learning to uncover behavior patterns including active vulnerability exploitation, identification of advanced network threats, and adaptive risk mitigation across all assets and application. The Company accounted for this transaction as an asset acquisition, as substantially all of the fair value is concentrated in developed technology acquired. The Company incurred $0.6 million transaction costs which is included as the cost of acquiring the intangible assets. The Company recognized intangible assets of $11.5 million for developed technology and $0.4 million for assembled workforce, which will be amortized over five years and two years, respectively.</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August 19, 2021, the Company acquired certain developed technology intangible assets of TotalCloud, a privately held company incorporated in India, for a total cash consideration of $1.2 million, of which $1.1 million was paid on the acquisition date and the remaining $0.1 million was deferred and paid in August 2022. TotalCloud's technology strengthens the Company's cloud security solution by allowing customers to build user-defined workflows for custom policies and execute them on-demand for simplified security and compliance. The acquired intangible assets will be amortized over five years.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changes in the carrying amount of goodwill for the years ended December 31, 2024 and 2023.</w:t>
      </w:r>
    </w:p>
    <w:p>
      <w:pPr>
        <w:spacing w:after="0" w:line="200" w:lineRule="exact"/>
        <w:rPr>
          <w:sz w:val="20"/>
          <w:szCs w:val="20"/>
          <w:color w:val="auto"/>
        </w:rPr>
      </w:pPr>
    </w:p>
    <w:p>
      <w:pPr>
        <w:spacing w:after="0" w:line="23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NOTE 7.</w:t>
        <w:tab/>
        <w:t>Intangible Assets, Net</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Intangible assets consist primarily of developed technology and patent licenses acquired from business or asset acquisitions. Acquired intangibles are amortized on a straight-line basis over the respective estimated useful lives of the assets.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The carrying values of intangible assets are as follows:</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5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Average Life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36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0" w:type="dxa"/>
            <w:vAlign w:val="bottom"/>
          </w:tcPr>
          <w:p>
            <w:pPr>
              <w:spacing w:after="0"/>
              <w:rPr>
                <w:sz w:val="1"/>
                <w:szCs w:val="1"/>
                <w:color w:val="auto"/>
              </w:rPr>
            </w:pPr>
          </w:p>
        </w:tc>
      </w:tr>
      <w:tr>
        <w:trPr>
          <w:trHeight w:val="27"/>
        </w:trPr>
        <w:tc>
          <w:tcPr>
            <w:tcW w:w="5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6,772</w:t>
            </w:r>
          </w:p>
        </w:tc>
        <w:tc>
          <w:tcPr>
            <w:tcW w:w="0" w:type="dxa"/>
            <w:vAlign w:val="bottom"/>
          </w:tcPr>
          <w:p>
            <w:pPr>
              <w:spacing w:after="0"/>
              <w:rPr>
                <w:sz w:val="1"/>
                <w:szCs w:val="1"/>
                <w:color w:val="auto"/>
              </w:rPr>
            </w:pPr>
          </w:p>
        </w:tc>
      </w:tr>
      <w:tr>
        <w:trPr>
          <w:trHeight w:val="243"/>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Patent licenses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Assembled workforce</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intangibles subject to amortization</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41,887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(35,115)</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6,772</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63"/>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6,812</w:t>
            </w: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Average Life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36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0" w:type="dxa"/>
            <w:vAlign w:val="bottom"/>
          </w:tcPr>
          <w:p>
            <w:pPr>
              <w:spacing w:after="0"/>
              <w:rPr>
                <w:sz w:val="1"/>
                <w:szCs w:val="1"/>
                <w:color w:val="auto"/>
              </w:rPr>
            </w:pPr>
          </w:p>
        </w:tc>
      </w:tr>
      <w:tr>
        <w:trPr>
          <w:trHeight w:val="27"/>
        </w:trPr>
        <w:tc>
          <w:tcPr>
            <w:tcW w:w="5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9,474</w:t>
            </w:r>
          </w:p>
        </w:tc>
        <w:tc>
          <w:tcPr>
            <w:tcW w:w="0" w:type="dxa"/>
            <w:vAlign w:val="bottom"/>
          </w:tcPr>
          <w:p>
            <w:pPr>
              <w:spacing w:after="0"/>
              <w:rPr>
                <w:sz w:val="1"/>
                <w:szCs w:val="1"/>
                <w:color w:val="auto"/>
              </w:rPr>
            </w:pPr>
          </w:p>
        </w:tc>
      </w:tr>
      <w:tr>
        <w:trPr>
          <w:trHeight w:val="243"/>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Patent licenses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Assembled workforce</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64"/>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intangibles subject to amortization</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41,887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(32,212)</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9,675</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64"/>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9,715</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Intangible assets amortization expenses were $2.9 million, $3.1 million and $5.7 million for the years ended December 31, 2024, 2023 and 2022, respectively, which were recorded in the consolidated statements of operations.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 of December 31, 2024, the Company expects amortization expense in future periods to be as follows: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86"/>
        </w:trPr>
        <w:tc>
          <w:tcPr>
            <w:tcW w:w="9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
        </w:trPr>
        <w:tc>
          <w:tcPr>
            <w:tcW w:w="9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r>
      <w:tr>
        <w:trPr>
          <w:trHeight w:val="243"/>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w:t>
            </w:r>
          </w:p>
        </w:tc>
      </w:tr>
      <w:tr>
        <w:trPr>
          <w:trHeight w:val="27"/>
        </w:trPr>
        <w:tc>
          <w:tcPr>
            <w:tcW w:w="9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r>
      <w:tr>
        <w:trPr>
          <w:trHeight w:val="264"/>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expected future amortization expense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6,772</w:t>
            </w:r>
          </w:p>
        </w:tc>
      </w:tr>
      <w:tr>
        <w:trPr>
          <w:trHeight w:val="20"/>
        </w:trPr>
        <w:tc>
          <w:tcPr>
            <w:tcW w:w="9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NOTE 8.</w:t>
        <w:tab/>
        <w:t>Leases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leases certain offices, computer equipment and its shared cloud platform facilities under non-cancelable operating leases for varying periods through 2030. While under the Company's lease agreements the Company has options to extend its certain leases, the Company has not included renewal options in determining the lease terms for calculating its lease liabilities, as these options are not reasonably certain of being exercised. Lease expense was $16.6 million, $16.1 million and $14.9 million for the years ended December 31, 2024, 2023 and 2022,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was as follows: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86"/>
        </w:trPr>
        <w:tc>
          <w:tcPr>
            <w:tcW w:w="6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40" w:type="dxa"/>
            <w:vAlign w:val="bottom"/>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40" w:type="dxa"/>
            <w:vAlign w:val="bottom"/>
          </w:tcPr>
          <w:p>
            <w:pPr>
              <w:spacing w:after="0"/>
              <w:rPr>
                <w:sz w:val="24"/>
                <w:szCs w:val="24"/>
                <w:color w:val="auto"/>
              </w:rPr>
            </w:pPr>
          </w:p>
        </w:tc>
      </w:tr>
      <w:tr>
        <w:trPr>
          <w:trHeight w:val="27"/>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6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included in the measurement of lease liabilities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15,751</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arising from obtaining right-of-use assets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8,669</w:t>
            </w:r>
          </w:p>
        </w:tc>
      </w:tr>
    </w:tbl>
    <w:p>
      <w:pPr>
        <w:spacing w:after="0" w:line="3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weighted average remaining lease term and the weighted average discount rate of the Company's operating leases were as follows:</w:t>
      </w:r>
    </w:p>
    <w:p>
      <w:pPr>
        <w:spacing w:after="0" w:line="275"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36830</wp:posOffset>
            </wp:positionV>
            <wp:extent cx="19970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0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9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Maturities of the Company's operating lease liabilities as of December 31, 2024 are as follows: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86"/>
        </w:trPr>
        <w:tc>
          <w:tcPr>
            <w:tcW w:w="9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
        </w:trPr>
        <w:tc>
          <w:tcPr>
            <w:tcW w:w="9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12,875</w:t>
            </w:r>
          </w:p>
        </w:tc>
      </w:tr>
      <w:tr>
        <w:trPr>
          <w:trHeight w:val="243"/>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12,845</w:t>
            </w:r>
          </w:p>
        </w:tc>
      </w:tr>
      <w:tr>
        <w:trPr>
          <w:trHeight w:val="27"/>
        </w:trPr>
        <w:tc>
          <w:tcPr>
            <w:tcW w:w="9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12,831</w:t>
            </w:r>
          </w:p>
        </w:tc>
      </w:tr>
      <w:tr>
        <w:trPr>
          <w:trHeight w:val="243"/>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9,588</w:t>
            </w:r>
          </w:p>
        </w:tc>
      </w:tr>
      <w:tr>
        <w:trPr>
          <w:trHeight w:val="27"/>
        </w:trPr>
        <w:tc>
          <w:tcPr>
            <w:tcW w:w="9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w:t>
            </w:r>
          </w:p>
        </w:tc>
      </w:tr>
      <w:tr>
        <w:trPr>
          <w:trHeight w:val="243"/>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r>
      <w:tr>
        <w:trPr>
          <w:trHeight w:val="27"/>
        </w:trPr>
        <w:tc>
          <w:tcPr>
            <w:tcW w:w="9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9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55,858</w:t>
            </w:r>
          </w:p>
        </w:tc>
      </w:tr>
      <w:tr>
        <w:trPr>
          <w:trHeight w:val="243"/>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(8,637)</w:t>
            </w:r>
          </w:p>
        </w:tc>
      </w:tr>
      <w:tr>
        <w:trPr>
          <w:trHeight w:val="27"/>
        </w:trPr>
        <w:tc>
          <w:tcPr>
            <w:tcW w:w="9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9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net minimum lease payments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47,221</w:t>
            </w:r>
          </w:p>
        </w:tc>
      </w:tr>
      <w:tr>
        <w:trPr>
          <w:trHeight w:val="243"/>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lease liabilities, current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(9,721)</w:t>
            </w:r>
          </w:p>
        </w:tc>
      </w:tr>
      <w:tr>
        <w:trPr>
          <w:trHeight w:val="27"/>
        </w:trPr>
        <w:tc>
          <w:tcPr>
            <w:tcW w:w="9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8"/>
        </w:trPr>
        <w:tc>
          <w:tcPr>
            <w:tcW w:w="9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operating lease payments in the table above exclude approximately $4.1 million of legally binding minimum lease payments for a lease signed during the year ended December 31, 2024 that has yet to commence.</w:t>
      </w:r>
    </w:p>
    <w:p>
      <w:pPr>
        <w:spacing w:after="0" w:line="37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Commitment and Contingencies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has entered into agreements to purchase goods and services in the ordinary course of business. As of December 31, 2024, these remaining purchase commitments for future periods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
        </w:trPr>
        <w:tc>
          <w:tcPr>
            <w:tcW w:w="9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620" w:type="dxa"/>
            <w:vAlign w:val="bottom"/>
            <w:tcBorders>
              <w:bottom w:val="single" w:sz="8" w:color="CCEEFF"/>
            </w:tcBorders>
            <w:shd w:val="clear" w:color="auto" w:fill="CCEEFF"/>
          </w:tcPr>
          <w:p>
            <w:pPr>
              <w:jc w:val="right"/>
              <w:ind w:right="9150"/>
              <w:spacing w:after="0"/>
              <w:rPr>
                <w:sz w:val="20"/>
                <w:szCs w:val="20"/>
                <w:color w:val="auto"/>
              </w:rPr>
            </w:pPr>
            <w:r>
              <w:rPr>
                <w:rFonts w:ascii="Times New Roman" w:cs="Times New Roman" w:eastAsia="Times New Roman" w:hAnsi="Times New Roman"/>
                <w:sz w:val="18"/>
                <w:szCs w:val="18"/>
                <w:color w:val="auto"/>
                <w:w w:val="99"/>
              </w:rPr>
              <w:t>2025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25,050</w:t>
            </w:r>
          </w:p>
        </w:tc>
      </w:tr>
      <w:tr>
        <w:trPr>
          <w:trHeight w:val="243"/>
        </w:trPr>
        <w:tc>
          <w:tcPr>
            <w:tcW w:w="9620" w:type="dxa"/>
            <w:vAlign w:val="bottom"/>
          </w:tcPr>
          <w:p>
            <w:pPr>
              <w:jc w:val="right"/>
              <w:ind w:right="9150"/>
              <w:spacing w:after="0"/>
              <w:rPr>
                <w:sz w:val="20"/>
                <w:szCs w:val="20"/>
                <w:color w:val="auto"/>
              </w:rPr>
            </w:pPr>
            <w:r>
              <w:rPr>
                <w:rFonts w:ascii="Times New Roman" w:cs="Times New Roman" w:eastAsia="Times New Roman" w:hAnsi="Times New Roman"/>
                <w:sz w:val="18"/>
                <w:szCs w:val="18"/>
                <w:color w:val="auto"/>
                <w:w w:val="99"/>
              </w:rPr>
              <w:t>2026</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24,748</w:t>
            </w:r>
          </w:p>
        </w:tc>
      </w:tr>
      <w:tr>
        <w:trPr>
          <w:trHeight w:val="27"/>
        </w:trPr>
        <w:tc>
          <w:tcPr>
            <w:tcW w:w="9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9620" w:type="dxa"/>
            <w:vAlign w:val="bottom"/>
            <w:tcBorders>
              <w:bottom w:val="single" w:sz="8" w:color="CCEEFF"/>
            </w:tcBorders>
            <w:shd w:val="clear" w:color="auto" w:fill="CCEEFF"/>
          </w:tcPr>
          <w:p>
            <w:pPr>
              <w:jc w:val="right"/>
              <w:ind w:right="9150"/>
              <w:spacing w:after="0"/>
              <w:rPr>
                <w:sz w:val="20"/>
                <w:szCs w:val="20"/>
                <w:color w:val="auto"/>
              </w:rPr>
            </w:pPr>
            <w:r>
              <w:rPr>
                <w:rFonts w:ascii="Times New Roman" w:cs="Times New Roman" w:eastAsia="Times New Roman" w:hAnsi="Times New Roman"/>
                <w:sz w:val="18"/>
                <w:szCs w:val="18"/>
                <w:color w:val="auto"/>
                <w:w w:val="99"/>
              </w:rPr>
              <w:t>2027</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w:t>
            </w:r>
          </w:p>
        </w:tc>
      </w:tr>
      <w:tr>
        <w:trPr>
          <w:trHeight w:val="263"/>
        </w:trPr>
        <w:tc>
          <w:tcPr>
            <w:tcW w:w="9620" w:type="dxa"/>
            <w:vAlign w:val="bottom"/>
          </w:tcPr>
          <w:p>
            <w:pPr>
              <w:jc w:val="right"/>
              <w:ind w:right="7270"/>
              <w:spacing w:after="0"/>
              <w:rPr>
                <w:sz w:val="20"/>
                <w:szCs w:val="20"/>
                <w:color w:val="auto"/>
              </w:rPr>
            </w:pPr>
            <w:r>
              <w:rPr>
                <w:rFonts w:ascii="Times New Roman" w:cs="Times New Roman" w:eastAsia="Times New Roman" w:hAnsi="Times New Roman"/>
                <w:sz w:val="18"/>
                <w:szCs w:val="18"/>
                <w:color w:val="auto"/>
              </w:rPr>
              <w:t>Total purchase commitments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56,405</w:t>
            </w:r>
          </w:p>
        </w:tc>
      </w:tr>
      <w:tr>
        <w:trPr>
          <w:trHeight w:val="20"/>
        </w:trPr>
        <w:tc>
          <w:tcPr>
            <w:tcW w:w="9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maintains director and officer insurance, which may cover certain liabilities arising from its obligation to indemnify its directors.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or be subject to claims arising in the ordinary course of the Company's business. The Company records a provision for a liability when it is both probable that a liability has been incurred and the amount can be reasonably estimated. Legal expenses related to such matters are expensed as incurred. The Company provides disclosure if it is reasonably possible that a loss has been incurred and a range of loss or possible loss can be reasonably estimated. Significant judgment is required to determine both probability and the estimated amount. The Company</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reviews these provisions at least quarterly and adjust these provisions to reflect the impact of negotiations, settlements, rulings, advice of legal counsel, and updated information.</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December 31, 2024, there has not been at least a reasonable possibility that the Company has incurred a material loss from any ongoing legal proceedings, individually or taken together. However, litigation is inherently unpredictable and is subject to significant uncertainties, some of which are beyond the Company's control. Should any of these estimates and assumptions change or prove to have been incorrect, the Company could incur significant charges related to legal matters which could have a material impact on its results of operations, financial position and cash flows.</w:t>
      </w:r>
    </w:p>
    <w:p>
      <w:pPr>
        <w:spacing w:after="0" w:line="39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Stockholders' Equity and Stock-based Compensation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Effective October 3, 2012, the Company is authorized to issue 20.0 million shares of undesignated preferred stock with a par value of $0.001 per share. Each series of preferred stock will have such rights and preferences including dividend rights, dividend rate, conversion rights, voting rights, rights and terms of redemption (including sinking fund provisions), redemption price, and liquidation preferences as determined by the board of directors. As of December 31, 2024, and 2023, there were no issued or outstanding shares of preferred stock.</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Restated 2012 Equity Incentive Plan</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2012 Equity Incentive Plan (“Previous 2012 Plan”) was adopted and approved in September 2012 and became effective on September 26, 2012. Under the Previous 2012 Plan, the Company is authorized to grant to eligible participant’s incentive stock options ("ISOs"), nonstatutory stock options ("NSOs"), stock appreciation rights (“SARs”), restricted stock awards, restricted stock units ("RSUs"), performance units and performance shares. The number of shares of common stock available for issuance under the Previous 2012 Plan is subject to an annual increase on January 1 of each year by an amount equal to the least of 3,050 thousand shares, 5% of the outstanding shares of stock as of the last day of the immediately preceding fiscal year or an amount determined by the board of directors.</w:t>
      </w:r>
    </w:p>
    <w:p>
      <w:pPr>
        <w:spacing w:after="0" w:line="18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June 8, 2022 ("Effective Date"), the Company's stockholders approved the Amended and Restated 2012 Equity Incentive Plan (the "Restated 2012 Plan"). Under the Restated 2012 Plan, the Company is authorized to grant to eligible participants ISOs, NSOs, restricted stock, RSUs, SARs, performance units and performance shares. Pursuant to the relevant plan provisions, 3,072 thousand shares were available for grant under the Restated 2012 Plan on the Effective Date. In addition, any outstanding awards or options granted under the Previous 2012 Equity Incentive Plan will be added back to the shares available for grant under the Restated 2012 Plan if they expire unexercised or are otherwise forfeited after the Effective Date. Any remaining shares of 9,689 thousand available for grant under the Previous 2012 Plan as of the Effective Date were no longer available for future grants under the Restated 2012 Plan.</w:t>
      </w:r>
    </w:p>
    <w:p>
      <w:pPr>
        <w:spacing w:after="0" w:line="18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On June 12, 2024, the Company's stockholders approved an amendment and restatement to the Restated 2012 Plan to increase the number of shares of the Company's common stock reserved for issuance by 1,092 thousand shares.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2024, 2,326 thousand shares are available for future grants.</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Options may be granted with an exercise price that is at least equal to the fair market value of the Company's stock at the date of grant and are exercisable when vested. Options and RSU's granted generally vest over a period of up to four years. ISOs may only be granted to employees and any subsidiary corporations' employees. All other awards may be granted to employees, directors and consultants and subsidiary corporations' employees and consultants. Options, SARs, RSUs, performance units and performance awards may be granted with vesting terms as determined by the board of directors and expire no more than ten years after the date of grant or earlier if employment or service is terminated.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2021 Employee Stock Purchase Plan</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June 9, 2021, the Company’s stockholders approved the 2021 ESPP. A total of 600 thousand shares were authorized for issuance to eligible participating employees upon adoption of the ESPP. The ESPP provides for consecutive 6-month offering periods beginning on or about August 16 and February 16 of each year. Eligible employees who elect to participate can contribute from 1% to 15% of their eligible compensation through payroll withholding. During any offering period, contribution rates cannot be changed. However, eligible employees may withdraw from the current offering period. Any contributions made prior to each purchase date in the case of withdrawal or termination of employment will be refunded. On each purchase date, eligible participating employees will purchase the shares at a price per share equal to 85% of the lesser of (i) the fair market value of the Company's stock on the first trading day of the offering period or (ii) the fair market value of the Company's stock on the purchase date (i.e., the last trading day of the offering period).</w:t>
      </w:r>
    </w:p>
    <w:p>
      <w:pPr>
        <w:spacing w:after="0" w:line="1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59 thousand shares were issued in connection with the purchase of common stock by participating employees. As of December 31, 2024, 435 thousand shares were available for future purchase.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the Company’s stock options granted for the years ended December 31, 2024, 2023 and 2022 was $56.37, $49.08 and $50.32, respectively, using the Black-Scholes-Merton option-pricing model based on the following assumptions: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3300" w:type="dxa"/>
            <w:vAlign w:val="bottom"/>
            <w:gridSpan w:val="5"/>
          </w:tcPr>
          <w:p>
            <w:pPr>
              <w:ind w:left="12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Pr>
          <w:p>
            <w:pPr>
              <w:spacing w:after="0"/>
              <w:rPr>
                <w:sz w:val="20"/>
                <w:szCs w:val="20"/>
                <w:color w:val="auto"/>
              </w:rPr>
            </w:pPr>
          </w:p>
        </w:tc>
      </w:tr>
      <w:tr>
        <w:trPr>
          <w:trHeight w:val="27"/>
        </w:trPr>
        <w:tc>
          <w:tcPr>
            <w:tcW w:w="68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spacing w:after="0"/>
              <w:rPr>
                <w:sz w:val="20"/>
                <w:szCs w:val="20"/>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8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 to 3.7</w:t>
            </w:r>
          </w:p>
        </w:tc>
        <w:tc>
          <w:tcPr>
            <w:tcW w:w="18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3.8 to 3.9</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to 4.4</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 to 42%</w:t>
            </w:r>
          </w:p>
        </w:tc>
        <w:tc>
          <w:tcPr>
            <w:tcW w:w="18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42% to 43%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to 43%</w:t>
            </w:r>
          </w:p>
        </w:tc>
      </w:tr>
      <w:tr>
        <w:trPr>
          <w:trHeight w:val="27"/>
        </w:trPr>
        <w:tc>
          <w:tcPr>
            <w:tcW w:w="6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 to 4.7%</w:t>
            </w:r>
          </w:p>
        </w:tc>
        <w:tc>
          <w:tcPr>
            <w:tcW w:w="18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3.7% to 4.9%</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to 4.2%</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5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expected term of the options is based on evaluations of historical and expected future employee exercise behavior. The risk-free interest rate is based on the U.S. Treasury rates at the date of grant with maturity dates equal to the expected term at the grant date. The volatility was estimated using the historical volatility derived from the Company's common stock. The Company has not historically declared any dividends and does not expect to in the future.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 summary of the Company’s stock option activity is as follows:</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64"/>
        </w:trPr>
        <w:tc>
          <w:tcPr>
            <w:tcW w:w="5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5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3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18"/>
                <w:szCs w:val="18"/>
                <w:color w:val="auto"/>
              </w:rPr>
            </w:pP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Average Exercise</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8"/>
                <w:szCs w:val="18"/>
                <w:color w:val="auto"/>
              </w:rPr>
            </w:pPr>
          </w:p>
        </w:tc>
        <w:tc>
          <w:tcPr>
            <w:tcW w:w="12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38"/>
        </w:trPr>
        <w:tc>
          <w:tcPr>
            <w:tcW w:w="534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20" w:type="dxa"/>
            <w:vAlign w:val="bottom"/>
          </w:tcPr>
          <w:p>
            <w:pPr>
              <w:spacing w:after="0"/>
              <w:rPr>
                <w:sz w:val="20"/>
                <w:szCs w:val="20"/>
                <w:color w:val="auto"/>
              </w:rPr>
            </w:pPr>
          </w:p>
        </w:tc>
        <w:tc>
          <w:tcPr>
            <w:tcW w:w="12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r>
      <w:tr>
        <w:trPr>
          <w:trHeight w:val="27"/>
        </w:trPr>
        <w:tc>
          <w:tcPr>
            <w:tcW w:w="53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534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120" w:type="dxa"/>
            <w:vAlign w:val="bottom"/>
          </w:tcPr>
          <w:p>
            <w:pPr>
              <w:spacing w:after="0"/>
              <w:rPr>
                <w:sz w:val="20"/>
                <w:szCs w:val="20"/>
                <w:color w:val="auto"/>
              </w:rPr>
            </w:pPr>
          </w:p>
        </w:tc>
        <w:tc>
          <w:tcPr>
            <w:tcW w:w="12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
        </w:trPr>
        <w:tc>
          <w:tcPr>
            <w:tcW w:w="5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3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142,302</w:t>
            </w:r>
          </w:p>
        </w:tc>
      </w:tr>
      <w:tr>
        <w:trPr>
          <w:trHeight w:val="243"/>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153.34</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3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Canceled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133.69</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89"/>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3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113.07</w:t>
            </w:r>
          </w:p>
        </w:tc>
        <w:tc>
          <w:tcPr>
            <w:tcW w:w="1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40,141</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r>
        <w:trPr>
          <w:trHeight w:val="21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as of December 31, 2024</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110.11</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39,198</w:t>
            </w:r>
          </w:p>
        </w:tc>
      </w:tr>
      <w:tr>
        <w:trPr>
          <w:trHeight w:val="27"/>
        </w:trPr>
        <w:tc>
          <w:tcPr>
            <w:tcW w:w="5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2024</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94.77</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35,614</w:t>
            </w:r>
          </w:p>
        </w:tc>
      </w:tr>
      <w:tr>
        <w:trPr>
          <w:trHeight w:val="27"/>
        </w:trPr>
        <w:tc>
          <w:tcPr>
            <w:tcW w:w="53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total intrinsic value of options exercised for the years ended December 31, 2024, 2023 and 2022 was $24.0 million, $41.7 million and $39.8 million, respectively. Intrinsic value of an option is the difference between the fair value of the Company’s common stock at the time of exercise and the exercise price paid.</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tc>
        <w:tc>
          <w:tcPr>
            <w:tcW w:w="1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8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 summary of the Company’s RSU activity, inclusive of PRSU activity, is as follows:</w:t>
            </w: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64"/>
        </w:trPr>
        <w:tc>
          <w:tcPr>
            <w:tcW w:w="8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0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r>
      <w:tr>
        <w:trPr>
          <w:trHeight w:val="216"/>
        </w:trPr>
        <w:tc>
          <w:tcPr>
            <w:tcW w:w="80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16"/>
        </w:trPr>
        <w:tc>
          <w:tcPr>
            <w:tcW w:w="80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Fair Value Per</w:t>
            </w:r>
          </w:p>
        </w:tc>
      </w:tr>
      <w:tr>
        <w:trPr>
          <w:trHeight w:val="238"/>
        </w:trPr>
        <w:tc>
          <w:tcPr>
            <w:tcW w:w="804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RSUs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Share</w:t>
            </w:r>
          </w:p>
        </w:tc>
      </w:tr>
      <w:tr>
        <w:trPr>
          <w:trHeight w:val="27"/>
        </w:trPr>
        <w:tc>
          <w:tcPr>
            <w:tcW w:w="80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804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8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133.60</w:t>
            </w:r>
          </w:p>
        </w:tc>
      </w:tr>
      <w:tr>
        <w:trPr>
          <w:trHeight w:val="24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144.37</w:t>
            </w:r>
          </w:p>
        </w:tc>
      </w:tr>
      <w:tr>
        <w:trPr>
          <w:trHeight w:val="27"/>
        </w:trPr>
        <w:tc>
          <w:tcPr>
            <w:tcW w:w="8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129.02</w:t>
            </w:r>
          </w:p>
        </w:tc>
      </w:tr>
      <w:tr>
        <w:trPr>
          <w:trHeight w:val="24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140.12</w:t>
            </w:r>
          </w:p>
        </w:tc>
      </w:tr>
      <w:tr>
        <w:trPr>
          <w:trHeight w:val="27"/>
        </w:trPr>
        <w:tc>
          <w:tcPr>
            <w:tcW w:w="80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8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140.72</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r>
        <w:trPr>
          <w:trHeight w:val="24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and expected to vest as of December 31, 2024</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3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138.46</w:t>
            </w:r>
          </w:p>
        </w:tc>
      </w:tr>
      <w:tr>
        <w:trPr>
          <w:trHeight w:val="20"/>
        </w:trPr>
        <w:tc>
          <w:tcPr>
            <w:tcW w:w="80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184" w:lineRule="exact"/>
        <w:rPr>
          <w:sz w:val="20"/>
          <w:szCs w:val="20"/>
          <w:color w:val="auto"/>
        </w:rPr>
      </w:pPr>
    </w:p>
    <w:p>
      <w:pPr>
        <w:ind w:left="400" w:hanging="230"/>
        <w:spacing w:after="0"/>
        <w:tabs>
          <w:tab w:leader="none" w:pos="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139 thousand PRSUs granted to certain executive officers in 2023, 2022 and 2021.</w:t>
      </w:r>
    </w:p>
    <w:p>
      <w:pPr>
        <w:spacing w:after="0" w:line="2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156 thousand PRSUs granted to certain executive officers in 2024</w:t>
      </w:r>
    </w:p>
    <w:p>
      <w:pPr>
        <w:spacing w:after="0" w:line="9"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64 thousand PRSUs granted to certain executive officers in 2023, 2022 and 2021.</w:t>
      </w:r>
    </w:p>
    <w:p>
      <w:pPr>
        <w:spacing w:after="0" w:line="9"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70 thousand PRSUs granted to certain executive officers in 2023, 2022 and 2021.</w:t>
      </w:r>
    </w:p>
    <w:p>
      <w:pPr>
        <w:spacing w:after="0" w:line="9"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161 thousand PRSUs granted to certain executive officers in 2024, 2023, 2022 and 2021.</w:t>
      </w:r>
    </w:p>
    <w:p>
      <w:pPr>
        <w:spacing w:after="0" w:line="20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aggregate fair value of RSUs vested for the years ended December 31, 2024, 2023 and 2022 was $56.2 million, $55.7 million and $43.9 million, respectively.</w:t>
      </w:r>
    </w:p>
    <w:p>
      <w:pPr>
        <w:spacing w:after="0" w:line="16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Company, at times, grants PRSU under the Plans, to its executive officers and certain other members of its senior leadership team. These PRSUs include both service-based and performance-based vesting conditions. During the fourth quarter each year, the Company’s board of directors (the “Board”) or the Compensation and Talent Committee (“CTC”) approves the target value for the PRSUs. The target PRSUs are scheduled to vest in three equal annual installments over a three-year period, beginning the year after approval. The performance-based vesting condition is satisfied upon the achievement of certain Company annual performance metrics, including revenue growth and adjusted EBITDA margin, which are approved annually by the Board or the CTC. Each annual installments at 200% of the annual target will be considered granted when the performance metrics for the corresponding performance year is determined and approved. The actual number of the PRSUs earned and eligible to vest ranges from 0% to 200% of the annual target, based on the weighted-average achievement of such Company annual performance metrics set for the corresponding annual performance period. Up to 100% of the first and second installment will vest and be released upon completion of the respective performance period following the certification by the Audit and Risk Committee (“ARC”), with cumulative achievement over 100%, if any, to be vested and released at the end of the third year performance period, along with the third installment, following the certification by the ARC. Under the Plan, any unvested PRSU award may be accelerated in part or in full upon the occurrence of certain events, such as death or disability, or a change in control, as defined in the grant agreement.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the Company’s ESPP for the year ended December 31, 2024 and 2023 was $35.67, $34.50 and $39.14 respectively, using the Black-Scholes-Merton option-pricing model based on the following assumptions: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40" w:type="dxa"/>
            <w:vAlign w:val="bottom"/>
          </w:tcPr>
          <w:p>
            <w:pPr>
              <w:spacing w:after="0"/>
              <w:rPr>
                <w:sz w:val="20"/>
                <w:szCs w:val="20"/>
                <w:color w:val="auto"/>
              </w:rPr>
            </w:pPr>
          </w:p>
        </w:tc>
        <w:tc>
          <w:tcPr>
            <w:tcW w:w="3420" w:type="dxa"/>
            <w:vAlign w:val="bottom"/>
            <w:gridSpan w:val="5"/>
          </w:tcPr>
          <w:p>
            <w:pPr>
              <w:ind w:left="1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60" w:type="dxa"/>
            <w:vAlign w:val="bottom"/>
          </w:tcPr>
          <w:p>
            <w:pPr>
              <w:spacing w:after="0"/>
              <w:rPr>
                <w:sz w:val="20"/>
                <w:szCs w:val="20"/>
                <w:color w:val="auto"/>
              </w:rPr>
            </w:pPr>
          </w:p>
        </w:tc>
      </w:tr>
      <w:tr>
        <w:trPr>
          <w:trHeight w:val="27"/>
        </w:trPr>
        <w:tc>
          <w:tcPr>
            <w:tcW w:w="65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654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32.6% to 32.7%</w:t>
            </w:r>
          </w:p>
        </w:tc>
        <w:tc>
          <w:tcPr>
            <w:tcW w:w="18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30.0% to 43.8%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 to 50.1%</w:t>
            </w:r>
          </w:p>
        </w:tc>
      </w:tr>
      <w:tr>
        <w:trPr>
          <w:trHeight w:val="27"/>
        </w:trPr>
        <w:tc>
          <w:tcPr>
            <w:tcW w:w="6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 to 5.3%</w:t>
            </w:r>
          </w:p>
        </w:tc>
        <w:tc>
          <w:tcPr>
            <w:tcW w:w="18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 to 5.5%</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to 3.1%</w:t>
            </w:r>
          </w:p>
        </w:tc>
      </w:tr>
      <w:tr>
        <w:trPr>
          <w:trHeight w:val="243"/>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60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expected term of the ESPP represents the six-month offering period. The risk-free interest rate is based on the U.S. Treasury rates at the date of grant with maturity dates equal to the expected term at the grant date. The volatility was estimated using the historical volatility derived from the Company's common stock. The Company has not historically declared any dividends and does not expect to in the future.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shows a summary of the stock-based compensation expenses included in the consolidated statements of operations for the years ended December 31, 2024, 2023 and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40" w:type="dxa"/>
            <w:vAlign w:val="bottom"/>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40" w:type="dxa"/>
            <w:vAlign w:val="bottom"/>
          </w:tcPr>
          <w:p>
            <w:pPr>
              <w:spacing w:after="0"/>
              <w:rPr>
                <w:sz w:val="20"/>
                <w:szCs w:val="20"/>
                <w:color w:val="auto"/>
              </w:rPr>
            </w:pPr>
          </w:p>
        </w:tc>
      </w:tr>
      <w:tr>
        <w:trPr>
          <w:trHeight w:val="27"/>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6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5,305</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14,585</w:t>
            </w: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9,837</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23,681</w:t>
            </w:r>
          </w:p>
        </w:tc>
      </w:tr>
      <w:tr>
        <w:trPr>
          <w:trHeight w:val="27"/>
        </w:trPr>
        <w:tc>
          <w:tcPr>
            <w:tcW w:w="6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net of amounts capitalized (1)</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77,133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69,079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53,408</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 Total stock-based compensation expense capitalized was de minimis during the year ended December 31, 2024.</w:t>
      </w:r>
    </w:p>
    <w:p>
      <w:pPr>
        <w:spacing w:after="0" w:line="22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Of the total stock-based compensation expense in the table above, the Company recognized stock-based compensation expenses related to all PRSUs of $12.4 million, $7.4 million and $3.9 million for the years ended December 31, 2024, 2023 and 2022, respectively.</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income tax benefit related to the stock-based compensation expenses was $11.6 million, $11.0 million and $8.3 million for the years ended December 31, 2024, 2023 and 2022, respectively. The tax benefit realized from stock-based compensation vested or exercised was $5.2 million, $5.9 million, and $7.0 million for the years ended December 31, 2024, 2023 and 2022, respectively. As of December 31, 2024, the Company had unrecognized stock-based compensation expenses of $19.7 million, $94.1 million, $1.4 million, and $0.3 million related to options, RSUs, performance-based RSUs, and ESPP, respectively, which are expected to be recognized over weighted-average periods of 2.3 years, 2.9 years, 0.3 years, and 0.1 years, respectively.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The Company's share repurchase program was authorized by the board of directors as follows:</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62"/>
        </w:trPr>
        <w:tc>
          <w:tcPr>
            <w:tcW w:w="9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Authorized</w:t>
            </w:r>
          </w:p>
        </w:tc>
      </w:tr>
      <w:tr>
        <w:trPr>
          <w:trHeight w:val="267"/>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Announcement Date</w:t>
            </w:r>
          </w:p>
        </w:tc>
        <w:tc>
          <w:tcPr>
            <w:tcW w:w="140" w:type="dxa"/>
            <w:vAlign w:val="bottom"/>
          </w:tcPr>
          <w:p>
            <w:pPr>
              <w:spacing w:after="0"/>
              <w:rPr>
                <w:sz w:val="23"/>
                <w:szCs w:val="23"/>
                <w:color w:val="auto"/>
              </w:rPr>
            </w:pPr>
          </w:p>
        </w:tc>
        <w:tc>
          <w:tcPr>
            <w:tcW w:w="12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4"/>
              </w:rPr>
              <w:t>Dollar Value</w:t>
            </w:r>
            <w:r>
              <w:rPr>
                <w:rFonts w:ascii="Times New Roman" w:cs="Times New Roman" w:eastAsia="Times New Roman" w:hAnsi="Times New Roman"/>
                <w:sz w:val="23"/>
                <w:szCs w:val="23"/>
                <w:b w:val="1"/>
                <w:bCs w:val="1"/>
                <w:color w:val="auto"/>
                <w:w w:val="94"/>
                <w:vertAlign w:val="superscript"/>
              </w:rPr>
              <w:t>(1)</w:t>
            </w:r>
          </w:p>
        </w:tc>
      </w:tr>
      <w:tr>
        <w:trPr>
          <w:trHeight w:val="237"/>
        </w:trPr>
        <w:tc>
          <w:tcPr>
            <w:tcW w:w="9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12,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30, 2018</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30, 2019</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7, 2020</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10, 2021</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3, 2021</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4, 2022</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43"/>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9, 2023</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7, 2024</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63"/>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 of December 31,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w:t>
            </w:r>
          </w:p>
        </w:tc>
      </w:tr>
      <w:tr>
        <w:trPr>
          <w:trHeight w:val="21"/>
        </w:trPr>
        <w:tc>
          <w:tcPr>
            <w:tcW w:w="9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 Does not reflect the $200.0 million increase to the share repurchase program announced on February 6, 2025.</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Shares may be repurchased from time to time on the open market in accordance with Rule 10b-18 of the Exchange Act of 1934, including pursuant to a pre-set trading plan adopted in accordance with Rule 10b5-1 under the Exchange Act. All share repurchases have been made using cash resources. Repurchased shares are retired and reclassified as authorized and unissued shares of common stock. On retirement of the repurchased shares, common stock is reduced by an amount equal to the number of shares being retired multiplied by the par value. The excess amount that is retired over its par value is first allocated as a reduction to additional paid-in capital based on the original cost of additional paid-in capital per share of identified issuances. The remaining amount is allocated to accumulated deficit.</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February 6, 2025, the Company announced that its board of directors authorized an additional $200.0 million under the share repurchase program, increasing the total amount of authorized repurchase to $1.4 billion.</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2023 and 2022, the Company repurchased 1.0 million shares, 1.3 million shares and 2.5 million shares of its common stock for $140.3 million, $170.8 million and $317.3 million, respectively. As of December 31, 2024, $143.4 million remained available for share repurchases pursuant to the Company's share repurchase program.</w:t>
      </w:r>
    </w:p>
    <w:p>
      <w:pPr>
        <w:spacing w:after="0" w:line="17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Excise tax on stock repurchases net of issue was immaterial to the Company's financial results and cash flows for the years ended December 31, 2024 and 2023 and the Company's financial position as of December 31, 2024 and 2023.</w:t>
      </w:r>
    </w:p>
    <w:p>
      <w:pPr>
        <w:spacing w:after="0" w:line="37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Employee Benefits Plan</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401(k) Plan was established in 2000 to provide retirement and incidental benefits for its employees. As allowed under section 401(k) of the Internal Revenue Code, the 401(k) Plan provides tax-deferred salary deductions for eligible employees. Contributions to the 401(k) Plan are limited to a maximum amount as set periodically by the Internal Revenue Service. For the years ended December 31, 2024, 2023 and 2022, the Company made contributions to the 401(k) Plan of $4.4 million, $4.1 million and $3.5 million, respectively.</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contributes to a Provident Fund Plan for its employees in India, which is a defined contribution plan set up in accordance with local labor and tax laws. Gratuity is also paid by the Company to eligible employees in India in accordance with Payment of Gratuity Act, 1972. For the years ended December 31, 2024, 2023 and 2022, the Company contributed $3.2 million, $2.3 million and $2.0 million, respectively, to those plans.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geographical breakdown of income before income taxes is as follows:</w:t>
      </w:r>
    </w:p>
    <w:p>
      <w:pPr>
        <w:spacing w:after="0" w:line="275"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36830</wp:posOffset>
            </wp:positionV>
            <wp:extent cx="27946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57" w:lineRule="exact"/>
        <w:rPr>
          <w:sz w:val="20"/>
          <w:szCs w:val="20"/>
          <w:color w:val="auto"/>
        </w:rPr>
      </w:pPr>
    </w:p>
    <w:p>
      <w:pPr>
        <w:jc w:val="both"/>
        <w:ind w:left="7340"/>
        <w:spacing w:after="0"/>
        <w:tabs>
          <w:tab w:leader="none" w:pos="8820" w:val="left"/>
          <w:tab w:leader="none" w:pos="1032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36830</wp:posOffset>
            </wp:positionV>
            <wp:extent cx="27946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97"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2343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Domestic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Foreign</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p>
      <w:pPr>
        <w:spacing w:after="0" w:line="374" w:lineRule="exact"/>
        <w:rPr>
          <w:sz w:val="20"/>
          <w:szCs w:val="20"/>
          <w:color w:val="auto"/>
        </w:rPr>
      </w:pPr>
    </w:p>
    <w:p>
      <w:pPr>
        <w:jc w:val="right"/>
        <w:ind w:right="2200"/>
        <w:spacing w:after="0"/>
        <w:rPr>
          <w:sz w:val="20"/>
          <w:szCs w:val="20"/>
          <w:color w:val="auto"/>
        </w:rPr>
      </w:pPr>
      <w:r>
        <w:rPr>
          <w:rFonts w:ascii="Times New Roman" w:cs="Times New Roman" w:eastAsia="Times New Roman" w:hAnsi="Times New Roman"/>
          <w:sz w:val="18"/>
          <w:szCs w:val="18"/>
          <w:color w:val="auto"/>
        </w:rPr>
        <w:t>Income tax provision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192,394</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164,958</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122,013</w:t>
            </w:r>
          </w:p>
        </w:tc>
      </w:tr>
      <w:tr>
        <w:trPr>
          <w:trHeight w:val="270"/>
        </w:trPr>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11,687</w:t>
            </w:r>
          </w:p>
        </w:tc>
      </w:tr>
      <w:tr>
        <w:trPr>
          <w:trHeight w:val="27"/>
        </w:trPr>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209,822</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178,651</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133,700</w:t>
            </w:r>
          </w:p>
        </w:tc>
      </w:tr>
      <w:tr>
        <w:trPr>
          <w:trHeight w:val="27"/>
        </w:trPr>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
        </w:trPr>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-213995</wp:posOffset>
            </wp:positionV>
            <wp:extent cx="7123430" cy="1974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2343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27946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57" w:lineRule="exact"/>
        <w:rPr>
          <w:sz w:val="20"/>
          <w:szCs w:val="20"/>
          <w:color w:val="auto"/>
        </w:rPr>
      </w:pPr>
    </w:p>
    <w:p>
      <w:pPr>
        <w:ind w:left="520"/>
        <w:spacing w:after="0"/>
        <w:tabs>
          <w:tab w:leader="none" w:pos="2000" w:val="left"/>
          <w:tab w:leader="none" w:pos="350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27946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9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36830</wp:posOffset>
            </wp:positionV>
            <wp:extent cx="712343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337" w:lineRule="exact"/>
        <w:rPr>
          <w:sz w:val="20"/>
          <w:szCs w:val="20"/>
          <w:color w:val="auto"/>
        </w:rPr>
      </w:pPr>
    </w:p>
    <w:p>
      <w:pPr>
        <w:sectPr>
          <w:pgSz w:w="11900" w:h="16838" w:orient="portrait"/>
          <w:cols w:equalWidth="0" w:num="2">
            <w:col w:w="6100" w:space="720"/>
            <w:col w:w="4400"/>
          </w:cols>
          <w:pgMar w:left="320" w:top="337" w:right="35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6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39,989</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32,405</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35,286</w:t>
            </w:r>
          </w:p>
        </w:tc>
      </w:tr>
      <w:tr>
        <w:trPr>
          <w:trHeight w:val="27"/>
        </w:trPr>
        <w:tc>
          <w:tcPr>
            <w:tcW w:w="6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6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6,269</w:t>
            </w:r>
          </w:p>
        </w:tc>
      </w:tr>
      <w:tr>
        <w:trPr>
          <w:trHeight w:val="243"/>
        </w:trPr>
        <w:tc>
          <w:tcPr>
            <w:tcW w:w="6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660" w:type="dxa"/>
            <w:vAlign w:val="bottom"/>
          </w:tcPr>
          <w:p>
            <w:pPr>
              <w:spacing w:after="0"/>
              <w:rPr>
                <w:sz w:val="21"/>
                <w:szCs w:val="21"/>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9,837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4,606</w:t>
            </w:r>
          </w:p>
        </w:tc>
      </w:tr>
      <w:tr>
        <w:trPr>
          <w:trHeight w:val="27"/>
        </w:trPr>
        <w:tc>
          <w:tcPr>
            <w:tcW w:w="65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8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income tax provision</w:t>
            </w:r>
          </w:p>
        </w:tc>
        <w:tc>
          <w:tcPr>
            <w:tcW w:w="6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55,711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43,684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46,161</w:t>
            </w:r>
          </w:p>
        </w:tc>
      </w:tr>
      <w:tr>
        <w:trPr>
          <w:trHeight w:val="237"/>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6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6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6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(18,470)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(17,097)</w:t>
            </w:r>
          </w:p>
        </w:tc>
      </w:tr>
      <w:tr>
        <w:trPr>
          <w:trHeight w:val="243"/>
        </w:trPr>
        <w:tc>
          <w:tcPr>
            <w:tcW w:w="6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660" w:type="dxa"/>
            <w:vAlign w:val="bottom"/>
          </w:tcPr>
          <w:p>
            <w:pPr>
              <w:spacing w:after="0"/>
              <w:rPr>
                <w:sz w:val="21"/>
                <w:szCs w:val="21"/>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w:t>
            </w:r>
          </w:p>
        </w:tc>
      </w:tr>
      <w:tr>
        <w:trPr>
          <w:trHeight w:val="27"/>
        </w:trPr>
        <w:tc>
          <w:tcPr>
            <w:tcW w:w="6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8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6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37"/>
        </w:trPr>
        <w:tc>
          <w:tcPr>
            <w:tcW w:w="6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6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(19,569)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(16,628)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(20,453)</w:t>
            </w:r>
          </w:p>
        </w:tc>
      </w:tr>
      <w:tr>
        <w:trPr>
          <w:trHeight w:val="27"/>
        </w:trPr>
        <w:tc>
          <w:tcPr>
            <w:tcW w:w="65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36,142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27,056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25,708</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487"/>
        </w:trPr>
        <w:tc>
          <w:tcPr>
            <w:tcW w:w="8320" w:type="dxa"/>
            <w:vAlign w:val="bottom"/>
            <w:gridSpan w:val="7"/>
          </w:tcPr>
          <w:p>
            <w:pPr>
              <w:ind w:left="500"/>
              <w:spacing w:after="0"/>
              <w:rPr>
                <w:sz w:val="20"/>
                <w:szCs w:val="20"/>
                <w:color w:val="auto"/>
              </w:rPr>
            </w:pPr>
            <w:r>
              <w:rPr>
                <w:rFonts w:ascii="Times New Roman" w:cs="Times New Roman" w:eastAsia="Times New Roman" w:hAnsi="Times New Roman"/>
                <w:sz w:val="18"/>
                <w:szCs w:val="18"/>
                <w:color w:val="auto"/>
              </w:rPr>
              <w:t>The reconciliation of the statutory federal income tax rate to the Company’s effective tax rate is as follows:</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86"/>
        </w:trPr>
        <w:tc>
          <w:tcPr>
            <w:tcW w:w="6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40" w:type="dxa"/>
            <w:vAlign w:val="bottom"/>
            <w:gridSpan w:val="9"/>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Pr>
          <w:p>
            <w:pPr>
              <w:spacing w:after="0"/>
              <w:rPr>
                <w:sz w:val="24"/>
                <w:szCs w:val="24"/>
                <w:color w:val="auto"/>
              </w:rPr>
            </w:pPr>
          </w:p>
        </w:tc>
      </w:tr>
      <w:tr>
        <w:trPr>
          <w:trHeight w:val="27"/>
        </w:trPr>
        <w:tc>
          <w:tcPr>
            <w:tcW w:w="6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rate</w:t>
            </w:r>
          </w:p>
        </w:tc>
        <w:tc>
          <w:tcPr>
            <w:tcW w:w="6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43"/>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taxes</w:t>
            </w:r>
          </w:p>
        </w:tc>
        <w:tc>
          <w:tcPr>
            <w:tcW w:w="66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6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6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r>
      <w:tr>
        <w:trPr>
          <w:trHeight w:val="243"/>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Excess tax benefits related to stock-based compensation</w:t>
            </w:r>
          </w:p>
        </w:tc>
        <w:tc>
          <w:tcPr>
            <w:tcW w:w="660" w:type="dxa"/>
            <w:vAlign w:val="bottom"/>
          </w:tcPr>
          <w:p>
            <w:pPr>
              <w:spacing w:after="0"/>
              <w:rPr>
                <w:sz w:val="21"/>
                <w:szCs w:val="21"/>
                <w:color w:val="auto"/>
              </w:rPr>
            </w:pP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(5.2)</w:t>
            </w:r>
          </w:p>
        </w:tc>
      </w:tr>
      <w:tr>
        <w:trPr>
          <w:trHeight w:val="27"/>
        </w:trPr>
        <w:tc>
          <w:tcPr>
            <w:tcW w:w="6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source income</w:t>
            </w:r>
          </w:p>
        </w:tc>
        <w:tc>
          <w:tcPr>
            <w:tcW w:w="6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w:t>
            </w:r>
          </w:p>
        </w:tc>
      </w:tr>
      <w:tr>
        <w:trPr>
          <w:trHeight w:val="243"/>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60" w:type="dxa"/>
            <w:vAlign w:val="bottom"/>
          </w:tcPr>
          <w:p>
            <w:pPr>
              <w:spacing w:after="0"/>
              <w:rPr>
                <w:sz w:val="21"/>
                <w:szCs w:val="21"/>
                <w:color w:val="auto"/>
              </w:rPr>
            </w:pPr>
          </w:p>
        </w:tc>
        <w:tc>
          <w:tcPr>
            <w:tcW w:w="84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6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Foreign-derived intangible income deduction</w:t>
            </w:r>
          </w:p>
        </w:tc>
        <w:tc>
          <w:tcPr>
            <w:tcW w:w="6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w:t>
            </w:r>
          </w:p>
        </w:tc>
      </w:tr>
      <w:tr>
        <w:trPr>
          <w:trHeight w:val="243"/>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 and state research and development credit</w:t>
            </w:r>
          </w:p>
        </w:tc>
        <w:tc>
          <w:tcPr>
            <w:tcW w:w="660" w:type="dxa"/>
            <w:vAlign w:val="bottom"/>
          </w:tcPr>
          <w:p>
            <w:pPr>
              <w:spacing w:after="0"/>
              <w:rPr>
                <w:sz w:val="21"/>
                <w:szCs w:val="21"/>
                <w:color w:val="auto"/>
              </w:rPr>
            </w:pP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6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 to return adjustments and Other</w:t>
            </w:r>
          </w:p>
        </w:tc>
        <w:tc>
          <w:tcPr>
            <w:tcW w:w="6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Uncertain tax positions</w:t>
            </w:r>
          </w:p>
        </w:tc>
        <w:tc>
          <w:tcPr>
            <w:tcW w:w="660" w:type="dxa"/>
            <w:vAlign w:val="bottom"/>
          </w:tcPr>
          <w:p>
            <w:pPr>
              <w:spacing w:after="0"/>
              <w:rPr>
                <w:sz w:val="21"/>
                <w:szCs w:val="21"/>
                <w:color w:val="auto"/>
              </w:rPr>
            </w:pP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4"/>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6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337" w:right="35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tax effects of temporary differences between the carrying amounts of assets and liabilities for financial reporting purposes and the amounts used for income tax purposes. The components of the Company’s deferred tax assets and liabilities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7"/>
        </w:trPr>
        <w:tc>
          <w:tcPr>
            <w:tcW w:w="8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7"/>
        </w:trPr>
        <w:tc>
          <w:tcPr>
            <w:tcW w:w="8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80" w:type="dxa"/>
            <w:vAlign w:val="bottom"/>
          </w:tcPr>
          <w:p>
            <w:pPr>
              <w:spacing w:after="0"/>
              <w:rPr>
                <w:sz w:val="24"/>
                <w:szCs w:val="24"/>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 carryforwards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11,636</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11,502</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assets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w:t>
            </w: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7,722</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w:t>
            </w: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47,793</w:t>
            </w: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w:t>
            </w:r>
          </w:p>
        </w:tc>
      </w:tr>
      <w:tr>
        <w:trPr>
          <w:trHeight w:val="27"/>
        </w:trPr>
        <w:tc>
          <w:tcPr>
            <w:tcW w:w="8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8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107,046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84,810</w:t>
            </w: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(12,375)</w:t>
            </w:r>
          </w:p>
        </w:tc>
      </w:tr>
      <w:tr>
        <w:trPr>
          <w:trHeight w:val="27"/>
        </w:trPr>
        <w:tc>
          <w:tcPr>
            <w:tcW w:w="8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72,435</w:t>
            </w: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 - right of use asset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w:t>
            </w: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commissions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w:t>
            </w:r>
          </w:p>
        </w:tc>
      </w:tr>
      <w:tr>
        <w:trPr>
          <w:trHeight w:val="27"/>
        </w:trPr>
        <w:tc>
          <w:tcPr>
            <w:tcW w:w="8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(9,674)</w:t>
            </w:r>
          </w:p>
        </w:tc>
      </w:tr>
      <w:tr>
        <w:trPr>
          <w:trHeight w:val="26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81,307</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62,761</w:t>
            </w:r>
          </w:p>
        </w:tc>
      </w:tr>
      <w:tr>
        <w:trPr>
          <w:trHeight w:val="20"/>
        </w:trPr>
        <w:tc>
          <w:tcPr>
            <w:tcW w:w="8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realization of deferred tax assets is dependent upon the generation of sufficient taxable income of the appropriate character in future periods. The Company regularly assesses the ability to realize its deferred tax assets and establishes a valuation allowance if it is more-likely than-not that some portion, or all, of the deferred tax assets will not be realized. The Company weighs all available positive and negative evidence, including its earnings history and results of recent operations, scheduled reversals of deferred tax liabilities, projected future taxable income, and tax planning strategies. Due to the weight of objectively verifiable negative evidence, it is more-likely-than-not that its California deferred tax assets will not be realized as of December 31, 2024. Additionally, due to a lack of sufficient future income of the appropriate character, certain U.S. federal and state deferred tax assets are not more-likely-than-not to be realized. Accordingly, the Company has recorded a valuation allowance of $12.5 million and $12.4 million against such deferred tax assets as of December 31, 2024 and 2023, respectively. The increase in valuation allowance was mainly associated with the California research and development credits generated during the year ended December 31, 2024.</w:t>
      </w:r>
    </w:p>
    <w:p>
      <w:pPr>
        <w:spacing w:after="0" w:line="18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Company had $18.4 million and $17.0 million, respectively, of California research and development credit carryforwards. California research and development credits are carried forward indefinitely. As of December 31, 2024 and 2023, the Company had foreign tax credit carryforwards of zero and $1.0 million,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Company’s unrecognized tax benefits: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40" w:type="dxa"/>
            <w:vAlign w:val="bottom"/>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40" w:type="dxa"/>
            <w:vAlign w:val="bottom"/>
          </w:tcPr>
          <w:p>
            <w:pPr>
              <w:spacing w:after="0"/>
              <w:rPr>
                <w:sz w:val="20"/>
                <w:szCs w:val="20"/>
                <w:color w:val="auto"/>
              </w:rPr>
            </w:pPr>
          </w:p>
        </w:tc>
      </w:tr>
      <w:tr>
        <w:trPr>
          <w:trHeight w:val="27"/>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6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beginning balance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9,676</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 for tax positions of prior years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decrease for tax positions of prior years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 for tax positions of current year</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unrecognized tax benefits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10,542</w:t>
            </w:r>
          </w:p>
        </w:tc>
      </w:tr>
      <w:tr>
        <w:trPr>
          <w:trHeight w:val="20"/>
        </w:trPr>
        <w:tc>
          <w:tcPr>
            <w:tcW w:w="6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unrecognized tax benefits, if recognized, would impact the income tax provision by $5.3 million, $6.1 million and $5.3 million as of December 31, 2024, 2023 and 2022, respectively. The remaining amount would result in the recognition of a corresponding deferred tax asset that is then offset by a full valuation allowance. As of December 31, 2024, the Company does not believe that its estimates, as otherwise provided for, on such tax positions will significantly increase within the next twelve months. It is reasonably possible that the Company may recognize approximately $1.9 million of its unrecognized tax benefits within the next twelve months if the statutes lapse in certain jurisdictions without an examination. The Company has elected to include interest and penalties as a component of income tax expense. The amounts were not material for the years ended December 31, 2024, 2023 and 2022.</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files income tax returns in the United States, including various state jurisdictions. The Company’s subsidiaries file tax returns in India and various other foreign jurisdictions. The tax years 2001 through 2023 still remain open to examination by certain major taxing jurisdictions in which the Company is subject to tax. The Company is also currently subject to tax audits in various jurisdictions. The Company believes that an adequate provision has been made for any adjustments that may result from tax examinations. However, the outcome of tax audits cannot be predicted with certainty. If any issues addressed in the Company's tax audits are resolved in a manner inconsistent with its expectations, the Company could be required to adjust its income tax provision in the period such resolution occurs.</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has undistributed earnings in certain foreign subsidiaries that the Company has indefinitely reinvested outside the United States. Due to U.S. tax rules related to taxation of foreign earnings, the unrecorded deferred tax liability is immaterial. The Company may be required to pay additional foreign withholding taxes if the Company repatriates those earnings in the future.</w:t>
      </w:r>
    </w:p>
    <w:p>
      <w:pPr>
        <w:spacing w:after="0" w:line="38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Segment and Geographic Area Information</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Under ASC 280 </w:t>
      </w:r>
      <w:r>
        <w:rPr>
          <w:rFonts w:ascii="Times New Roman" w:cs="Times New Roman" w:eastAsia="Times New Roman" w:hAnsi="Times New Roman"/>
          <w:sz w:val="18"/>
          <w:szCs w:val="18"/>
          <w:i w:val="1"/>
          <w:iCs w:val="1"/>
          <w:color w:val="auto"/>
        </w:rPr>
        <w:t>Segment Reportin</w:t>
      </w:r>
      <w:r>
        <w:rPr>
          <w:rFonts w:ascii="Times New Roman" w:cs="Times New Roman" w:eastAsia="Times New Roman" w:hAnsi="Times New Roman"/>
          <w:sz w:val="18"/>
          <w:szCs w:val="18"/>
          <w:color w:val="auto"/>
        </w:rPr>
        <w:t>g, operating segments are defined as components of an entity about which separate financial information is evaluated regularly by the chief operating decision maker in deciding how to allocate resources and in assessing performance. The Company operates in one operating segment and has only one reportable segment. The Company’s chief operating decision maker is the Chief Executive Officer, who makes operating decisions, assesses performance and allocates resources on a consolidated basis. All of the Company’s principal operations and decision-making functions are located in the United States.</w:t>
      </w:r>
    </w:p>
    <w:p>
      <w:pPr>
        <w:spacing w:after="0" w:line="18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key measure of segment profit or loss that the CODM uses to allocate resources and in assessing performance is the Company’s consolidated net income, as reported on the Consolidated Statements of Operations. The CODM uses net income to monitor actual results against budgeted and prior period operating results for the purpose of evaluating operational efficiency, and to evaluate income generated from the assets in making strategic decisions on organizational resource allocation, as well as to benchmark segment performance against industry competitors.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CODM manages the business using consolidated expense information. The following table sets forth the Company's reported segment revenue, segment profit or loss, and significant segment expenses: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40" w:type="dxa"/>
            <w:vAlign w:val="bottom"/>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40" w:type="dxa"/>
            <w:vAlign w:val="bottom"/>
          </w:tcPr>
          <w:p>
            <w:pPr>
              <w:spacing w:after="0"/>
              <w:rPr>
                <w:sz w:val="20"/>
                <w:szCs w:val="20"/>
                <w:color w:val="auto"/>
              </w:rPr>
            </w:pPr>
          </w:p>
        </w:tc>
      </w:tr>
      <w:tr>
        <w:trPr>
          <w:trHeight w:val="27"/>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6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489,723</w:t>
            </w:r>
          </w:p>
        </w:tc>
      </w:tr>
      <w:tr>
        <w:trPr>
          <w:trHeight w:val="243"/>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Significant segment expenses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5"/>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 (exclusive of stock-based compensation and amortization of intangible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1"/>
        </w:trPr>
        <w:tc>
          <w:tcPr>
            <w:tcW w:w="6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100,516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97,198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92,136</w:t>
            </w:r>
          </w:p>
        </w:tc>
      </w:tr>
      <w:tr>
        <w:trPr>
          <w:trHeight w:val="225"/>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(exclusive of stock-based compensation and amortization of</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89,281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86,262</w:t>
            </w: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 (exclusive of 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87,384</w:t>
            </w:r>
          </w:p>
        </w:tc>
      </w:tr>
      <w:tr>
        <w:trPr>
          <w:trHeight w:val="243"/>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(exclusive of stock-based compensation)</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34,300</w:t>
            </w: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Other segment items (1)</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r>
      <w:tr>
        <w:trPr>
          <w:trHeight w:val="243"/>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Stock-based compensation</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53,408</w:t>
            </w: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Amortization of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w:t>
            </w:r>
          </w:p>
        </w:tc>
      </w:tr>
      <w:tr>
        <w:trPr>
          <w:trHeight w:val="243"/>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Interest income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5,191</w:t>
            </w: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Income tax provision</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25,708</w:t>
            </w:r>
          </w:p>
        </w:tc>
      </w:tr>
      <w:tr>
        <w:trPr>
          <w:trHeight w:val="264"/>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173,680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151,595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107,992</w:t>
            </w:r>
          </w:p>
        </w:tc>
      </w:tr>
      <w:tr>
        <w:trPr>
          <w:trHeight w:val="20"/>
        </w:trPr>
        <w:tc>
          <w:tcPr>
            <w:tcW w:w="6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740" w:right="860" w:hanging="246"/>
        <w:spacing w:after="0" w:line="282" w:lineRule="auto"/>
        <w:tabs>
          <w:tab w:leader="none" w:pos="73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included in Segment net income includes interest expense, realized and unrealized gain/loss on foreign exchange transactions, and unrealized loss on non-marketable securities.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Revenue by geographic area, based on the customer's billing address, is as follows: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86"/>
        </w:trPr>
        <w:tc>
          <w:tcPr>
            <w:tcW w:w="6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40" w:type="dxa"/>
            <w:vAlign w:val="bottom"/>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40" w:type="dxa"/>
            <w:vAlign w:val="bottom"/>
          </w:tcPr>
          <w:p>
            <w:pPr>
              <w:spacing w:after="0"/>
              <w:rPr>
                <w:sz w:val="24"/>
                <w:szCs w:val="24"/>
                <w:color w:val="auto"/>
              </w:rPr>
            </w:pPr>
          </w:p>
        </w:tc>
      </w:tr>
      <w:tr>
        <w:trPr>
          <w:trHeight w:val="27"/>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6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292,291</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197,432</w:t>
            </w:r>
          </w:p>
        </w:tc>
      </w:tr>
      <w:tr>
        <w:trPr>
          <w:trHeight w:val="27"/>
        </w:trPr>
        <w:tc>
          <w:tcPr>
            <w:tcW w:w="6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607,571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554,458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489,723</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640" w:firstLine="486"/>
        <w:spacing w:after="0" w:line="282" w:lineRule="auto"/>
        <w:rPr>
          <w:sz w:val="20"/>
          <w:szCs w:val="20"/>
          <w:color w:val="auto"/>
        </w:rPr>
      </w:pPr>
      <w:r>
        <w:rPr>
          <w:rFonts w:ascii="Times New Roman" w:cs="Times New Roman" w:eastAsia="Times New Roman" w:hAnsi="Times New Roman"/>
          <w:sz w:val="18"/>
          <w:szCs w:val="18"/>
          <w:color w:val="auto"/>
        </w:rPr>
        <w:t>The measure of segment assets is reported on the balance sheet as total consolidated assets. Long-lived assets, which consist of Property and equipment, net and Operating leases - right of use asset, by geographic area,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6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50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4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46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Long-lived Assets</w:t>
            </w:r>
          </w:p>
        </w:tc>
        <w:tc>
          <w:tcPr>
            <w:tcW w:w="46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71,317</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54,990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4680" w:type="dxa"/>
            <w:vAlign w:val="bottom"/>
            <w:vMerge w:val="restart"/>
          </w:tcPr>
          <w:p>
            <w:pPr>
              <w:jc w:val="right"/>
              <w:ind w:right="2510"/>
              <w:spacing w:after="0"/>
              <w:rPr>
                <w:sz w:val="20"/>
                <w:szCs w:val="20"/>
                <w:color w:val="auto"/>
              </w:rPr>
            </w:pPr>
            <w:r>
              <w:rPr>
                <w:rFonts w:ascii="Times New Roman" w:cs="Times New Roman" w:eastAsia="Times New Roman" w:hAnsi="Times New Roman"/>
                <w:sz w:val="18"/>
                <w:szCs w:val="18"/>
                <w:color w:val="auto"/>
              </w:rPr>
              <w:t>85</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64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46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   Net Income Per Share</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2"/>
        </w:trPr>
        <w:tc>
          <w:tcPr>
            <w:tcW w:w="6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computations for basic and diluted net income per share are as follows: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86"/>
        </w:trPr>
        <w:tc>
          <w:tcPr>
            <w:tcW w:w="6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40" w:type="dxa"/>
            <w:vAlign w:val="bottom"/>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40" w:type="dxa"/>
            <w:vAlign w:val="bottom"/>
          </w:tcPr>
          <w:p>
            <w:pPr>
              <w:spacing w:after="0"/>
              <w:rPr>
                <w:sz w:val="24"/>
                <w:szCs w:val="24"/>
                <w:color w:val="auto"/>
              </w:rPr>
            </w:pPr>
          </w:p>
        </w:tc>
      </w:tr>
      <w:tr>
        <w:trPr>
          <w:trHeight w:val="27"/>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r>
      <w:tr>
        <w:trPr>
          <w:trHeight w:val="277"/>
        </w:trPr>
        <w:tc>
          <w:tcPr>
            <w:tcW w:w="6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80" w:type="dxa"/>
            <w:vAlign w:val="bottom"/>
            <w:gridSpan w:val="7"/>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173,680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151,595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107,992</w:t>
            </w: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weighted average shares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38,453</w:t>
            </w: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potentially dilutive shares: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Stock options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Restricted stock units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43"/>
        </w:trPr>
        <w:tc>
          <w:tcPr>
            <w:tcW w:w="6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6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3"/>
        </w:trPr>
        <w:tc>
          <w:tcPr>
            <w:tcW w:w="6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39,344</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5"/>
        </w:trPr>
        <w:tc>
          <w:tcPr>
            <w:tcW w:w="6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0"/>
        </w:trPr>
        <w:tc>
          <w:tcPr>
            <w:tcW w:w="6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Potentially dilutive shares not included in the calculation of diluted net income per share because doing so would be anti-dilutive are as follows:</w:t>
      </w:r>
    </w:p>
    <w:p>
      <w:pPr>
        <w:spacing w:after="0" w:line="275"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36830</wp:posOffset>
            </wp:positionV>
            <wp:extent cx="27946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20" w:type="dxa"/>
            <w:vAlign w:val="bottom"/>
            <w:gridSpan w:val="2"/>
          </w:tcPr>
          <w:p>
            <w:pPr>
              <w:ind w:left="73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anti-dilutive shares</w:t>
            </w:r>
          </w:p>
        </w:tc>
        <w:tc>
          <w:tcPr>
            <w:tcW w:w="100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86</w:t>
            </w: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68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8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December 31,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2024, our Chief Executive Officer and Chief Financial Officer concluded that, as of such date, our disclosure controls and procedures were effective at the reasonable assurance level.</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Rules 13a-15(f) and 15d-15(f) of the Exchange Act. Our internal control over financial reporting is a process designed to provide reasonable assurance regarding the reliability of financial reporting and the preparation of financial statements for external purposes in accordance with U.S.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U.S.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our internal control over financial reporting as of December 31, 2024 based on the criteria established in the 2013 Internal Control - Integrated Framework issued by the Committee of Sponsoring Organizations of the Treadway Commission, or COSO. Based on our evaluation under the criteria set forth in the 2013 Internal Control - Integrated Framework issued by the COSO, our management concluded our internal control over financial reporting was effective as of December 31, 2024.</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2024 has been audited by Grant Thornton LLP, an independent registered public accounting firm, as stated in its report, which is included in Item 8 of this Annual Report on Form 10-K.</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15d-15(d) of the Exchange Act that occurred during the fourth quarter ended December 31, 2024 that has materially affected, or is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no director or officer, as defined in Rule 16a-1(f), adopted or terminated a “Rule 10b5-1 trading arrangement” or a “non-Rule 10b5-1 trading arrangement,” each as defined in Regulation S-K Item 408.</w:t>
      </w:r>
    </w:p>
    <w:p>
      <w:pPr>
        <w:spacing w:after="0" w:line="15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Except as set forth below, the information required by this item is incorporated by reference to our Proxy Statement for our 2025 Annual Meeting of Stockholders to be filed with the SEC within 120 days after the end of the fiscal year ended December 31, 2024.</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Codes of Business Conduct and Ethics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that applies to all of our employees, officers and directors, including our Chief Executive Officer, Chief Financial Officer and other executive and senior financial officers. The code of business conduct and ethics is available on our website at www.qualys.com. We expect that, to the extent required by law, any amendments to the code, or any waivers of its requirements, will be disclosed on our website. We intend to disclose any waiver to the provisions of the code of business conduct and ethics that applies specifically to directors or executive officers by filing such information on a Current Report on Form 8-K with the SEC, to the extent such filing is required by the NASDAQ Stock Market's listing requirements; otherwise, we will disclose such waiver by posting such information on our website.</w:t>
      </w:r>
    </w:p>
    <w:p>
      <w:pPr>
        <w:spacing w:after="0" w:line="18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2025 Annual Meeting of Stockholders to be filed with the SEC within 120 days after the end of the fiscal year ended December 31, 2024.</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with respect to Item 403 of Regulation S-K regarding security ownership of certain beneficial owners and management is incorporated by reference to our Proxy Statement for our 2025 Annual Meeting of Stockholders to be filed with the SEC within 120 days after the end of the fiscal year ended December 31, 2024.</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about our equity compensation plans as of December 31, 2024. All outstanding awards relate to our common stock.</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 Number of</w:t>
            </w:r>
          </w:p>
        </w:tc>
      </w:t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 Number of</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Available for</w:t>
            </w:r>
          </w:p>
        </w:tc>
      </w:t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Issued Upon</w:t>
            </w:r>
          </w:p>
        </w:tc>
        <w:tc>
          <w:tcPr>
            <w:tcW w:w="120" w:type="dxa"/>
            <w:vAlign w:val="bottom"/>
          </w:tcPr>
          <w:p>
            <w:pPr>
              <w:spacing w:after="0"/>
              <w:rPr>
                <w:sz w:val="18"/>
                <w:szCs w:val="18"/>
                <w:color w:val="auto"/>
              </w:rPr>
            </w:pPr>
          </w:p>
        </w:tc>
        <w:tc>
          <w:tcPr>
            <w:tcW w:w="18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(b) Weighted-</w:t>
            </w:r>
          </w:p>
        </w:tc>
        <w:tc>
          <w:tcPr>
            <w:tcW w:w="1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Future Issuance</w:t>
            </w:r>
          </w:p>
        </w:tc>
      </w:t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20" w:type="dxa"/>
            <w:vAlign w:val="bottom"/>
          </w:tcPr>
          <w:p>
            <w:pPr>
              <w:spacing w:after="0"/>
              <w:rPr>
                <w:sz w:val="18"/>
                <w:szCs w:val="18"/>
                <w:color w:val="auto"/>
              </w:rPr>
            </w:pPr>
          </w:p>
        </w:tc>
        <w:tc>
          <w:tcPr>
            <w:tcW w:w="18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Average Exercise</w:t>
            </w:r>
          </w:p>
        </w:tc>
        <w:tc>
          <w:tcPr>
            <w:tcW w:w="19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Under Equity</w:t>
            </w:r>
          </w:p>
        </w:tc>
      </w:t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18"/>
                <w:szCs w:val="18"/>
                <w:color w:val="auto"/>
              </w:rPr>
            </w:pPr>
          </w:p>
        </w:tc>
        <w:tc>
          <w:tcPr>
            <w:tcW w:w="18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Price of</w:t>
            </w:r>
          </w:p>
        </w:tc>
        <w:tc>
          <w:tcPr>
            <w:tcW w:w="19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120" w:type="dxa"/>
            <w:vAlign w:val="bottom"/>
          </w:tcPr>
          <w:p>
            <w:pPr>
              <w:spacing w:after="0"/>
              <w:rPr>
                <w:sz w:val="18"/>
                <w:szCs w:val="18"/>
                <w:color w:val="auto"/>
              </w:rPr>
            </w:pPr>
          </w:p>
        </w:tc>
        <w:tc>
          <w:tcPr>
            <w:tcW w:w="18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9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Plans (Excluding</w:t>
            </w:r>
          </w:p>
        </w:tc>
      </w:t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9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1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Securities Reflected</w:t>
            </w:r>
          </w:p>
        </w:tc>
      </w:tr>
      <w:tr>
        <w:trPr>
          <w:trHeight w:val="238"/>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9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120" w:type="dxa"/>
            <w:vAlign w:val="bottom"/>
          </w:tcPr>
          <w:p>
            <w:pPr>
              <w:spacing w:after="0"/>
              <w:rPr>
                <w:sz w:val="20"/>
                <w:szCs w:val="20"/>
                <w:color w:val="auto"/>
              </w:rPr>
            </w:pPr>
          </w:p>
        </w:tc>
        <w:tc>
          <w:tcPr>
            <w:tcW w:w="18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and Rights</w:t>
            </w:r>
          </w:p>
        </w:tc>
        <w:tc>
          <w:tcPr>
            <w:tcW w:w="19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 Column (a))</w:t>
            </w:r>
          </w:p>
        </w:tc>
      </w:tr>
      <w:tr>
        <w:trPr>
          <w:trHeight w:val="27"/>
        </w:trPr>
        <w:tc>
          <w:tcPr>
            <w:tcW w:w="5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5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
        </w:trPr>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70"/>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Equity compensation plans approved by security holders </w:t>
            </w:r>
            <w:r>
              <w:rPr>
                <w:rFonts w:ascii="Times New Roman" w:cs="Times New Roman" w:eastAsia="Times New Roman" w:hAnsi="Times New Roman"/>
                <w:sz w:val="23"/>
                <w:szCs w:val="23"/>
                <w:color w:val="auto"/>
                <w:vertAlign w:val="superscript"/>
              </w:rPr>
              <w:t>(1)</w:t>
            </w:r>
          </w:p>
        </w:tc>
        <w:tc>
          <w:tcPr>
            <w:tcW w:w="1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2,400 (2)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113.07 (3)</w:t>
            </w:r>
          </w:p>
        </w:tc>
        <w:tc>
          <w:tcPr>
            <w:tcW w:w="1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2,761 (4)</w:t>
            </w:r>
          </w:p>
        </w:tc>
      </w:tr>
      <w:tr>
        <w:trPr>
          <w:trHeight w:val="24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ind w:left="400" w:hanging="230"/>
        <w:spacing w:after="0"/>
        <w:tabs>
          <w:tab w:leader="none" w:pos="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our Amended and Restated 2012 Equity Incentive Plan (Restated 2012 Plan) and 2021 Employee Stock Purchase Plan (ESPP).</w:t>
      </w:r>
    </w:p>
    <w:p>
      <w:pPr>
        <w:spacing w:after="0" w:line="2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1,086 thousand restricted stock units and 1,314 thousand shares underlying stock options.</w:t>
      </w:r>
    </w:p>
    <w:p>
      <w:pPr>
        <w:spacing w:after="0" w:line="9"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exercise price is calculated based solely on outstanding stock options.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20" w:hanging="250"/>
        <w:spacing w:after="0" w:line="282" w:lineRule="auto"/>
        <w:tabs>
          <w:tab w:leader="none" w:pos="41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2,326 thousand shares reserved for issuance under our Amended and Restated 2012 Plan and 435 thousand shares reserved for issuance under our ESPP.</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2025 Annual Meeting of Stockholders to be filed with the SEC within 120 days after the end of the fiscal year ended December 31, 2024.</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2025 Annual Meeting of Stockholders to be filed with the SEC within 120 days after the end of the fiscal year ended December 31, 2024.</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15.</w:t>
        <w:tab/>
        <w:t>Exhibits and Financial Statement Schedules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(a)(1) Financial Statements - The financial statements filed as part of this Annual Report on Form 10-K are listed on the Index to Consolidated Financial Statements in Item 8.</w:t>
      </w:r>
    </w:p>
    <w:p>
      <w:pPr>
        <w:spacing w:after="0" w:line="16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(a)(2) Financial Statement Schedules - All financial statement schedules have been omitted since the required information is not applicable or has been included in the consolidated financial statements and accompanying notes included in this Form 10-K.</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 Exhibits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1760" w:type="dxa"/>
            <w:vAlign w:val="bottom"/>
            <w:tcBorders>
              <w:bottom w:val="single" w:sz="8" w:color="auto"/>
            </w:tcBorders>
          </w:tcPr>
          <w:p>
            <w:pPr>
              <w:spacing w:after="0"/>
              <w:rPr>
                <w:sz w:val="20"/>
                <w:szCs w:val="20"/>
                <w:color w:val="auto"/>
              </w:rPr>
            </w:pPr>
          </w:p>
        </w:tc>
      </w:tr>
      <w:tr>
        <w:trPr>
          <w:trHeight w:val="198"/>
        </w:trPr>
        <w:tc>
          <w:tcPr>
            <w:tcW w:w="1340" w:type="dxa"/>
            <w:vAlign w:val="bottom"/>
          </w:tcPr>
          <w:p>
            <w:pPr>
              <w:jc w:val="right"/>
              <w:ind w:right="450"/>
              <w:spacing w:after="0" w:line="198" w:lineRule="exact"/>
              <w:rPr>
                <w:sz w:val="20"/>
                <w:szCs w:val="20"/>
                <w:color w:val="auto"/>
              </w:rPr>
            </w:pPr>
            <w:r>
              <w:rPr>
                <w:rFonts w:ascii="Times New Roman" w:cs="Times New Roman" w:eastAsia="Times New Roman" w:hAnsi="Times New Roman"/>
                <w:sz w:val="18"/>
                <w:szCs w:val="18"/>
                <w:color w:val="auto"/>
              </w:rPr>
              <w:t>Exhibit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Filed</w:t>
            </w: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20" w:type="dxa"/>
            <w:vAlign w:val="bottom"/>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rPr>
              <w:t>Exhibit</w:t>
            </w:r>
          </w:p>
        </w:tc>
        <w:tc>
          <w:tcPr>
            <w:tcW w:w="1760" w:type="dxa"/>
            <w:vAlign w:val="bottom"/>
          </w:tcPr>
          <w:p>
            <w:pPr>
              <w:spacing w:after="0"/>
              <w:rPr>
                <w:sz w:val="17"/>
                <w:szCs w:val="17"/>
                <w:color w:val="auto"/>
              </w:rPr>
            </w:pPr>
          </w:p>
        </w:tc>
      </w:tr>
      <w:tr>
        <w:trPr>
          <w:trHeight w:val="255"/>
        </w:trPr>
        <w:tc>
          <w:tcPr>
            <w:tcW w:w="13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Number</w:t>
            </w:r>
          </w:p>
        </w:tc>
        <w:tc>
          <w:tcPr>
            <w:tcW w:w="4220" w:type="dxa"/>
            <w:vAlign w:val="bottom"/>
            <w:tcBorders>
              <w:bottom w:val="single" w:sz="8" w:color="auto"/>
            </w:tcBorders>
            <w:gridSpan w:val="23"/>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Herewith</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Form</w:t>
            </w:r>
          </w:p>
        </w:tc>
        <w:tc>
          <w:tcPr>
            <w:tcW w:w="12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File No.</w:t>
            </w:r>
          </w:p>
        </w:tc>
        <w:tc>
          <w:tcPr>
            <w:tcW w:w="9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7"/>
              </w:rPr>
              <w:t>No.</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Filing Date</w:t>
            </w:r>
          </w:p>
        </w:tc>
      </w:tr>
      <w:tr>
        <w:trPr>
          <w:trHeight w:val="405"/>
        </w:trPr>
        <w:tc>
          <w:tcPr>
            <w:tcW w:w="13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3.1</w:t>
            </w:r>
          </w:p>
        </w:tc>
        <w:tc>
          <w:tcPr>
            <w:tcW w:w="4220" w:type="dxa"/>
            <w:vAlign w:val="bottom"/>
            <w:gridSpan w:val="23"/>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Amended and Restated Certificate of Incorporation of</w:t>
              </w:r>
            </w:hyperlink>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3880" w:type="dxa"/>
            <w:vAlign w:val="bottom"/>
            <w:tcBorders>
              <w:top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Qualys, Inc.</w:t>
              </w:r>
            </w:hyperlink>
          </w:p>
        </w:tc>
        <w:tc>
          <w:tcPr>
            <w:tcW w:w="340" w:type="dxa"/>
            <w:vAlign w:val="bottom"/>
            <w:gridSpan w:val="8"/>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333-182027</w:t>
            </w:r>
          </w:p>
        </w:tc>
        <w:tc>
          <w:tcPr>
            <w:tcW w:w="9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September 12, 2012</w:t>
            </w:r>
          </w:p>
        </w:tc>
      </w:tr>
      <w:tr>
        <w:trPr>
          <w:trHeight w:val="20"/>
        </w:trPr>
        <w:tc>
          <w:tcPr>
            <w:tcW w:w="1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66"/>
        </w:trPr>
        <w:tc>
          <w:tcPr>
            <w:tcW w:w="13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3.2</w:t>
            </w:r>
          </w:p>
        </w:tc>
        <w:tc>
          <w:tcPr>
            <w:tcW w:w="4220" w:type="dxa"/>
            <w:vAlign w:val="bottom"/>
            <w:gridSpan w:val="23"/>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Amended and Restated Bylaws of Qualys, Inc.</w:t>
              </w:r>
            </w:hyperlink>
          </w:p>
        </w:tc>
        <w:tc>
          <w:tcPr>
            <w:tcW w:w="10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001-35662</w:t>
            </w: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3.1</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 2022</w:t>
            </w:r>
          </w:p>
        </w:tc>
      </w:tr>
      <w:tr>
        <w:trPr>
          <w:trHeight w:val="466"/>
        </w:trPr>
        <w:tc>
          <w:tcPr>
            <w:tcW w:w="13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4.1</w:t>
            </w:r>
          </w:p>
        </w:tc>
        <w:tc>
          <w:tcPr>
            <w:tcW w:w="3360" w:type="dxa"/>
            <w:vAlign w:val="bottom"/>
            <w:tcBorders>
              <w:top w:val="single" w:sz="8" w:color="0000FF"/>
            </w:tcBorders>
            <w:gridSpan w:val="11"/>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Form of common stock certificate.</w:t>
              </w:r>
            </w:hyperlink>
          </w:p>
        </w:tc>
        <w:tc>
          <w:tcPr>
            <w:tcW w:w="860" w:type="dxa"/>
            <w:vAlign w:val="bottom"/>
            <w:gridSpan w:val="12"/>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333-182027</w:t>
            </w: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4.1</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12, 2012</w:t>
            </w:r>
          </w:p>
        </w:tc>
      </w:tr>
      <w:tr>
        <w:trPr>
          <w:trHeight w:val="20"/>
        </w:trPr>
        <w:tc>
          <w:tcPr>
            <w:tcW w:w="1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66"/>
        </w:trPr>
        <w:tc>
          <w:tcPr>
            <w:tcW w:w="13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4.2</w:t>
            </w:r>
          </w:p>
        </w:tc>
        <w:tc>
          <w:tcPr>
            <w:tcW w:w="266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8"/>
              </w:rPr>
            </w:pPr>
            <w:hyperlink r:id="rId124">
              <w:r>
                <w:rPr>
                  <w:rFonts w:ascii="Times New Roman" w:cs="Times New Roman" w:eastAsia="Times New Roman" w:hAnsi="Times New Roman"/>
                  <w:sz w:val="18"/>
                  <w:szCs w:val="18"/>
                  <w:color w:val="0000FF"/>
                  <w:w w:val="98"/>
                </w:rPr>
                <w:t>Description of Registrant’s securities</w:t>
              </w:r>
            </w:hyperlink>
          </w:p>
        </w:tc>
        <w:tc>
          <w:tcPr>
            <w:tcW w:w="1560" w:type="dxa"/>
            <w:vAlign w:val="bottom"/>
            <w:gridSpan w:val="15"/>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001-35662</w:t>
            </w: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4.2</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21, 2020</w:t>
            </w:r>
          </w:p>
        </w:tc>
      </w:tr>
      <w:tr>
        <w:trPr>
          <w:trHeight w:val="466"/>
        </w:trPr>
        <w:tc>
          <w:tcPr>
            <w:tcW w:w="13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10.1*</w:t>
            </w:r>
          </w:p>
        </w:tc>
        <w:tc>
          <w:tcPr>
            <w:tcW w:w="41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2000 Equity Incentive Plan, as amended, and the form of</w:t>
              </w:r>
            </w:hyperlink>
          </w:p>
        </w:tc>
        <w:tc>
          <w:tcPr>
            <w:tcW w:w="120" w:type="dxa"/>
            <w:vAlign w:val="bottom"/>
            <w:gridSpan w:val="5"/>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4220" w:type="dxa"/>
            <w:vAlign w:val="bottom"/>
            <w:gridSpan w:val="23"/>
          </w:tcPr>
          <w:p>
            <w:pPr>
              <w:spacing w:after="0" w:line="19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stock option agreement thereunder.</w:t>
              </w:r>
            </w:hyperlink>
          </w:p>
        </w:tc>
        <w:tc>
          <w:tcPr>
            <w:tcW w:w="10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333-182027</w:t>
            </w:r>
          </w:p>
        </w:tc>
        <w:tc>
          <w:tcPr>
            <w:tcW w:w="9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June 8, 2012</w:t>
            </w:r>
          </w:p>
        </w:tc>
      </w:tr>
      <w:tr>
        <w:trPr>
          <w:trHeight w:val="20"/>
        </w:trPr>
        <w:tc>
          <w:tcPr>
            <w:tcW w:w="1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66"/>
        </w:trPr>
        <w:tc>
          <w:tcPr>
            <w:tcW w:w="13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10.2*</w:t>
            </w:r>
          </w:p>
        </w:tc>
        <w:tc>
          <w:tcPr>
            <w:tcW w:w="412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Qualys, Inc. 2012 Equity Incentive Plan, as amended and</w:t>
              </w:r>
            </w:hyperlink>
          </w:p>
        </w:tc>
        <w:tc>
          <w:tcPr>
            <w:tcW w:w="100" w:type="dxa"/>
            <w:vAlign w:val="bottom"/>
            <w:gridSpan w:val="4"/>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5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6"/>
              </w:rPr>
            </w:pPr>
            <w:hyperlink r:id="rId126">
              <w:r>
                <w:rPr>
                  <w:rFonts w:ascii="Times New Roman" w:cs="Times New Roman" w:eastAsia="Times New Roman" w:hAnsi="Times New Roman"/>
                  <w:sz w:val="18"/>
                  <w:szCs w:val="18"/>
                  <w:color w:val="0000FF"/>
                  <w:w w:val="96"/>
                </w:rPr>
                <w:t>restated</w:t>
              </w:r>
            </w:hyperlink>
          </w:p>
        </w:tc>
        <w:tc>
          <w:tcPr>
            <w:tcW w:w="3660" w:type="dxa"/>
            <w:vAlign w:val="bottom"/>
            <w:gridSpan w:val="22"/>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001-35662</w:t>
            </w:r>
          </w:p>
        </w:tc>
        <w:tc>
          <w:tcPr>
            <w:tcW w:w="9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June 13, 2024</w:t>
            </w:r>
          </w:p>
        </w:tc>
      </w:tr>
      <w:tr>
        <w:trPr>
          <w:trHeight w:val="466"/>
        </w:trPr>
        <w:tc>
          <w:tcPr>
            <w:tcW w:w="13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10.3*</w:t>
            </w:r>
          </w:p>
        </w:tc>
        <w:tc>
          <w:tcPr>
            <w:tcW w:w="4220" w:type="dxa"/>
            <w:vAlign w:val="bottom"/>
            <w:gridSpan w:val="23"/>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Qualys, Inc. 2021 Employee Stock Purchase Plan</w:t>
              </w:r>
            </w:hyperlink>
          </w:p>
        </w:tc>
        <w:tc>
          <w:tcPr>
            <w:tcW w:w="10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001-35662</w:t>
            </w: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5"/>
              </w:rPr>
              <w:t>10.1</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11, 2021</w:t>
            </w:r>
          </w:p>
        </w:tc>
      </w:tr>
      <w:tr>
        <w:trPr>
          <w:trHeight w:val="20"/>
        </w:trPr>
        <w:tc>
          <w:tcPr>
            <w:tcW w:w="134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66"/>
        </w:trPr>
        <w:tc>
          <w:tcPr>
            <w:tcW w:w="13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10.4*</w:t>
            </w:r>
          </w:p>
        </w:tc>
        <w:tc>
          <w:tcPr>
            <w:tcW w:w="41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8"/>
              </w:rPr>
            </w:pPr>
            <w:hyperlink r:id="rId128">
              <w:r>
                <w:rPr>
                  <w:rFonts w:ascii="Times New Roman" w:cs="Times New Roman" w:eastAsia="Times New Roman" w:hAnsi="Times New Roman"/>
                  <w:sz w:val="18"/>
                  <w:szCs w:val="18"/>
                  <w:color w:val="0000FF"/>
                  <w:w w:val="98"/>
                </w:rPr>
                <w:t>Offer Letter, between Qualys, Inc. and Sumedh S. Thakar,</w:t>
              </w:r>
            </w:hyperlink>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4220" w:type="dxa"/>
            <w:vAlign w:val="bottom"/>
            <w:gridSpan w:val="23"/>
          </w:tcPr>
          <w:p>
            <w:pPr>
              <w:spacing w:after="0" w:line="19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dated January 20, 2003.</w:t>
              </w:r>
            </w:hyperlink>
          </w:p>
        </w:tc>
        <w:tc>
          <w:tcPr>
            <w:tcW w:w="10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333-182027</w:t>
            </w:r>
          </w:p>
        </w:tc>
        <w:tc>
          <w:tcPr>
            <w:tcW w:w="9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5"/>
              </w:rPr>
              <w:t>10.5</w:t>
            </w: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June 8, 2012</w:t>
            </w:r>
          </w:p>
        </w:tc>
      </w:tr>
      <w:tr>
        <w:trPr>
          <w:trHeight w:val="20"/>
        </w:trPr>
        <w:tc>
          <w:tcPr>
            <w:tcW w:w="134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66"/>
        </w:trPr>
        <w:tc>
          <w:tcPr>
            <w:tcW w:w="13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10.5*</w:t>
            </w:r>
          </w:p>
        </w:tc>
        <w:tc>
          <w:tcPr>
            <w:tcW w:w="41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Offer Letter, between Qualys, Inc. and Joo Mi Kim, dated</w:t>
              </w:r>
            </w:hyperlink>
          </w:p>
        </w:tc>
        <w:tc>
          <w:tcPr>
            <w:tcW w:w="60" w:type="dxa"/>
            <w:vAlign w:val="bottom"/>
            <w:gridSpan w:val="2"/>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4220" w:type="dxa"/>
            <w:vAlign w:val="bottom"/>
            <w:gridSpan w:val="23"/>
          </w:tcPr>
          <w:p>
            <w:pPr>
              <w:spacing w:after="0" w:line="19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May 21, 2020.</w:t>
              </w:r>
            </w:hyperlink>
          </w:p>
        </w:tc>
        <w:tc>
          <w:tcPr>
            <w:tcW w:w="10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001-35662</w:t>
            </w:r>
          </w:p>
        </w:tc>
        <w:tc>
          <w:tcPr>
            <w:tcW w:w="9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May 26, 2020</w:t>
            </w:r>
          </w:p>
        </w:tc>
      </w:tr>
      <w:tr>
        <w:trPr>
          <w:trHeight w:val="20"/>
        </w:trPr>
        <w:tc>
          <w:tcPr>
            <w:tcW w:w="134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66"/>
        </w:trPr>
        <w:tc>
          <w:tcPr>
            <w:tcW w:w="13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10.6*</w:t>
            </w:r>
          </w:p>
        </w:tc>
        <w:tc>
          <w:tcPr>
            <w:tcW w:w="4220" w:type="dxa"/>
            <w:vAlign w:val="bottom"/>
            <w:gridSpan w:val="23"/>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Offer Letter, between Qualys, Inc. and Bruce K. Posey,</w:t>
              </w:r>
            </w:hyperlink>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3960" w:type="dxa"/>
            <w:vAlign w:val="bottom"/>
            <w:tcBorders>
              <w:top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dated May 8, 2012.</w:t>
              </w:r>
            </w:hyperlink>
          </w:p>
        </w:tc>
        <w:tc>
          <w:tcPr>
            <w:tcW w:w="260" w:type="dxa"/>
            <w:vAlign w:val="bottom"/>
            <w:gridSpan w:val="7"/>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333-182027</w:t>
            </w:r>
          </w:p>
        </w:tc>
        <w:tc>
          <w:tcPr>
            <w:tcW w:w="9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5"/>
              </w:rPr>
              <w:t>10.9</w:t>
            </w: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June 8, 2012</w:t>
            </w:r>
          </w:p>
        </w:tc>
      </w:tr>
      <w:tr>
        <w:trPr>
          <w:trHeight w:val="20"/>
        </w:trPr>
        <w:tc>
          <w:tcPr>
            <w:tcW w:w="1340" w:type="dxa"/>
            <w:vAlign w:val="bottom"/>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66"/>
        </w:trPr>
        <w:tc>
          <w:tcPr>
            <w:tcW w:w="13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10.7*</w:t>
            </w:r>
          </w:p>
        </w:tc>
        <w:tc>
          <w:tcPr>
            <w:tcW w:w="40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Form of Stock Option Agreement under the 2012 Equity</w:t>
              </w:r>
            </w:hyperlink>
          </w:p>
        </w:tc>
        <w:tc>
          <w:tcPr>
            <w:tcW w:w="140" w:type="dxa"/>
            <w:vAlign w:val="bottom"/>
            <w:gridSpan w:val="6"/>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288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Incentive Plan, as amended and restated</w:t>
              </w:r>
            </w:hyperlink>
          </w:p>
        </w:tc>
        <w:tc>
          <w:tcPr>
            <w:tcW w:w="1340" w:type="dxa"/>
            <w:vAlign w:val="bottom"/>
            <w:gridSpan w:val="13"/>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001-35662</w:t>
            </w:r>
          </w:p>
        </w:tc>
        <w:tc>
          <w:tcPr>
            <w:tcW w:w="9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August 6, 2024</w:t>
            </w:r>
          </w:p>
        </w:tc>
      </w:tr>
      <w:tr>
        <w:trPr>
          <w:trHeight w:val="520"/>
        </w:trPr>
        <w:tc>
          <w:tcPr>
            <w:tcW w:w="13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10.8*</w:t>
            </w:r>
          </w:p>
        </w:tc>
        <w:tc>
          <w:tcPr>
            <w:tcW w:w="4220" w:type="dxa"/>
            <w:vAlign w:val="bottom"/>
            <w:gridSpan w:val="23"/>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Form of Restricted Stock Unit Agreement under the 2012</w:t>
              </w:r>
            </w:hyperlink>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3400" w:type="dxa"/>
            <w:vAlign w:val="bottom"/>
            <w:tcBorders>
              <w:top w:val="single" w:sz="8" w:color="0000FF"/>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Equity Incentive Plan, as amended and restated</w:t>
              </w:r>
            </w:hyperlink>
          </w:p>
        </w:tc>
        <w:tc>
          <w:tcPr>
            <w:tcW w:w="740" w:type="dxa"/>
            <w:vAlign w:val="bottom"/>
            <w:tcBorders>
              <w:top w:val="single" w:sz="8" w:color="0000FF"/>
            </w:tcBorders>
            <w:gridSpan w:val="8"/>
          </w:tcPr>
          <w:p>
            <w:pPr>
              <w:spacing w:after="0"/>
              <w:rPr>
                <w:sz w:val="17"/>
                <w:szCs w:val="17"/>
                <w:color w:val="auto"/>
              </w:rPr>
            </w:pPr>
          </w:p>
        </w:tc>
        <w:tc>
          <w:tcPr>
            <w:tcW w:w="80" w:type="dxa"/>
            <w:vAlign w:val="bottom"/>
            <w:gridSpan w:val="3"/>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001-35662</w:t>
            </w:r>
          </w:p>
        </w:tc>
        <w:tc>
          <w:tcPr>
            <w:tcW w:w="9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5"/>
              </w:rPr>
              <w:t>10.3</w:t>
            </w: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August 6, 2024</w:t>
            </w:r>
          </w:p>
        </w:tc>
      </w:tr>
      <w:tr>
        <w:trPr>
          <w:trHeight w:val="520"/>
        </w:trPr>
        <w:tc>
          <w:tcPr>
            <w:tcW w:w="13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10.9*</w:t>
            </w:r>
          </w:p>
        </w:tc>
        <w:tc>
          <w:tcPr>
            <w:tcW w:w="36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Form of Performance-Based Restricted Stock Unit</w:t>
              </w:r>
            </w:hyperlink>
          </w:p>
        </w:tc>
        <w:tc>
          <w:tcPr>
            <w:tcW w:w="580" w:type="dxa"/>
            <w:vAlign w:val="bottom"/>
            <w:gridSpan w:val="9"/>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35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Agreement for Executives under the 2012 Equity</w:t>
              </w:r>
            </w:hyperlink>
          </w:p>
        </w:tc>
        <w:tc>
          <w:tcPr>
            <w:tcW w:w="660" w:type="dxa"/>
            <w:vAlign w:val="bottom"/>
            <w:gridSpan w:val="10"/>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220" w:type="dxa"/>
            <w:vAlign w:val="bottom"/>
            <w:gridSpan w:val="23"/>
          </w:tcPr>
          <w:p>
            <w:pPr>
              <w:spacing w:after="0" w:line="19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Incentive Plan, dated October 28, 2021</w:t>
              </w:r>
            </w:hyperlink>
          </w:p>
        </w:tc>
        <w:tc>
          <w:tcPr>
            <w:tcW w:w="10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001-35662</w:t>
            </w:r>
          </w:p>
        </w:tc>
        <w:tc>
          <w:tcPr>
            <w:tcW w:w="9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5"/>
              </w:rPr>
              <w:t>10.8</w:t>
            </w: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February 22, 2022</w:t>
            </w:r>
          </w:p>
        </w:tc>
      </w:tr>
      <w:tr>
        <w:trPr>
          <w:trHeight w:val="20"/>
        </w:trPr>
        <w:tc>
          <w:tcPr>
            <w:tcW w:w="1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1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40" w:type="dxa"/>
            <w:vAlign w:val="bottom"/>
          </w:tcPr>
          <w:p>
            <w:pPr>
              <w:jc w:val="center"/>
              <w:ind w:right="190"/>
              <w:spacing w:after="0" w:line="198" w:lineRule="exact"/>
              <w:rPr>
                <w:sz w:val="20"/>
                <w:szCs w:val="20"/>
                <w:color w:val="auto"/>
              </w:rPr>
            </w:pPr>
            <w:r>
              <w:rPr>
                <w:rFonts w:ascii="Times New Roman" w:cs="Times New Roman" w:eastAsia="Times New Roman" w:hAnsi="Times New Roman"/>
                <w:sz w:val="18"/>
                <w:szCs w:val="18"/>
                <w:color w:val="auto"/>
              </w:rPr>
              <w:t>Exhibit</w:t>
            </w:r>
          </w:p>
        </w:tc>
        <w:tc>
          <w:tcPr>
            <w:tcW w:w="7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Filed</w:t>
            </w: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rPr>
              <w:t>Exhibit</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3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8"/>
              </w:rPr>
              <w:t>Number</w:t>
            </w:r>
          </w:p>
        </w:tc>
        <w:tc>
          <w:tcPr>
            <w:tcW w:w="42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Description</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Herewith</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Form</w:t>
            </w:r>
          </w:p>
        </w:tc>
        <w:tc>
          <w:tcPr>
            <w:tcW w:w="11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File No.</w:t>
            </w:r>
          </w:p>
        </w:tc>
        <w:tc>
          <w:tcPr>
            <w:tcW w:w="10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7"/>
              </w:rPr>
              <w:t>No.</w:t>
            </w:r>
          </w:p>
        </w:tc>
        <w:tc>
          <w:tcPr>
            <w:tcW w:w="16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Filing Date</w:t>
            </w:r>
          </w:p>
        </w:tc>
        <w:tc>
          <w:tcPr>
            <w:tcW w:w="0" w:type="dxa"/>
            <w:vAlign w:val="bottom"/>
          </w:tcPr>
          <w:p>
            <w:pPr>
              <w:spacing w:after="0"/>
              <w:rPr>
                <w:sz w:val="1"/>
                <w:szCs w:val="1"/>
                <w:color w:val="auto"/>
              </w:rPr>
            </w:pPr>
          </w:p>
        </w:tc>
      </w:tr>
      <w:tr>
        <w:trPr>
          <w:trHeight w:val="405"/>
        </w:trPr>
        <w:tc>
          <w:tcPr>
            <w:tcW w:w="13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10.10*</w:t>
            </w:r>
          </w:p>
        </w:tc>
        <w:tc>
          <w:tcPr>
            <w:tcW w:w="4220" w:type="dxa"/>
            <w:vAlign w:val="bottom"/>
            <w:gridSpan w:val="7"/>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of director and executive officer indemnification</w:t>
              </w:r>
            </w:hyperlink>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3920" w:type="dxa"/>
            <w:vAlign w:val="bottom"/>
            <w:tcBorders>
              <w:top w:val="single" w:sz="8" w:color="0000FF"/>
            </w:tcBorders>
            <w:gridSpan w:val="6"/>
          </w:tcPr>
          <w:p>
            <w:pPr>
              <w:spacing w:after="0" w:line="19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agreement.</w:t>
              </w:r>
            </w:hyperlink>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333-182027</w:t>
            </w:r>
          </w:p>
        </w:tc>
        <w:tc>
          <w:tcPr>
            <w:tcW w:w="100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680" w:type="dxa"/>
            <w:vAlign w:val="bottom"/>
          </w:tcPr>
          <w:p>
            <w:pPr>
              <w:jc w:val="center"/>
              <w:ind w:right="70"/>
              <w:spacing w:after="0" w:line="196" w:lineRule="exact"/>
              <w:rPr>
                <w:sz w:val="20"/>
                <w:szCs w:val="20"/>
                <w:color w:val="auto"/>
              </w:rPr>
            </w:pPr>
            <w:r>
              <w:rPr>
                <w:rFonts w:ascii="Times New Roman" w:cs="Times New Roman" w:eastAsia="Times New Roman" w:hAnsi="Times New Roman"/>
                <w:sz w:val="18"/>
                <w:szCs w:val="18"/>
                <w:color w:val="auto"/>
              </w:rPr>
              <w:t>August 10, 2012</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3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10.11*</w:t>
            </w:r>
          </w:p>
        </w:tc>
        <w:tc>
          <w:tcPr>
            <w:tcW w:w="4220" w:type="dxa"/>
            <w:vAlign w:val="bottom"/>
            <w:gridSpan w:val="7"/>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Qualys, Inc. Executive Performance Bonus Plan.</w:t>
              </w:r>
            </w:hyperlink>
          </w:p>
        </w:tc>
        <w:tc>
          <w:tcPr>
            <w:tcW w:w="9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Schedule</w:t>
            </w: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340" w:type="dxa"/>
            <w:vAlign w:val="bottom"/>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21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14A,</w:t>
            </w: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Appendix</w:t>
            </w: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A</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001-35662</w:t>
            </w:r>
          </w:p>
        </w:tc>
        <w:tc>
          <w:tcPr>
            <w:tcW w:w="10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6"/>
              </w:rPr>
              <w:t>N/A</w:t>
            </w:r>
          </w:p>
        </w:tc>
        <w:tc>
          <w:tcPr>
            <w:tcW w:w="16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April 25, 2016</w:t>
            </w:r>
          </w:p>
        </w:tc>
        <w:tc>
          <w:tcPr>
            <w:tcW w:w="0" w:type="dxa"/>
            <w:vAlign w:val="bottom"/>
          </w:tcPr>
          <w:p>
            <w:pPr>
              <w:spacing w:after="0"/>
              <w:rPr>
                <w:sz w:val="1"/>
                <w:szCs w:val="1"/>
                <w:color w:val="auto"/>
              </w:rPr>
            </w:pPr>
          </w:p>
        </w:tc>
      </w:tr>
      <w:tr>
        <w:trPr>
          <w:trHeight w:val="446"/>
        </w:trPr>
        <w:tc>
          <w:tcPr>
            <w:tcW w:w="13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10.12*#</w:t>
            </w:r>
          </w:p>
        </w:tc>
        <w:tc>
          <w:tcPr>
            <w:tcW w:w="29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Qualys, Inc. 2024 Corporate Bonus Plan.</w:t>
            </w:r>
          </w:p>
        </w:tc>
        <w:tc>
          <w:tcPr>
            <w:tcW w:w="1260" w:type="dxa"/>
            <w:vAlign w:val="bottom"/>
            <w:gridSpan w:val="5"/>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3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10.13*</w:t>
            </w:r>
          </w:p>
        </w:tc>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Qualys, Inc. Non-Employee Director Compensation</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340" w:type="dxa"/>
            <w:vAlign w:val="bottom"/>
          </w:tcPr>
          <w:p>
            <w:pPr>
              <w:spacing w:after="0"/>
              <w:rPr>
                <w:sz w:val="11"/>
                <w:szCs w:val="11"/>
                <w:color w:val="auto"/>
              </w:rPr>
            </w:pPr>
          </w:p>
        </w:tc>
        <w:tc>
          <w:tcPr>
            <w:tcW w:w="3120" w:type="dxa"/>
            <w:vAlign w:val="bottom"/>
            <w:tcBorders>
              <w:top w:val="single" w:sz="8" w:color="0000FF"/>
            </w:tcBorders>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9"/>
              </w:rPr>
              <w:t>Program, as amended on October 30, 2024.</w:t>
            </w:r>
          </w:p>
        </w:tc>
        <w:tc>
          <w:tcPr>
            <w:tcW w:w="620" w:type="dxa"/>
            <w:vAlign w:val="bottom"/>
            <w:tcBorders>
              <w:top w:val="single" w:sz="8" w:color="0000FF"/>
            </w:tcBorders>
            <w:gridSpan w:val="2"/>
            <w:vMerge w:val="restart"/>
          </w:tcPr>
          <w:p>
            <w:pPr>
              <w:spacing w:after="0"/>
              <w:rPr>
                <w:sz w:val="11"/>
                <w:szCs w:val="11"/>
                <w:color w:val="auto"/>
              </w:rPr>
            </w:pPr>
          </w:p>
        </w:tc>
        <w:tc>
          <w:tcPr>
            <w:tcW w:w="480" w:type="dxa"/>
            <w:vAlign w:val="bottom"/>
            <w:gridSpan w:val="2"/>
            <w:vMerge w:val="restart"/>
          </w:tcPr>
          <w:p>
            <w:pPr>
              <w:spacing w:after="0"/>
              <w:rPr>
                <w:sz w:val="11"/>
                <w:szCs w:val="11"/>
                <w:color w:val="auto"/>
              </w:rPr>
            </w:pPr>
          </w:p>
        </w:tc>
        <w:tc>
          <w:tcPr>
            <w:tcW w:w="92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340" w:type="dxa"/>
            <w:vAlign w:val="bottom"/>
          </w:tcPr>
          <w:p>
            <w:pPr>
              <w:spacing w:after="0"/>
              <w:rPr>
                <w:sz w:val="5"/>
                <w:szCs w:val="5"/>
                <w:color w:val="auto"/>
              </w:rPr>
            </w:pPr>
          </w:p>
        </w:tc>
        <w:tc>
          <w:tcPr>
            <w:tcW w:w="3120" w:type="dxa"/>
            <w:vAlign w:val="bottom"/>
            <w:tcBorders>
              <w:bottom w:val="single" w:sz="8" w:color="0000FF"/>
            </w:tcBorders>
            <w:gridSpan w:val="3"/>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337" w:right="359" w:bottom="1440" w:gutter="0" w:footer="0" w:header="0"/>
        </w:sectPr>
      </w:pPr>
    </w:p>
    <w:p>
      <w:pPr>
        <w:spacing w:after="0" w:line="66"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102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10.14</w:t>
            </w:r>
          </w:p>
        </w:tc>
        <w:tc>
          <w:tcPr>
            <w:tcW w:w="378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Lease Agreement, between Qualys, Inc. and Hudson</w:t>
              </w:r>
            </w:hyperlink>
          </w:p>
        </w:tc>
        <w:tc>
          <w:tcPr>
            <w:tcW w:w="320" w:type="dxa"/>
            <w:vAlign w:val="bottom"/>
            <w:gridSpan w:val="5"/>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4100" w:type="dxa"/>
            <w:vAlign w:val="bottom"/>
            <w:gridSpan w:val="13"/>
          </w:tcPr>
          <w:p>
            <w:pPr>
              <w:spacing w:after="0" w:line="19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Metro Center, LLC, dated October 14, 2016.</w:t>
              </w:r>
            </w:hyperlink>
          </w:p>
        </w:tc>
      </w:tr>
      <w:tr>
        <w:trPr>
          <w:trHeight w:val="20"/>
        </w:trPr>
        <w:tc>
          <w:tcPr>
            <w:tcW w:w="10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02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5"/>
              </w:rPr>
              <w:t>19.1</w:t>
            </w:r>
          </w:p>
        </w:tc>
        <w:tc>
          <w:tcPr>
            <w:tcW w:w="35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Qualys Inc. Insider Trading Policy, effective as of</w:t>
            </w:r>
          </w:p>
        </w:tc>
        <w:tc>
          <w:tcPr>
            <w:tcW w:w="520" w:type="dxa"/>
            <w:vAlign w:val="bottom"/>
            <w:gridSpan w:val="7"/>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3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February 24, 2023</w:t>
            </w:r>
          </w:p>
        </w:tc>
        <w:tc>
          <w:tcPr>
            <w:tcW w:w="2780" w:type="dxa"/>
            <w:vAlign w:val="bottom"/>
            <w:gridSpan w:val="12"/>
          </w:tcPr>
          <w:p>
            <w:pPr>
              <w:spacing w:after="0"/>
              <w:rPr>
                <w:sz w:val="17"/>
                <w:szCs w:val="17"/>
                <w:color w:val="auto"/>
              </w:rPr>
            </w:pPr>
          </w:p>
        </w:tc>
      </w:tr>
      <w:tr>
        <w:trPr>
          <w:trHeight w:val="466"/>
        </w:trPr>
        <w:tc>
          <w:tcPr>
            <w:tcW w:w="102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5"/>
              </w:rPr>
              <w:t>21.1</w:t>
            </w:r>
          </w:p>
        </w:tc>
        <w:tc>
          <w:tcPr>
            <w:tcW w:w="24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List of subsidiaries of Qualys, Inc.</w:t>
            </w:r>
          </w:p>
        </w:tc>
        <w:tc>
          <w:tcPr>
            <w:tcW w:w="1620" w:type="dxa"/>
            <w:vAlign w:val="bottom"/>
            <w:gridSpan w:val="9"/>
          </w:tcPr>
          <w:p>
            <w:pPr>
              <w:spacing w:after="0"/>
              <w:rPr>
                <w:sz w:val="24"/>
                <w:szCs w:val="24"/>
                <w:color w:val="auto"/>
              </w:rPr>
            </w:pPr>
          </w:p>
        </w:tc>
      </w:tr>
      <w:tr>
        <w:trPr>
          <w:trHeight w:val="466"/>
        </w:trPr>
        <w:tc>
          <w:tcPr>
            <w:tcW w:w="102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5"/>
              </w:rPr>
              <w:t>23.1</w:t>
            </w:r>
          </w:p>
        </w:tc>
        <w:tc>
          <w:tcPr>
            <w:tcW w:w="40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Consent of Grant Thornton LLP, independent registered</w:t>
            </w:r>
          </w:p>
        </w:tc>
        <w:tc>
          <w:tcPr>
            <w:tcW w:w="8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6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public accounting firm.</w:t>
            </w:r>
          </w:p>
        </w:tc>
        <w:tc>
          <w:tcPr>
            <w:tcW w:w="2420" w:type="dxa"/>
            <w:vAlign w:val="bottom"/>
            <w:gridSpan w:val="11"/>
          </w:tcPr>
          <w:p>
            <w:pPr>
              <w:spacing w:after="0"/>
              <w:rPr>
                <w:sz w:val="17"/>
                <w:szCs w:val="17"/>
                <w:color w:val="auto"/>
              </w:rPr>
            </w:pPr>
          </w:p>
        </w:tc>
      </w:tr>
      <w:tr>
        <w:trPr>
          <w:trHeight w:val="466"/>
        </w:trPr>
        <w:tc>
          <w:tcPr>
            <w:tcW w:w="102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5"/>
              </w:rPr>
              <w:t>24.1</w:t>
            </w:r>
          </w:p>
        </w:tc>
        <w:tc>
          <w:tcPr>
            <w:tcW w:w="37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Power of Attorney (incorporated by reference to the</w:t>
            </w:r>
          </w:p>
        </w:tc>
        <w:tc>
          <w:tcPr>
            <w:tcW w:w="360" w:type="dxa"/>
            <w:vAlign w:val="bottom"/>
            <w:gridSpan w:val="6"/>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41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signature page of this Annual Report on Form 10-K)</w:t>
            </w:r>
          </w:p>
        </w:tc>
      </w:tr>
      <w:tr>
        <w:trPr>
          <w:trHeight w:val="20"/>
        </w:trPr>
        <w:tc>
          <w:tcPr>
            <w:tcW w:w="1020" w:type="dxa"/>
            <w:vAlign w:val="bottom"/>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1680" w:type="dxa"/>
            <w:vAlign w:val="bottom"/>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02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5"/>
              </w:rPr>
              <w:t>31.1</w:t>
            </w:r>
          </w:p>
        </w:tc>
        <w:tc>
          <w:tcPr>
            <w:tcW w:w="41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Rule</w:t>
            </w:r>
          </w:p>
        </w:tc>
      </w:tr>
      <w:tr>
        <w:trPr>
          <w:trHeight w:val="196"/>
        </w:trPr>
        <w:tc>
          <w:tcPr>
            <w:tcW w:w="1020" w:type="dxa"/>
            <w:vAlign w:val="bottom"/>
          </w:tcPr>
          <w:p>
            <w:pPr>
              <w:spacing w:after="0"/>
              <w:rPr>
                <w:sz w:val="17"/>
                <w:szCs w:val="17"/>
                <w:color w:val="auto"/>
              </w:rPr>
            </w:pPr>
          </w:p>
        </w:tc>
        <w:tc>
          <w:tcPr>
            <w:tcW w:w="400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13a-14(a) or Rule 15d-14(a) of the Securities Exchange</w:t>
            </w:r>
          </w:p>
        </w:tc>
        <w:tc>
          <w:tcPr>
            <w:tcW w:w="100" w:type="dxa"/>
            <w:vAlign w:val="bottom"/>
            <w:gridSpan w:val="3"/>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9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Act of 1934, as adopted pursuant to Section 302 of The</w:t>
            </w:r>
          </w:p>
        </w:tc>
        <w:tc>
          <w:tcPr>
            <w:tcW w:w="120" w:type="dxa"/>
            <w:vAlign w:val="bottom"/>
            <w:gridSpan w:val="4"/>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1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000" w:type="dxa"/>
            <w:vAlign w:val="bottom"/>
            <w:gridSpan w:val="10"/>
          </w:tcPr>
          <w:p>
            <w:pPr>
              <w:spacing w:after="0"/>
              <w:rPr>
                <w:sz w:val="17"/>
                <w:szCs w:val="17"/>
                <w:color w:val="auto"/>
              </w:rPr>
            </w:pPr>
          </w:p>
        </w:tc>
      </w:tr>
      <w:tr>
        <w:trPr>
          <w:trHeight w:val="466"/>
        </w:trPr>
        <w:tc>
          <w:tcPr>
            <w:tcW w:w="102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5"/>
              </w:rPr>
              <w:t>31.2</w:t>
            </w:r>
          </w:p>
        </w:tc>
        <w:tc>
          <w:tcPr>
            <w:tcW w:w="40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Rule</w:t>
            </w:r>
          </w:p>
        </w:tc>
        <w:tc>
          <w:tcPr>
            <w:tcW w:w="4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400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13a-14(a) or Rule 15d-14(a) of the Securities Exchange</w:t>
            </w:r>
          </w:p>
        </w:tc>
        <w:tc>
          <w:tcPr>
            <w:tcW w:w="100" w:type="dxa"/>
            <w:vAlign w:val="bottom"/>
            <w:gridSpan w:val="3"/>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9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Act of 1934, as adopted pursuant to Section 302 of The</w:t>
            </w:r>
          </w:p>
        </w:tc>
        <w:tc>
          <w:tcPr>
            <w:tcW w:w="120" w:type="dxa"/>
            <w:vAlign w:val="bottom"/>
            <w:gridSpan w:val="4"/>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1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000" w:type="dxa"/>
            <w:vAlign w:val="bottom"/>
            <w:gridSpan w:val="10"/>
          </w:tcPr>
          <w:p>
            <w:pPr>
              <w:spacing w:after="0"/>
              <w:rPr>
                <w:sz w:val="17"/>
                <w:szCs w:val="17"/>
                <w:color w:val="auto"/>
              </w:rPr>
            </w:pPr>
          </w:p>
        </w:tc>
      </w:tr>
      <w:tr>
        <w:trPr>
          <w:trHeight w:val="466"/>
        </w:trPr>
        <w:tc>
          <w:tcPr>
            <w:tcW w:w="102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5"/>
              </w:rPr>
              <w:t>32.1</w:t>
            </w:r>
          </w:p>
        </w:tc>
        <w:tc>
          <w:tcPr>
            <w:tcW w:w="41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Rule</w:t>
            </w:r>
          </w:p>
        </w:tc>
      </w:tr>
      <w:tr>
        <w:trPr>
          <w:trHeight w:val="196"/>
        </w:trPr>
        <w:tc>
          <w:tcPr>
            <w:tcW w:w="1020" w:type="dxa"/>
            <w:vAlign w:val="bottom"/>
          </w:tcPr>
          <w:p>
            <w:pPr>
              <w:spacing w:after="0"/>
              <w:rPr>
                <w:sz w:val="17"/>
                <w:szCs w:val="17"/>
                <w:color w:val="auto"/>
              </w:rPr>
            </w:pPr>
          </w:p>
        </w:tc>
        <w:tc>
          <w:tcPr>
            <w:tcW w:w="402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13a-14(b) or Rule 15d-14(b) of the Securities Exchange</w:t>
            </w:r>
          </w:p>
        </w:tc>
        <w:tc>
          <w:tcPr>
            <w:tcW w:w="80" w:type="dxa"/>
            <w:vAlign w:val="bottom"/>
            <w:gridSpan w:val="2"/>
          </w:tcPr>
          <w:p>
            <w:pPr>
              <w:spacing w:after="0"/>
              <w:rPr>
                <w:sz w:val="17"/>
                <w:szCs w:val="17"/>
                <w:color w:val="auto"/>
              </w:rPr>
            </w:pPr>
          </w:p>
        </w:tc>
      </w:tr>
    </w:tbl>
    <w:p>
      <w:pPr>
        <w:spacing w:after="0" w:line="9" w:lineRule="exact"/>
        <w:rPr>
          <w:sz w:val="20"/>
          <w:szCs w:val="20"/>
          <w:color w:val="auto"/>
        </w:rPr>
      </w:pPr>
    </w:p>
    <w:p>
      <w:pPr>
        <w:ind w:left="1340" w:right="180"/>
        <w:spacing w:after="0" w:line="266" w:lineRule="auto"/>
        <w:rPr>
          <w:sz w:val="20"/>
          <w:szCs w:val="20"/>
          <w:color w:val="auto"/>
        </w:rPr>
      </w:pPr>
      <w:r>
        <w:rPr>
          <w:rFonts w:ascii="Times New Roman" w:cs="Times New Roman" w:eastAsia="Times New Roman" w:hAnsi="Times New Roman"/>
          <w:sz w:val="18"/>
          <w:szCs w:val="18"/>
          <w:u w:val="single" w:color="auto"/>
          <w:color w:val="0000FF"/>
        </w:rPr>
        <w:t>Act of 1934 and 18 U.S.C. Section 1350 as adopted pursuant to Section 906 of The Sarbanes-Oxley Act of 2002.</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jc w:val="right"/>
        <w:ind w:right="300"/>
        <w:spacing w:after="0"/>
        <w:tabs>
          <w:tab w:leader="none" w:pos="3340" w:val="left"/>
          <w:tab w:leader="none" w:pos="2100" w:val="left"/>
          <w:tab w:leader="none" w:pos="12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001-35662</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October 19, 2016</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681" w:lineRule="exact"/>
        <w:rPr>
          <w:sz w:val="20"/>
          <w:szCs w:val="20"/>
          <w:color w:val="auto"/>
        </w:rPr>
      </w:pPr>
    </w:p>
    <w:p>
      <w:pPr>
        <w:sectPr>
          <w:pgSz w:w="11900" w:h="16838" w:orient="portrait"/>
          <w:cols w:equalWidth="0" w:num="2">
            <w:col w:w="5440" w:space="540"/>
            <w:col w:w="5240"/>
          </w:cols>
          <w:pgMar w:left="320" w:top="33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1600" w:type="dxa"/>
            <w:vAlign w:val="bottom"/>
            <w:tcBorders>
              <w:bottom w:val="single" w:sz="8" w:color="auto"/>
            </w:tcBorders>
          </w:tcPr>
          <w:p>
            <w:pPr>
              <w:spacing w:after="0"/>
              <w:rPr>
                <w:sz w:val="20"/>
                <w:szCs w:val="20"/>
                <w:color w:val="auto"/>
              </w:rPr>
            </w:pPr>
          </w:p>
        </w:tc>
      </w:tr>
      <w:tr>
        <w:trPr>
          <w:trHeight w:val="198"/>
        </w:trPr>
        <w:tc>
          <w:tcPr>
            <w:tcW w:w="1340" w:type="dxa"/>
            <w:vAlign w:val="bottom"/>
          </w:tcPr>
          <w:p>
            <w:pPr>
              <w:jc w:val="center"/>
              <w:ind w:right="190"/>
              <w:spacing w:after="0" w:line="198" w:lineRule="exact"/>
              <w:rPr>
                <w:sz w:val="20"/>
                <w:szCs w:val="20"/>
                <w:color w:val="auto"/>
              </w:rPr>
            </w:pPr>
            <w:r>
              <w:rPr>
                <w:rFonts w:ascii="Times New Roman" w:cs="Times New Roman" w:eastAsia="Times New Roman" w:hAnsi="Times New Roman"/>
                <w:sz w:val="18"/>
                <w:szCs w:val="18"/>
                <w:color w:val="auto"/>
              </w:rPr>
              <w:t>Exhibit</w:t>
            </w:r>
          </w:p>
        </w:tc>
        <w:tc>
          <w:tcPr>
            <w:tcW w:w="4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Filed</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rPr>
              <w:t>Exhibit</w:t>
            </w:r>
          </w:p>
        </w:tc>
        <w:tc>
          <w:tcPr>
            <w:tcW w:w="1600" w:type="dxa"/>
            <w:vAlign w:val="bottom"/>
          </w:tcPr>
          <w:p>
            <w:pPr>
              <w:spacing w:after="0"/>
              <w:rPr>
                <w:sz w:val="17"/>
                <w:szCs w:val="17"/>
                <w:color w:val="auto"/>
              </w:rPr>
            </w:pPr>
          </w:p>
        </w:tc>
      </w:tr>
      <w:tr>
        <w:trPr>
          <w:trHeight w:val="255"/>
        </w:trPr>
        <w:tc>
          <w:tcPr>
            <w:tcW w:w="13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8"/>
              </w:rPr>
              <w:t>Number</w:t>
            </w:r>
          </w:p>
        </w:tc>
        <w:tc>
          <w:tcPr>
            <w:tcW w:w="42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Herewith</w:t>
            </w: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Form</w:t>
            </w:r>
          </w:p>
        </w:tc>
        <w:tc>
          <w:tcPr>
            <w:tcW w:w="11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File No.</w:t>
            </w:r>
          </w:p>
        </w:tc>
        <w:tc>
          <w:tcPr>
            <w:tcW w:w="11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7"/>
              </w:rPr>
              <w:t>No.</w:t>
            </w:r>
          </w:p>
        </w:tc>
        <w:tc>
          <w:tcPr>
            <w:tcW w:w="16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Filing Date</w:t>
            </w:r>
          </w:p>
        </w:tc>
      </w:tr>
      <w:tr>
        <w:trPr>
          <w:trHeight w:val="203"/>
        </w:trPr>
        <w:tc>
          <w:tcPr>
            <w:tcW w:w="1340" w:type="dxa"/>
            <w:vAlign w:val="bottom"/>
          </w:tcPr>
          <w:p>
            <w:pPr>
              <w:jc w:val="center"/>
              <w:ind w:right="190"/>
              <w:spacing w:after="0" w:line="202" w:lineRule="exact"/>
              <w:rPr>
                <w:sz w:val="20"/>
                <w:szCs w:val="20"/>
                <w:color w:val="auto"/>
              </w:rPr>
            </w:pPr>
            <w:r>
              <w:rPr>
                <w:rFonts w:ascii="Times New Roman" w:cs="Times New Roman" w:eastAsia="Times New Roman" w:hAnsi="Times New Roman"/>
                <w:sz w:val="18"/>
                <w:szCs w:val="18"/>
                <w:color w:val="auto"/>
                <w:w w:val="95"/>
              </w:rPr>
              <w:t>32.2</w:t>
            </w:r>
          </w:p>
        </w:tc>
        <w:tc>
          <w:tcPr>
            <w:tcW w:w="4060" w:type="dxa"/>
            <w:vAlign w:val="bottom"/>
            <w:tcBorders>
              <w:bottom w:val="single" w:sz="8" w:color="0000FF"/>
            </w:tcBorders>
            <w:gridSpan w:val="5"/>
          </w:tcPr>
          <w:p>
            <w:pPr>
              <w:spacing w:after="0" w:line="202" w:lineRule="exact"/>
              <w:rPr>
                <w:sz w:val="20"/>
                <w:szCs w:val="20"/>
                <w:color w:val="auto"/>
              </w:rPr>
            </w:pPr>
            <w:r>
              <w:rPr>
                <w:rFonts w:ascii="Times New Roman" w:cs="Times New Roman" w:eastAsia="Times New Roman" w:hAnsi="Times New Roman"/>
                <w:sz w:val="18"/>
                <w:szCs w:val="18"/>
                <w:color w:val="0000FF"/>
                <w:w w:val="99"/>
              </w:rPr>
              <w:t>Certification of Chief Financial Officer pursuant to Rule</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02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13a-14(b) or Rule 15d-14(b) of the Securities Exchange</w:t>
            </w:r>
          </w:p>
        </w:tc>
        <w:tc>
          <w:tcPr>
            <w:tcW w:w="20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372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Act of 1934 and 18 U.S.C. Section 1350 as adopted</w:t>
            </w:r>
          </w:p>
        </w:tc>
        <w:tc>
          <w:tcPr>
            <w:tcW w:w="500" w:type="dxa"/>
            <w:vAlign w:val="bottom"/>
            <w:gridSpan w:val="4"/>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2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906 of The Sarbanes-Oxley Act of</w:t>
            </w: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33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220"/>
          </w:cols>
          <w:pgMar w:left="320" w:top="337" w:right="359" w:bottom="1440" w:gutter="0" w:footer="0" w:header="0"/>
        </w:sectPr>
      </w:pPr>
    </w:p>
    <w:p>
      <w:pPr>
        <w:spacing w:after="0" w:line="6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11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5"/>
              </w:rPr>
              <w:t>97.1</w:t>
            </w:r>
          </w:p>
        </w:tc>
        <w:tc>
          <w:tcPr>
            <w:tcW w:w="400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Qualys Inc. Compensation Recovery Policy, as adopted</w:t>
              </w:r>
            </w:hyperlink>
          </w:p>
        </w:tc>
        <w:tc>
          <w:tcPr>
            <w:tcW w:w="16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4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139">
              <w:r>
                <w:rPr>
                  <w:rFonts w:ascii="Times New Roman" w:cs="Times New Roman" w:eastAsia="Times New Roman" w:hAnsi="Times New Roman"/>
                  <w:sz w:val="18"/>
                  <w:szCs w:val="18"/>
                  <w:color w:val="0000FF"/>
                  <w:w w:val="98"/>
                </w:rPr>
                <w:t>on October 26, 2023</w:t>
              </w:r>
            </w:hyperlink>
          </w:p>
        </w:tc>
        <w:tc>
          <w:tcPr>
            <w:tcW w:w="2680" w:type="dxa"/>
            <w:vAlign w:val="bottom"/>
            <w:gridSpan w:val="2"/>
          </w:tcPr>
          <w:p>
            <w:pPr>
              <w:spacing w:after="0"/>
              <w:rPr>
                <w:sz w:val="17"/>
                <w:szCs w:val="17"/>
                <w:color w:val="auto"/>
              </w:rPr>
            </w:pPr>
          </w:p>
        </w:tc>
      </w:tr>
      <w:tr>
        <w:trPr>
          <w:trHeight w:val="488"/>
        </w:trPr>
        <w:tc>
          <w:tcPr>
            <w:tcW w:w="11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101.INS</w:t>
            </w: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w:t>
            </w:r>
          </w:p>
        </w:tc>
      </w:tr>
      <w:tr>
        <w:trPr>
          <w:trHeight w:val="216"/>
        </w:trPr>
        <w:tc>
          <w:tcPr>
            <w:tcW w:w="114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does not appear in the Interactive Data File because its</w:t>
            </w:r>
          </w:p>
        </w:tc>
      </w:tr>
      <w:tr>
        <w:trPr>
          <w:trHeight w:val="216"/>
        </w:trPr>
        <w:tc>
          <w:tcPr>
            <w:tcW w:w="114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w:t>
            </w:r>
          </w:p>
        </w:tc>
      </w:tr>
      <w:tr>
        <w:trPr>
          <w:trHeight w:val="234"/>
        </w:trPr>
        <w:tc>
          <w:tcPr>
            <w:tcW w:w="1140" w:type="dxa"/>
            <w:vAlign w:val="bottom"/>
          </w:tcPr>
          <w:p>
            <w:pPr>
              <w:spacing w:after="0"/>
              <w:rPr>
                <w:sz w:val="20"/>
                <w:szCs w:val="20"/>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486"/>
        </w:trPr>
        <w:tc>
          <w:tcPr>
            <w:tcW w:w="11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101.SCH</w:t>
            </w: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68"/>
        </w:trPr>
        <w:tc>
          <w:tcPr>
            <w:tcW w:w="11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7"/>
              </w:rPr>
              <w:t>101.CAL</w:t>
            </w: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34"/>
        </w:trPr>
        <w:tc>
          <w:tcPr>
            <w:tcW w:w="1140" w:type="dxa"/>
            <w:vAlign w:val="bottom"/>
          </w:tcPr>
          <w:p>
            <w:pPr>
              <w:spacing w:after="0"/>
              <w:rPr>
                <w:sz w:val="20"/>
                <w:szCs w:val="20"/>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486"/>
        </w:trPr>
        <w:tc>
          <w:tcPr>
            <w:tcW w:w="11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101.DEF</w:t>
            </w: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468"/>
        </w:trPr>
        <w:tc>
          <w:tcPr>
            <w:tcW w:w="11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7"/>
              </w:rPr>
              <w:t>101.LAB</w:t>
            </w: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w:t>
            </w:r>
          </w:p>
        </w:tc>
      </w:tr>
      <w:tr>
        <w:trPr>
          <w:trHeight w:val="234"/>
        </w:trPr>
        <w:tc>
          <w:tcPr>
            <w:tcW w:w="1140" w:type="dxa"/>
            <w:vAlign w:val="bottom"/>
          </w:tcPr>
          <w:p>
            <w:pPr>
              <w:spacing w:after="0"/>
              <w:rPr>
                <w:sz w:val="20"/>
                <w:szCs w:val="20"/>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468"/>
        </w:trPr>
        <w:tc>
          <w:tcPr>
            <w:tcW w:w="11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101.PRE</w:t>
            </w: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w:t>
            </w:r>
          </w:p>
        </w:tc>
      </w:tr>
      <w:tr>
        <w:trPr>
          <w:trHeight w:val="234"/>
        </w:trPr>
        <w:tc>
          <w:tcPr>
            <w:tcW w:w="1140" w:type="dxa"/>
            <w:vAlign w:val="bottom"/>
          </w:tcPr>
          <w:p>
            <w:pPr>
              <w:spacing w:after="0"/>
              <w:rPr>
                <w:sz w:val="20"/>
                <w:szCs w:val="20"/>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Document.</w:t>
            </w:r>
          </w:p>
        </w:tc>
      </w:tr>
    </w:tbl>
    <w:p>
      <w:pPr>
        <w:spacing w:after="0" w:line="252" w:lineRule="exact"/>
        <w:rPr>
          <w:sz w:val="20"/>
          <w:szCs w:val="20"/>
          <w:color w:val="auto"/>
        </w:rPr>
      </w:pPr>
    </w:p>
    <w:p>
      <w:pPr>
        <w:ind w:left="1340" w:right="340" w:hanging="947"/>
        <w:spacing w:after="0" w:line="282" w:lineRule="auto"/>
        <w:tabs>
          <w:tab w:leader="none" w:pos="1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formatted in Inline XBRL and included as Exhibit 101.</w:t>
      </w:r>
    </w:p>
    <w:p>
      <w:pPr>
        <w:spacing w:after="0" w:line="215" w:lineRule="exact"/>
        <w:rPr>
          <w:rFonts w:ascii="Times New Roman" w:cs="Times New Roman" w:eastAsia="Times New Roman" w:hAnsi="Times New Roman"/>
          <w:sz w:val="18"/>
          <w:szCs w:val="18"/>
          <w:color w:val="auto"/>
        </w:rPr>
      </w:pPr>
    </w:p>
    <w:p>
      <w:pPr>
        <w:ind w:left="1340" w:right="40" w:hanging="19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or compensatory plan or arrangement.</w:t>
      </w:r>
    </w:p>
    <w:p>
      <w:pPr>
        <w:spacing w:after="0" w:line="270" w:lineRule="exact"/>
        <w:rPr>
          <w:sz w:val="20"/>
          <w:szCs w:val="20"/>
          <w:color w:val="auto"/>
        </w:rPr>
      </w:pPr>
    </w:p>
    <w:p>
      <w:pPr>
        <w:ind w:left="1340" w:hanging="202"/>
        <w:spacing w:after="0" w:line="261" w:lineRule="auto"/>
        <w:tabs>
          <w:tab w:leader="none" w:pos="1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exhibit, marked by brackets, have been omitted because the omitted information (i) is not material and (ii) would likely cause competitive harm if publicly disclosed.</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jc w:val="right"/>
        <w:ind w:right="260"/>
        <w:spacing w:after="0"/>
        <w:tabs>
          <w:tab w:leader="none" w:pos="3380" w:val="left"/>
          <w:tab w:leader="none" w:pos="2140" w:val="left"/>
          <w:tab w:leader="none" w:pos="130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001-35662</w:t>
      </w:r>
      <w:r>
        <w:rPr>
          <w:sz w:val="20"/>
          <w:szCs w:val="20"/>
          <w:color w:val="auto"/>
        </w:rPr>
        <w:tab/>
      </w:r>
      <w:r>
        <w:rPr>
          <w:rFonts w:ascii="Times New Roman" w:cs="Times New Roman" w:eastAsia="Times New Roman" w:hAnsi="Times New Roman"/>
          <w:sz w:val="18"/>
          <w:szCs w:val="18"/>
          <w:color w:val="auto"/>
        </w:rPr>
        <w:t>97.1</w:t>
      </w:r>
      <w:r>
        <w:rPr>
          <w:sz w:val="20"/>
          <w:szCs w:val="20"/>
          <w:color w:val="auto"/>
        </w:rPr>
        <w:tab/>
      </w:r>
      <w:r>
        <w:rPr>
          <w:rFonts w:ascii="Times New Roman" w:cs="Times New Roman" w:eastAsia="Times New Roman" w:hAnsi="Times New Roman"/>
          <w:sz w:val="17"/>
          <w:szCs w:val="17"/>
          <w:color w:val="auto"/>
        </w:rPr>
        <w:t>February 22,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243" w:lineRule="exact"/>
        <w:rPr>
          <w:sz w:val="20"/>
          <w:szCs w:val="20"/>
          <w:color w:val="auto"/>
        </w:rPr>
      </w:pPr>
    </w:p>
    <w:p>
      <w:pPr>
        <w:sectPr>
          <w:pgSz w:w="11900" w:h="16838" w:orient="portrait"/>
          <w:cols w:equalWidth="0" w:num="2">
            <w:col w:w="5540" w:space="440"/>
            <w:col w:w="5240"/>
          </w:cols>
          <w:pgMar w:left="320" w:top="33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on Form 10-K to be signed on its behalf by the undersigned, thereunto duly authorized, in the City of Foster City, State of California on February 21, 2025.</w:t>
      </w:r>
    </w:p>
    <w:p>
      <w:pPr>
        <w:spacing w:after="0" w:line="200" w:lineRule="exact"/>
        <w:rPr>
          <w:sz w:val="20"/>
          <w:szCs w:val="20"/>
          <w:color w:val="auto"/>
        </w:rPr>
      </w:pPr>
    </w:p>
    <w:p>
      <w:pPr>
        <w:spacing w:after="0" w:line="34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QUALYS, INC.</w:t>
      </w:r>
    </w:p>
    <w:p>
      <w:pPr>
        <w:spacing w:after="0" w:line="225" w:lineRule="exact"/>
        <w:rPr>
          <w:sz w:val="20"/>
          <w:szCs w:val="20"/>
          <w:color w:val="auto"/>
        </w:rPr>
      </w:pPr>
    </w:p>
    <w:p>
      <w:pPr>
        <w:ind w:left="5840"/>
        <w:spacing w:after="0"/>
        <w:tabs>
          <w:tab w:leader="none" w:pos="7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SUMEDH S. THAKAR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34290</wp:posOffset>
            </wp:positionV>
            <wp:extent cx="258000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1">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5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Sumedh S. Thakar</w:t>
      </w:r>
    </w:p>
    <w:p>
      <w:pPr>
        <w:spacing w:after="0" w:line="6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Sumedh S. Thakar and Joo Mi Kim, jointly and severally,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00" w:type="dxa"/>
            <w:vAlign w:val="bottom"/>
          </w:tcPr>
          <w:p>
            <w:pPr>
              <w:spacing w:after="0"/>
              <w:rPr>
                <w:sz w:val="20"/>
                <w:szCs w:val="20"/>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7"/>
        </w:trPr>
        <w:tc>
          <w:tcPr>
            <w:tcW w:w="2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43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SUMEDH S. THAKAR</w:t>
            </w:r>
          </w:p>
        </w:tc>
        <w:tc>
          <w:tcPr>
            <w:tcW w:w="10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President and Chief Executive Officer (principal executive officer)</w:t>
            </w: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21, 2025</w:t>
            </w:r>
          </w:p>
        </w:tc>
      </w:tr>
      <w:tr>
        <w:trPr>
          <w:trHeight w:val="27"/>
        </w:trPr>
        <w:tc>
          <w:tcPr>
            <w:tcW w:w="2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Sumedh S. Thakar</w:t>
            </w:r>
          </w:p>
        </w:tc>
        <w:tc>
          <w:tcPr>
            <w:tcW w:w="10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32"/>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JOO MI KIM</w:t>
            </w:r>
          </w:p>
        </w:tc>
        <w:tc>
          <w:tcPr>
            <w:tcW w:w="10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 and principal accounting officer)</w:t>
            </w: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21, 2025</w:t>
            </w:r>
          </w:p>
        </w:tc>
      </w:tr>
      <w:tr>
        <w:trPr>
          <w:trHeight w:val="27"/>
        </w:trPr>
        <w:tc>
          <w:tcPr>
            <w:tcW w:w="2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Joo Mi Kim</w:t>
            </w:r>
          </w:p>
        </w:tc>
        <w:tc>
          <w:tcPr>
            <w:tcW w:w="10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32"/>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JEFFREY P. HANK</w:t>
            </w:r>
          </w:p>
        </w:tc>
        <w:tc>
          <w:tcPr>
            <w:tcW w:w="10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21, 2025</w:t>
            </w:r>
          </w:p>
        </w:tc>
      </w:tr>
      <w:tr>
        <w:trPr>
          <w:trHeight w:val="27"/>
        </w:trPr>
        <w:tc>
          <w:tcPr>
            <w:tcW w:w="2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Jeffrey P. Hank</w:t>
            </w:r>
          </w:p>
        </w:tc>
        <w:tc>
          <w:tcPr>
            <w:tcW w:w="10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32"/>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THOMAS P. BERQUIST</w:t>
            </w:r>
          </w:p>
        </w:tc>
        <w:tc>
          <w:tcPr>
            <w:tcW w:w="10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21, 2025</w:t>
            </w:r>
          </w:p>
        </w:tc>
      </w:tr>
      <w:tr>
        <w:trPr>
          <w:trHeight w:val="27"/>
        </w:trPr>
        <w:tc>
          <w:tcPr>
            <w:tcW w:w="2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P. Berquist</w:t>
            </w:r>
          </w:p>
        </w:tc>
        <w:tc>
          <w:tcPr>
            <w:tcW w:w="10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32"/>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WENDY M. PFEIFFER</w:t>
            </w:r>
          </w:p>
        </w:tc>
        <w:tc>
          <w:tcPr>
            <w:tcW w:w="10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21, 2025</w:t>
            </w:r>
          </w:p>
        </w:tc>
      </w:tr>
      <w:tr>
        <w:trPr>
          <w:trHeight w:val="27"/>
        </w:trPr>
        <w:tc>
          <w:tcPr>
            <w:tcW w:w="2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Wendy M. Pfeiffer</w:t>
            </w:r>
          </w:p>
        </w:tc>
        <w:tc>
          <w:tcPr>
            <w:tcW w:w="10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32"/>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KRISTI M. ROGERS</w:t>
            </w:r>
          </w:p>
        </w:tc>
        <w:tc>
          <w:tcPr>
            <w:tcW w:w="10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21, 2025</w:t>
            </w:r>
          </w:p>
        </w:tc>
      </w:tr>
      <w:tr>
        <w:trPr>
          <w:trHeight w:val="27"/>
        </w:trPr>
        <w:tc>
          <w:tcPr>
            <w:tcW w:w="2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Kristi M. Rogers</w:t>
            </w:r>
          </w:p>
        </w:tc>
        <w:tc>
          <w:tcPr>
            <w:tcW w:w="10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32"/>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JOHN A. ZANGARDI</w:t>
            </w:r>
          </w:p>
        </w:tc>
        <w:tc>
          <w:tcPr>
            <w:tcW w:w="10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21, 2025</w:t>
            </w:r>
          </w:p>
        </w:tc>
      </w:tr>
      <w:tr>
        <w:trPr>
          <w:trHeight w:val="27"/>
        </w:trPr>
        <w:tc>
          <w:tcPr>
            <w:tcW w:w="2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A. Zangardi</w:t>
            </w:r>
          </w:p>
        </w:tc>
        <w:tc>
          <w:tcPr>
            <w:tcW w:w="10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931"/>
        </w:trPr>
        <w:tc>
          <w:tcPr>
            <w:tcW w:w="2660" w:type="dxa"/>
            <w:vAlign w:val="bottom"/>
          </w:tcPr>
          <w:p>
            <w:pPr>
              <w:spacing w:after="0"/>
              <w:rPr>
                <w:sz w:val="24"/>
                <w:szCs w:val="24"/>
                <w:color w:val="auto"/>
              </w:rPr>
            </w:pPr>
          </w:p>
        </w:tc>
        <w:tc>
          <w:tcPr>
            <w:tcW w:w="6760" w:type="dxa"/>
            <w:vAlign w:val="bottom"/>
            <w:gridSpan w:val="2"/>
          </w:tcPr>
          <w:p>
            <w:pPr>
              <w:jc w:val="right"/>
              <w:ind w:right="361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39" w:lineRule="exact"/>
        <w:rPr>
          <w:sz w:val="20"/>
          <w:szCs w:val="20"/>
          <w:color w:val="auto"/>
        </w:rPr>
      </w:pPr>
    </w:p>
    <w:p>
      <w:pPr>
        <w:ind w:right="280" w:firstLine="8"/>
        <w:spacing w:after="0" w:line="271" w:lineRule="auto"/>
        <w:tabs>
          <w:tab w:leader="none" w:pos="43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because it both (i) is not material and (ii) would likely cause competitive harm to the registrant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137160</wp:posOffset>
            </wp:positionV>
            <wp:extent cx="1645920" cy="14484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3">
                      <a:extLst>
                        <a:ext uri="{28A0092B-C50C-407E-A947-70E740481C1C}"/>
                      </a:extLst>
                    </a:blip>
                    <a:srcRect/>
                    <a:stretch>
                      <a:fillRect/>
                    </a:stretch>
                  </pic:blipFill>
                  <pic:spPr bwMode="auto">
                    <a:xfrm>
                      <a:off x="0" y="0"/>
                      <a:ext cx="1645920" cy="144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CORPORATE BONUS PLAN</w:t>
      </w:r>
    </w:p>
    <w:p>
      <w:pPr>
        <w:spacing w:after="0" w:line="252" w:lineRule="exact"/>
        <w:rPr>
          <w:sz w:val="20"/>
          <w:szCs w:val="20"/>
          <w:color w:val="auto"/>
        </w:rPr>
      </w:pPr>
    </w:p>
    <w:p>
      <w:pPr>
        <w:ind w:right="120" w:firstLine="656"/>
        <w:spacing w:after="0" w:line="286" w:lineRule="auto"/>
        <w:tabs>
          <w:tab w:leader="none" w:pos="828"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Purpose.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purpose of this 2024 Corporate Bonus Plan (the “Plan”) is to motivate and encourage the employees of Qualys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achieve its stated goals and to assist the Company in attracting, motivating and retaining employees on a competitive basis.</w:t>
      </w:r>
    </w:p>
    <w:p>
      <w:pPr>
        <w:spacing w:after="0" w:line="181" w:lineRule="exact"/>
        <w:rPr>
          <w:rFonts w:ascii="Times New Roman" w:cs="Times New Roman" w:eastAsia="Times New Roman" w:hAnsi="Times New Roman"/>
          <w:sz w:val="18"/>
          <w:szCs w:val="18"/>
          <w:b w:val="1"/>
          <w:bCs w:val="1"/>
          <w:color w:val="auto"/>
        </w:rPr>
      </w:pPr>
    </w:p>
    <w:p>
      <w:pPr>
        <w:ind w:left="840" w:hanging="184"/>
        <w:spacing w:after="0"/>
        <w:tabs>
          <w:tab w:leader="none" w:pos="8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Eligibility</w:t>
      </w:r>
    </w:p>
    <w:p>
      <w:pPr>
        <w:spacing w:after="0" w:line="256" w:lineRule="exact"/>
        <w:rPr>
          <w:sz w:val="20"/>
          <w:szCs w:val="20"/>
          <w:color w:val="auto"/>
        </w:rPr>
      </w:pPr>
    </w:p>
    <w:p>
      <w:pPr>
        <w:ind w:right="40" w:firstLine="656"/>
        <w:spacing w:after="0" w:line="266" w:lineRule="auto"/>
        <w:tabs>
          <w:tab w:leader="none" w:pos="89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or employee of the Company is designated as a participant in the Plan ("Participant") and shall be eligible to participate in the Plan if the employee is a regular full-time or regular part-time employee (working greater than 20 hours a week) and the employee is not already participating in a separate Compensation Plan or MBO plan.</w:t>
      </w:r>
    </w:p>
    <w:p>
      <w:pPr>
        <w:spacing w:after="0" w:line="198" w:lineRule="exact"/>
        <w:rPr>
          <w:rFonts w:ascii="Times New Roman" w:cs="Times New Roman" w:eastAsia="Times New Roman" w:hAnsi="Times New Roman"/>
          <w:sz w:val="18"/>
          <w:szCs w:val="18"/>
          <w:color w:val="auto"/>
        </w:rPr>
      </w:pPr>
    </w:p>
    <w:p>
      <w:pPr>
        <w:ind w:right="500" w:firstLine="656"/>
        <w:spacing w:after="0" w:line="286" w:lineRule="auto"/>
        <w:tabs>
          <w:tab w:leader="none" w:pos="90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New Hires. </w:t>
      </w:r>
      <w:r>
        <w:rPr>
          <w:rFonts w:ascii="Times New Roman" w:cs="Times New Roman" w:eastAsia="Times New Roman" w:hAnsi="Times New Roman"/>
          <w:sz w:val="18"/>
          <w:szCs w:val="18"/>
          <w:color w:val="auto"/>
        </w:rPr>
        <w:t>New employees hired in the first or second month of a quarter will be eligible to participate in the Plan for that quarter,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participation will be prorated based on the number of working days employed in the quarter.</w:t>
      </w:r>
    </w:p>
    <w:p>
      <w:pPr>
        <w:spacing w:after="0" w:line="18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of Employment. </w:t>
      </w:r>
      <w:r>
        <w:rPr>
          <w:rFonts w:ascii="Times New Roman" w:cs="Times New Roman" w:eastAsia="Times New Roman" w:hAnsi="Times New Roman"/>
          <w:sz w:val="18"/>
          <w:szCs w:val="18"/>
          <w:color w:val="auto"/>
        </w:rPr>
        <w:t>To be eligible for the bonus, the employee must be employed as of the last working day of the quarter.</w:t>
      </w:r>
    </w:p>
    <w:p>
      <w:pPr>
        <w:spacing w:after="0" w:line="252" w:lineRule="exact"/>
        <w:rPr>
          <w:rFonts w:ascii="Times New Roman" w:cs="Times New Roman" w:eastAsia="Times New Roman" w:hAnsi="Times New Roman"/>
          <w:sz w:val="18"/>
          <w:szCs w:val="18"/>
          <w:color w:val="auto"/>
        </w:rPr>
      </w:pPr>
    </w:p>
    <w:p>
      <w:pPr>
        <w:ind w:right="260" w:firstLine="656"/>
        <w:spacing w:after="0" w:line="268" w:lineRule="auto"/>
        <w:tabs>
          <w:tab w:leader="none" w:pos="90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Absence during Performance Period. </w:t>
      </w:r>
      <w:r>
        <w:rPr>
          <w:rFonts w:ascii="Times New Roman" w:cs="Times New Roman" w:eastAsia="Times New Roman" w:hAnsi="Times New Roman"/>
          <w:sz w:val="18"/>
          <w:szCs w:val="18"/>
          <w:color w:val="auto"/>
        </w:rPr>
        <w:t>If a Participant is absent for a period of more than one-half of the working days in a quarter,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 the Participant’s bonus payment will be prorated based on the number of working days the Participant actually worked compared to the total number of working days during that quarter.</w:t>
      </w:r>
    </w:p>
    <w:p>
      <w:pPr>
        <w:spacing w:after="0" w:line="198" w:lineRule="exact"/>
        <w:rPr>
          <w:sz w:val="20"/>
          <w:szCs w:val="20"/>
          <w:color w:val="auto"/>
        </w:rPr>
      </w:pPr>
    </w:p>
    <w:p>
      <w:pPr>
        <w:ind w:left="840" w:hanging="184"/>
        <w:spacing w:after="0"/>
        <w:tabs>
          <w:tab w:leader="none" w:pos="8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Bonus Criteria</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Bonus Period.</w:t>
      </w:r>
      <w:r>
        <w:rPr>
          <w:rFonts w:ascii="Times New Roman" w:cs="Times New Roman" w:eastAsia="Times New Roman" w:hAnsi="Times New Roman"/>
          <w:sz w:val="18"/>
          <w:szCs w:val="18"/>
          <w:color w:val="auto"/>
        </w:rPr>
        <w:t xml:space="preserve"> The Bonus Plan is effective from January 1, 2024 through December 31, 2024. Each calendar quarter is a separate bonus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w:t>
      </w:r>
    </w:p>
    <w:p>
      <w:pPr>
        <w:spacing w:after="0" w:line="230" w:lineRule="exact"/>
        <w:rPr>
          <w:sz w:val="20"/>
          <w:szCs w:val="20"/>
          <w:color w:val="auto"/>
        </w:rPr>
      </w:pPr>
    </w:p>
    <w:p>
      <w:pPr>
        <w:ind w:right="360" w:firstLine="656"/>
        <w:spacing w:after="0" w:line="268" w:lineRule="auto"/>
        <w:tabs>
          <w:tab w:leader="none" w:pos="90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Bonus Level. </w:t>
      </w:r>
      <w:r>
        <w:rPr>
          <w:rFonts w:ascii="Times New Roman" w:cs="Times New Roman" w:eastAsia="Times New Roman" w:hAnsi="Times New Roman"/>
          <w:sz w:val="18"/>
          <w:szCs w:val="18"/>
          <w:color w:val="auto"/>
        </w:rPr>
        <w:t>A Participant’s level of participation in the Plan is set based on the corporate bonus level as of the last working day of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as well as their location and applicable variable plan during the Bonus Period as determined by the Human Resources Department. This will be applied to the Participant’s base salary to determine the bonus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Effective 1/1/2024</w:t>
      </w:r>
    </w:p>
    <w:p>
      <w:pPr>
        <w:sectPr>
          <w:pgSz w:w="11900" w:h="16838" w:orient="portrait"/>
          <w:cols w:equalWidth="0" w:num="1">
            <w:col w:w="11240"/>
          </w:cols>
          <w:pgMar w:left="320" w:top="1413" w:right="339" w:bottom="1440" w:gutter="0" w:footer="0" w:header="0"/>
        </w:sectPr>
      </w:pPr>
    </w:p>
    <w:bookmarkStart w:id="97" w:name="page98"/>
    <w:bookmarkEnd w:id="97"/>
    <w:p>
      <w:pPr>
        <w:ind w:right="520" w:firstLine="656"/>
        <w:spacing w:after="0" w:line="286" w:lineRule="auto"/>
        <w:tabs>
          <w:tab w:leader="none" w:pos="89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Objective Criteria: </w:t>
      </w:r>
      <w:r>
        <w:rPr>
          <w:rFonts w:ascii="Times New Roman" w:cs="Times New Roman" w:eastAsia="Times New Roman" w:hAnsi="Times New Roman"/>
          <w:sz w:val="18"/>
          <w:szCs w:val="18"/>
          <w:color w:val="auto"/>
        </w:rPr>
        <w:t>The Plan payments will be based on ASV (as defined below), Revenue (as defined below) and Non-GAAP EPS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below).</w:t>
      </w:r>
    </w:p>
    <w:p>
      <w:pPr>
        <w:spacing w:after="0" w:line="181" w:lineRule="exact"/>
        <w:rPr>
          <w:rFonts w:ascii="Times New Roman" w:cs="Times New Roman" w:eastAsia="Times New Roman" w:hAnsi="Times New Roman"/>
          <w:sz w:val="18"/>
          <w:szCs w:val="18"/>
          <w:color w:val="auto"/>
        </w:rPr>
      </w:pPr>
    </w:p>
    <w:p>
      <w:pPr>
        <w:ind w:left="660" w:right="140" w:firstLine="644"/>
        <w:spacing w:after="0" w:line="262" w:lineRule="auto"/>
        <w:tabs>
          <w:tab w:leader="none" w:pos="156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ASV. </w:t>
      </w:r>
      <w:r>
        <w:rPr>
          <w:rFonts w:ascii="Times New Roman" w:cs="Times New Roman" w:eastAsia="Times New Roman" w:hAnsi="Times New Roman"/>
          <w:sz w:val="18"/>
          <w:szCs w:val="18"/>
          <w:color w:val="auto"/>
        </w:rPr>
        <w:t>The stated goal is the growth in company-wide bookings as represented by Annual Subscription Value (“ASV”) for the current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over the same quarter of the prior year. ASV is the sum of one year’s worth of subscribed revenues to Qualys for all new, renewal and upsell subscriptions contracted by customers and channel partners in each quarter. ASV is determined by policies and practices administered by the Controller and the final quarterly ASV amount is approved by the CFO.</w:t>
      </w:r>
    </w:p>
    <w:p>
      <w:pPr>
        <w:spacing w:after="0" w:line="203" w:lineRule="exact"/>
        <w:rPr>
          <w:rFonts w:ascii="Times New Roman" w:cs="Times New Roman" w:eastAsia="Times New Roman" w:hAnsi="Times New Roman"/>
          <w:sz w:val="18"/>
          <w:szCs w:val="18"/>
          <w:color w:val="auto"/>
        </w:rPr>
      </w:pPr>
    </w:p>
    <w:p>
      <w:pPr>
        <w:ind w:left="660" w:right="500" w:firstLine="644"/>
        <w:spacing w:after="0" w:line="286" w:lineRule="auto"/>
        <w:tabs>
          <w:tab w:leader="none" w:pos="156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The stated goal is the growth in company-wide revenue (as determined in accordance with GAAP and set forth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quarterly and annual financial statements) for the current quarter over the same quarter of the prior year.</w:t>
      </w:r>
    </w:p>
    <w:p>
      <w:pPr>
        <w:spacing w:after="0" w:line="181" w:lineRule="exact"/>
        <w:rPr>
          <w:rFonts w:ascii="Times New Roman" w:cs="Times New Roman" w:eastAsia="Times New Roman" w:hAnsi="Times New Roman"/>
          <w:sz w:val="18"/>
          <w:szCs w:val="18"/>
          <w:color w:val="auto"/>
        </w:rPr>
      </w:pPr>
    </w:p>
    <w:p>
      <w:pPr>
        <w:jc w:val="both"/>
        <w:ind w:left="660" w:right="140" w:firstLine="644"/>
        <w:spacing w:after="0" w:line="268" w:lineRule="auto"/>
        <w:tabs>
          <w:tab w:leader="none" w:pos="156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EPS. </w:t>
      </w:r>
      <w:r>
        <w:rPr>
          <w:rFonts w:ascii="Times New Roman" w:cs="Times New Roman" w:eastAsia="Times New Roman" w:hAnsi="Times New Roman"/>
          <w:sz w:val="18"/>
          <w:szCs w:val="18"/>
          <w:color w:val="auto"/>
        </w:rPr>
        <w:t>The stated goal is Non-GAAP earnings per diluted share. Non-GAAP EPS is GAAP net income excluding effects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stock-based compensation expense, amortization of intangible assets from acquisitions, non-recurring items, and certain tax effects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weighted average shares (diluted) for the applicable quarter.</w:t>
      </w:r>
    </w:p>
    <w:p>
      <w:pPr>
        <w:spacing w:after="0" w:line="197" w:lineRule="exact"/>
        <w:rPr>
          <w:rFonts w:ascii="Times New Roman" w:cs="Times New Roman" w:eastAsia="Times New Roman" w:hAnsi="Times New Roman"/>
          <w:sz w:val="18"/>
          <w:szCs w:val="18"/>
          <w:color w:val="auto"/>
        </w:rPr>
      </w:pPr>
    </w:p>
    <w:p>
      <w:pPr>
        <w:ind w:right="180" w:firstLine="656"/>
        <w:spacing w:after="0" w:line="268" w:lineRule="auto"/>
        <w:tabs>
          <w:tab w:leader="none" w:pos="90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Payout Calculation. </w:t>
      </w:r>
      <w:r>
        <w:rPr>
          <w:rFonts w:ascii="Times New Roman" w:cs="Times New Roman" w:eastAsia="Times New Roman" w:hAnsi="Times New Roman"/>
          <w:sz w:val="18"/>
          <w:szCs w:val="18"/>
          <w:color w:val="auto"/>
        </w:rPr>
        <w:t>A Participant’s bonus amount will be equal to the aggregate for each of the applicable objective goals as follows: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percentage described below multiplied by the weighted percentage for the applicable goal. ASV Growth, Revenue Growth and Non-GAAP EPS shall be the 3 goals and shall be equally weighted.</w:t>
      </w:r>
    </w:p>
    <w:p>
      <w:pPr>
        <w:spacing w:after="0" w:line="19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ASV. </w:t>
      </w:r>
      <w:r>
        <w:rPr>
          <w:rFonts w:ascii="Times New Roman" w:cs="Times New Roman" w:eastAsia="Times New Roman" w:hAnsi="Times New Roman"/>
          <w:sz w:val="18"/>
          <w:szCs w:val="18"/>
          <w:color w:val="auto"/>
        </w:rPr>
        <w:t>The payout percentage scales based upon achievement of ASV. [***]</w:t>
      </w:r>
    </w:p>
    <w:p>
      <w:pPr>
        <w:spacing w:after="0" w:line="252"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The payout percentage scales based upon achievement of Revenue. [***]</w:t>
      </w:r>
    </w:p>
    <w:p>
      <w:pPr>
        <w:spacing w:after="0" w:line="252"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EPS. </w:t>
      </w:r>
      <w:r>
        <w:rPr>
          <w:rFonts w:ascii="Times New Roman" w:cs="Times New Roman" w:eastAsia="Times New Roman" w:hAnsi="Times New Roman"/>
          <w:sz w:val="18"/>
          <w:szCs w:val="18"/>
          <w:color w:val="auto"/>
        </w:rPr>
        <w:t>The payout percentage scales based upon achievement of Non-GAAP EPS. [***]</w:t>
      </w:r>
    </w:p>
    <w:p>
      <w:pPr>
        <w:spacing w:after="0" w:line="252" w:lineRule="exact"/>
        <w:rPr>
          <w:rFonts w:ascii="Times New Roman" w:cs="Times New Roman" w:eastAsia="Times New Roman" w:hAnsi="Times New Roman"/>
          <w:sz w:val="18"/>
          <w:szCs w:val="18"/>
          <w:color w:val="auto"/>
        </w:rPr>
      </w:pPr>
    </w:p>
    <w:p>
      <w:pPr>
        <w:ind w:right="40" w:firstLine="656"/>
        <w:spacing w:after="0" w:line="259" w:lineRule="auto"/>
        <w:tabs>
          <w:tab w:leader="none" w:pos="89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Bonus Payments. </w:t>
      </w:r>
      <w:r>
        <w:rPr>
          <w:rFonts w:ascii="Times New Roman" w:cs="Times New Roman" w:eastAsia="Times New Roman" w:hAnsi="Times New Roman"/>
          <w:sz w:val="18"/>
          <w:szCs w:val="18"/>
          <w:color w:val="auto"/>
        </w:rPr>
        <w:t>Bonus payments to Participants under this Plan will be made with the first payroll of the second month following the end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quarter. Bonus payments are “gross” amounts, meaning that they constitute the full amount and that there will be no other increases (for example, to cover income taxes). The company will deduct from any payment under the Plan the amount of all applicable income and employment taxes, and any other amounts required by law to be withheld or deducted from such payment, and any voluntary deductions applicable. None of the payments will be “benefits bearing” (i.e., the bonus amounts will not be used for purposes of determining any other company-provided benefits or compensation).</w:t>
      </w:r>
    </w:p>
    <w:p>
      <w:pPr>
        <w:spacing w:after="0" w:line="20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shall be administered by the Company’s CFO (except with respect to Participants who are the Company’s executive officers,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case the Compensation and Talent Committee of the Board of Directors will serve as the administrator), who may make and apply such rules deemed desirable or necessary to administer the Plan in the best interests of the Company. All questions of interpretation or application of the Plan may be addressed in writing to the CFO (or as applicable, the Compensation and Talent Committee), who shall review each inquiry in good faith, and each such determination shall be final and binding. With the approval of the Compensation and Talent Committee, the results with respect to determination of ASV, Revenue, and Non-GAAP EPS will be adjusted to remove the effects of charges for restructurings, discontinued operations, extraordinary items and all items of gain, loss or expense determined to be extraordinary or unusual in nature or related to the disposal of a segment of a business or related to a change in accounting principle, asset write-downs, litigation, claims, judgments or settlements, the effect of changes in tax law or other such laws or provisions affecting reported results, accruals for reorganization and restructuring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Effective 1/1/2024</w:t>
      </w:r>
    </w:p>
    <w:p>
      <w:pPr>
        <w:sectPr>
          <w:pgSz w:w="11900" w:h="16838" w:orient="portrait"/>
          <w:cols w:equalWidth="0" w:num="1">
            <w:col w:w="11240"/>
          </w:cols>
          <w:pgMar w:left="320" w:top="1413"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10.13</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Qualys,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Non-Employee Director Compensation Program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(as amended on October 30, 2024)</w:t>
      </w:r>
    </w:p>
    <w:p>
      <w:pPr>
        <w:spacing w:after="0" w:line="23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Compensation and Talent Committee is responsible for reviewing and making recommendations with respect to the compensation of our non-employee directors. The committee’s practice is to engage a compensation consultant every year to conduct a full review and competitive analysis (using the same peer group used to analyze executive compensation) of our non-employee directors’ compensation in order to ensure that our directors’ compensation is in line with peer companies competing for director talent. Our current non-employee director compensation program was reviewed and approved in 2024 in connection with input from Compensia, Inc. (“Compensia”), an independent compensation consultant.</w:t>
      </w:r>
    </w:p>
    <w:p>
      <w:pPr>
        <w:spacing w:after="0" w:line="29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Equity Compensation</w:t>
      </w:r>
    </w:p>
    <w:p>
      <w:pPr>
        <w:spacing w:after="0" w:line="25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Upon joining our board of directors, each newly elected non-employee director will be granted an award of restricted stock units with an intended “value” (based on the average of the closing prices of our common stock for the 30 trading days ending one week before the applicable grant date) of $420,000 (the “Initial Award”), which may be different from the award’s actual grant date fair value. An Initial Award will vest in three equal annual installments on each of the first three anniversaries of the first day of the month following the month that the director joins our board of directors, subject to continued service to us through each vesting date.</w:t>
      </w:r>
    </w:p>
    <w:p>
      <w:pPr>
        <w:spacing w:after="0" w:line="20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the date of each annual meeting of stockholders, each non-employee director who has served on our board of directors for at least six months prior to such date will be granted an award of restricted stock units with an intended “value” (based on the average of the closing prices of our common stock for the 30 trading days ending one week before the applicable grant date) of $250,000 (the “Annual Award”), which may be different from the award’s actual grant date fair value. Annual Awards will vest on the earlier of the first anniversary of its grant date or the day before the next annual meeting of stockholders, subject to continued service to us through the applicable vesting date.</w:t>
      </w:r>
    </w:p>
    <w:p>
      <w:pPr>
        <w:spacing w:after="0" w:line="206"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Notwithstanding the vesting schedules described above, the vesting of each Initial Award and each Annual Award will accelerate in full upon a “change in control” (as defined in our 2012 Equity Incentive Plan) of Qualys.</w:t>
      </w:r>
    </w:p>
    <w:p>
      <w:pPr>
        <w:spacing w:after="0" w:line="26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Compensation</w:t>
      </w:r>
    </w:p>
    <w:p>
      <w:pPr>
        <w:spacing w:after="0" w:line="250"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Our non-employee director compensation program provides that each year, each non-employee director will receive a cash retainer of $35,000 for serving on our board of directors (the “Annual Retainer”). In addition to the Annual Retainer, the non-employee Chair of the Board is entitled to an additional cash retainer of $50,000. The chairpersons and members of our board’s three standing committees are entitled to the following cash retainers each year:</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540" w:type="dxa"/>
            <w:vAlign w:val="bottom"/>
            <w:shd w:val="clear" w:color="auto" w:fill="203864"/>
          </w:tcPr>
          <w:p>
            <w:pPr>
              <w:spacing w:after="0"/>
              <w:rPr>
                <w:sz w:val="18"/>
                <w:szCs w:val="18"/>
                <w:color w:val="auto"/>
              </w:rPr>
            </w:pPr>
          </w:p>
        </w:tc>
        <w:tc>
          <w:tcPr>
            <w:tcW w:w="2740" w:type="dxa"/>
            <w:vAlign w:val="bottom"/>
            <w:shd w:val="clear" w:color="auto" w:fill="203864"/>
          </w:tcPr>
          <w:p>
            <w:pPr>
              <w:spacing w:after="0"/>
              <w:rPr>
                <w:sz w:val="18"/>
                <w:szCs w:val="18"/>
                <w:color w:val="auto"/>
              </w:rPr>
            </w:pPr>
          </w:p>
        </w:tc>
        <w:tc>
          <w:tcPr>
            <w:tcW w:w="1480" w:type="dxa"/>
            <w:vAlign w:val="bottom"/>
            <w:shd w:val="clear" w:color="auto" w:fill="203864"/>
          </w:tcPr>
          <w:p>
            <w:pPr>
              <w:jc w:val="right"/>
              <w:ind w:right="250"/>
              <w:spacing w:after="0"/>
              <w:rPr>
                <w:sz w:val="20"/>
                <w:szCs w:val="20"/>
                <w:color w:val="auto"/>
              </w:rPr>
            </w:pPr>
            <w:r>
              <w:rPr>
                <w:rFonts w:ascii="Arial" w:cs="Arial" w:eastAsia="Arial" w:hAnsi="Arial"/>
                <w:sz w:val="18"/>
                <w:szCs w:val="18"/>
                <w:b w:val="1"/>
                <w:bCs w:val="1"/>
                <w:color w:val="FFFFFF"/>
              </w:rPr>
              <w:t>Chairperson</w:t>
            </w:r>
          </w:p>
        </w:tc>
        <w:tc>
          <w:tcPr>
            <w:tcW w:w="1480" w:type="dxa"/>
            <w:vAlign w:val="bottom"/>
            <w:shd w:val="clear" w:color="auto" w:fill="203864"/>
          </w:tcPr>
          <w:p>
            <w:pPr>
              <w:jc w:val="right"/>
              <w:ind w:right="350"/>
              <w:spacing w:after="0"/>
              <w:rPr>
                <w:sz w:val="20"/>
                <w:szCs w:val="20"/>
                <w:color w:val="auto"/>
              </w:rPr>
            </w:pPr>
            <w:r>
              <w:rPr>
                <w:rFonts w:ascii="Arial" w:cs="Arial" w:eastAsia="Arial" w:hAnsi="Arial"/>
                <w:sz w:val="18"/>
                <w:szCs w:val="18"/>
                <w:b w:val="1"/>
                <w:bCs w:val="1"/>
                <w:color w:val="FFFFFF"/>
              </w:rPr>
              <w:t>Member</w:t>
            </w:r>
          </w:p>
        </w:tc>
      </w:tr>
      <w:tr>
        <w:trPr>
          <w:trHeight w:val="275"/>
        </w:trPr>
        <w:tc>
          <w:tcPr>
            <w:tcW w:w="5540" w:type="dxa"/>
            <w:vAlign w:val="bottom"/>
            <w:shd w:val="clear" w:color="auto" w:fill="203864"/>
          </w:tcPr>
          <w:p>
            <w:pPr>
              <w:ind w:left="100"/>
              <w:spacing w:after="0"/>
              <w:rPr>
                <w:sz w:val="20"/>
                <w:szCs w:val="20"/>
                <w:color w:val="auto"/>
              </w:rPr>
            </w:pPr>
            <w:r>
              <w:rPr>
                <w:rFonts w:ascii="Arial" w:cs="Arial" w:eastAsia="Arial" w:hAnsi="Arial"/>
                <w:sz w:val="18"/>
                <w:szCs w:val="18"/>
                <w:b w:val="1"/>
                <w:bCs w:val="1"/>
                <w:color w:val="FFFFFF"/>
              </w:rPr>
              <w:t>Board Committee</w:t>
            </w:r>
          </w:p>
        </w:tc>
        <w:tc>
          <w:tcPr>
            <w:tcW w:w="2740" w:type="dxa"/>
            <w:vAlign w:val="bottom"/>
            <w:shd w:val="clear" w:color="auto" w:fill="203864"/>
          </w:tcPr>
          <w:p>
            <w:pPr>
              <w:spacing w:after="0"/>
              <w:rPr>
                <w:sz w:val="23"/>
                <w:szCs w:val="23"/>
                <w:color w:val="auto"/>
              </w:rPr>
            </w:pPr>
          </w:p>
        </w:tc>
        <w:tc>
          <w:tcPr>
            <w:tcW w:w="1480" w:type="dxa"/>
            <w:vAlign w:val="bottom"/>
            <w:shd w:val="clear" w:color="auto" w:fill="203864"/>
          </w:tcPr>
          <w:p>
            <w:pPr>
              <w:jc w:val="right"/>
              <w:ind w:right="430"/>
              <w:spacing w:after="0"/>
              <w:rPr>
                <w:sz w:val="20"/>
                <w:szCs w:val="20"/>
                <w:color w:val="auto"/>
              </w:rPr>
            </w:pPr>
            <w:r>
              <w:rPr>
                <w:rFonts w:ascii="Arial" w:cs="Arial" w:eastAsia="Arial" w:hAnsi="Arial"/>
                <w:sz w:val="18"/>
                <w:szCs w:val="18"/>
                <w:b w:val="1"/>
                <w:bCs w:val="1"/>
                <w:color w:val="FFFFFF"/>
              </w:rPr>
              <w:t>Retainer</w:t>
            </w:r>
          </w:p>
        </w:tc>
        <w:tc>
          <w:tcPr>
            <w:tcW w:w="1480" w:type="dxa"/>
            <w:vAlign w:val="bottom"/>
            <w:shd w:val="clear" w:color="auto" w:fill="203864"/>
          </w:tcPr>
          <w:p>
            <w:pPr>
              <w:jc w:val="right"/>
              <w:ind w:right="330"/>
              <w:spacing w:after="0"/>
              <w:rPr>
                <w:sz w:val="20"/>
                <w:szCs w:val="20"/>
                <w:color w:val="auto"/>
              </w:rPr>
            </w:pPr>
            <w:r>
              <w:rPr>
                <w:rFonts w:ascii="Arial" w:cs="Arial" w:eastAsia="Arial" w:hAnsi="Arial"/>
                <w:sz w:val="18"/>
                <w:szCs w:val="18"/>
                <w:b w:val="1"/>
                <w:bCs w:val="1"/>
                <w:color w:val="FFFFFF"/>
              </w:rPr>
              <w:t>Retainer</w:t>
            </w:r>
          </w:p>
        </w:tc>
      </w:tr>
      <w:tr>
        <w:trPr>
          <w:trHeight w:val="247"/>
        </w:trPr>
        <w:tc>
          <w:tcPr>
            <w:tcW w:w="5540" w:type="dxa"/>
            <w:vAlign w:val="bottom"/>
          </w:tcPr>
          <w:p>
            <w:pPr>
              <w:ind w:left="20"/>
              <w:spacing w:after="0"/>
              <w:rPr>
                <w:sz w:val="20"/>
                <w:szCs w:val="20"/>
                <w:color w:val="auto"/>
              </w:rPr>
            </w:pPr>
            <w:r>
              <w:rPr>
                <w:rFonts w:ascii="Arial" w:cs="Arial" w:eastAsia="Arial" w:hAnsi="Arial"/>
                <w:sz w:val="18"/>
                <w:szCs w:val="18"/>
                <w:color w:val="auto"/>
              </w:rPr>
              <w:t>Audit and Risk Committee</w:t>
            </w:r>
          </w:p>
        </w:tc>
        <w:tc>
          <w:tcPr>
            <w:tcW w:w="27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20,000</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$10,000</w:t>
            </w:r>
          </w:p>
        </w:tc>
      </w:tr>
      <w:tr>
        <w:trPr>
          <w:trHeight w:val="257"/>
        </w:trPr>
        <w:tc>
          <w:tcPr>
            <w:tcW w:w="5540" w:type="dxa"/>
            <w:vAlign w:val="bottom"/>
          </w:tcPr>
          <w:p>
            <w:pPr>
              <w:ind w:left="20"/>
              <w:spacing w:after="0"/>
              <w:rPr>
                <w:sz w:val="20"/>
                <w:szCs w:val="20"/>
                <w:color w:val="auto"/>
              </w:rPr>
            </w:pPr>
            <w:r>
              <w:rPr>
                <w:rFonts w:ascii="Arial" w:cs="Arial" w:eastAsia="Arial" w:hAnsi="Arial"/>
                <w:sz w:val="18"/>
                <w:szCs w:val="18"/>
                <w:color w:val="auto"/>
              </w:rPr>
              <w:t>Compensation and Talent Committee</w:t>
            </w:r>
          </w:p>
        </w:tc>
        <w:tc>
          <w:tcPr>
            <w:tcW w:w="2740" w:type="dxa"/>
            <w:vAlign w:val="bottom"/>
          </w:tcPr>
          <w:p>
            <w:pPr>
              <w:spacing w:after="0"/>
              <w:rPr>
                <w:sz w:val="22"/>
                <w:szCs w:val="22"/>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15,000</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7,500</w:t>
            </w:r>
          </w:p>
        </w:tc>
      </w:tr>
      <w:tr>
        <w:trPr>
          <w:trHeight w:val="256"/>
        </w:trPr>
        <w:tc>
          <w:tcPr>
            <w:tcW w:w="5540" w:type="dxa"/>
            <w:vAlign w:val="bottom"/>
          </w:tcPr>
          <w:p>
            <w:pPr>
              <w:ind w:left="20"/>
              <w:spacing w:after="0"/>
              <w:rPr>
                <w:sz w:val="20"/>
                <w:szCs w:val="20"/>
                <w:color w:val="auto"/>
              </w:rPr>
            </w:pPr>
            <w:r>
              <w:rPr>
                <w:rFonts w:ascii="Arial" w:cs="Arial" w:eastAsia="Arial" w:hAnsi="Arial"/>
                <w:sz w:val="18"/>
                <w:szCs w:val="18"/>
                <w:color w:val="auto"/>
              </w:rPr>
              <w:t>Nominating and ESG Committee</w:t>
            </w:r>
          </w:p>
        </w:tc>
        <w:tc>
          <w:tcPr>
            <w:tcW w:w="2740" w:type="dxa"/>
            <w:vAlign w:val="bottom"/>
          </w:tcPr>
          <w:p>
            <w:pPr>
              <w:spacing w:after="0"/>
              <w:rPr>
                <w:sz w:val="22"/>
                <w:szCs w:val="22"/>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10,000</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5,000</w:t>
            </w:r>
          </w:p>
        </w:tc>
      </w:tr>
    </w:tbl>
    <w:p>
      <w:pPr>
        <w:sectPr>
          <w:pgSz w:w="11900" w:h="16838" w:orient="portrait"/>
          <w:cols w:equalWidth="0" w:num="1">
            <w:col w:w="11240"/>
          </w:cols>
          <w:pgMar w:left="320" w:top="1417" w:right="339" w:bottom="1440" w:gutter="0" w:footer="0" w:header="0"/>
        </w:sectPr>
      </w:pPr>
    </w:p>
    <w:bookmarkStart w:id="99" w:name="page100"/>
    <w:bookmarkEnd w:id="99"/>
    <w:p>
      <w:pPr>
        <w:jc w:val="both"/>
        <w:ind w:firstLine="405"/>
        <w:spacing w:after="0" w:line="259" w:lineRule="auto"/>
        <w:rPr>
          <w:sz w:val="20"/>
          <w:szCs w:val="20"/>
          <w:color w:val="auto"/>
        </w:rPr>
      </w:pPr>
      <w:r>
        <w:rPr>
          <w:rFonts w:ascii="Arial" w:cs="Arial" w:eastAsia="Arial" w:hAnsi="Arial"/>
          <w:sz w:val="18"/>
          <w:szCs w:val="18"/>
          <w:color w:val="auto"/>
        </w:rPr>
        <w:t>Each non-employee director who serves as a committee chair will receive only the additional annual cash fee as the chair of the committee, and not the additional annual fee as a member of the committee. All retainers in cash are paid in four equal installments on a quarterly basis at the end of the applicable quarter, provided that the individual served as a non-employee director in the applicable capacity during the full quarter. If a director did not serve in the applicable capacity for the full quarter, retainers are pro-rated, unless otherwise approved by the board of directors.</w:t>
      </w:r>
    </w:p>
    <w:p>
      <w:pPr>
        <w:sectPr>
          <w:pgSz w:w="11900" w:h="16838" w:orient="portrait"/>
          <w:cols w:equalWidth="0" w:num="1">
            <w:col w:w="11240"/>
          </w:cols>
          <w:pgMar w:left="320" w:top="1417" w:right="339" w:bottom="1440" w:gutter="0" w:footer="0" w:header="0"/>
        </w:sectPr>
      </w:pPr>
    </w:p>
    <w:bookmarkStart w:id="100" w:name="page101"/>
    <w:bookmarkEnd w:id="100"/>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QUALYS, INC.</w:t>
      </w:r>
    </w:p>
    <w:p>
      <w:pPr>
        <w:ind w:left="3540"/>
        <w:spacing w:after="0"/>
        <w:rPr>
          <w:sz w:val="20"/>
          <w:szCs w:val="20"/>
          <w:color w:val="auto"/>
        </w:rPr>
      </w:pPr>
      <w:r>
        <w:rPr>
          <w:rFonts w:ascii="Arial" w:cs="Arial" w:eastAsia="Arial" w:hAnsi="Arial"/>
          <w:sz w:val="22"/>
          <w:szCs w:val="22"/>
          <w:color w:val="auto"/>
        </w:rPr>
        <w:t>________________</w:t>
      </w:r>
    </w:p>
    <w:p>
      <w:pPr>
        <w:spacing w:after="0" w:line="1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6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7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Guidelines with Respect to Certain Transactions in Securities</w:t>
      </w:r>
    </w:p>
    <w:p>
      <w:pPr>
        <w:ind w:left="3540"/>
        <w:spacing w:after="0"/>
        <w:rPr>
          <w:sz w:val="20"/>
          <w:szCs w:val="20"/>
          <w:color w:val="auto"/>
        </w:rPr>
      </w:pPr>
      <w:r>
        <w:rPr>
          <w:rFonts w:ascii="Arial" w:cs="Arial" w:eastAsia="Arial" w:hAnsi="Arial"/>
          <w:sz w:val="22"/>
          <w:szCs w:val="22"/>
          <w:color w:val="auto"/>
        </w:rPr>
        <w:t>________________</w:t>
      </w:r>
    </w:p>
    <w:p>
      <w:pPr>
        <w:spacing w:after="0" w:line="19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Effective as of February 24, 2023</w:t>
      </w:r>
    </w:p>
    <w:p>
      <w:pPr>
        <w:sectPr>
          <w:pgSz w:w="11900" w:h="16838" w:orient="portrait"/>
          <w:cols w:equalWidth="0" w:num="1">
            <w:col w:w="10120"/>
          </w:cols>
          <w:pgMar w:left="1440" w:top="1440"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0"/>
        </w:trPr>
        <w:tc>
          <w:tcPr>
            <w:tcW w:w="10180" w:type="dxa"/>
            <w:vAlign w:val="bottom"/>
            <w:gridSpan w:val="3"/>
          </w:tcPr>
          <w:p>
            <w:pPr>
              <w:ind w:left="450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1000" w:type="dxa"/>
            <w:vAlign w:val="bottom"/>
          </w:tcPr>
          <w:p>
            <w:pPr>
              <w:spacing w:after="0"/>
              <w:rPr>
                <w:sz w:val="19"/>
                <w:szCs w:val="19"/>
                <w:color w:val="auto"/>
              </w:rPr>
            </w:pPr>
          </w:p>
        </w:tc>
      </w:tr>
      <w:tr>
        <w:trPr>
          <w:trHeight w:val="541"/>
        </w:trPr>
        <w:tc>
          <w:tcPr>
            <w:tcW w:w="4500" w:type="dxa"/>
            <w:vAlign w:val="bottom"/>
          </w:tcPr>
          <w:p>
            <w:pPr>
              <w:spacing w:after="0"/>
              <w:rPr>
                <w:sz w:val="24"/>
                <w:szCs w:val="24"/>
                <w:color w:val="auto"/>
              </w:rPr>
            </w:pPr>
          </w:p>
        </w:tc>
        <w:tc>
          <w:tcPr>
            <w:tcW w:w="2120" w:type="dxa"/>
            <w:vAlign w:val="bottom"/>
            <w:tcBorders>
              <w:top w:val="single" w:sz="8" w:color="auto"/>
            </w:tcBorders>
          </w:tcPr>
          <w:p>
            <w:pPr>
              <w:spacing w:after="0"/>
              <w:rPr>
                <w:sz w:val="24"/>
                <w:szCs w:val="24"/>
                <w:color w:val="auto"/>
              </w:rPr>
            </w:pPr>
          </w:p>
        </w:tc>
        <w:tc>
          <w:tcPr>
            <w:tcW w:w="3560" w:type="dxa"/>
            <w:vAlign w:val="bottom"/>
          </w:tcPr>
          <w:p>
            <w:pPr>
              <w:spacing w:after="0"/>
              <w:rPr>
                <w:sz w:val="24"/>
                <w:szCs w:val="24"/>
                <w:color w:val="auto"/>
              </w:rPr>
            </w:pPr>
          </w:p>
        </w:tc>
        <w:tc>
          <w:tcPr>
            <w:tcW w:w="10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247"/>
        </w:trPr>
        <w:tc>
          <w:tcPr>
            <w:tcW w:w="10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INTRODUCTION</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56"/>
        </w:trPr>
        <w:tc>
          <w:tcPr>
            <w:tcW w:w="1018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Legal prohibitions on insider trading</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57"/>
        </w:trPr>
        <w:tc>
          <w:tcPr>
            <w:tcW w:w="1018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Detection and prosecution of insider trading</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57"/>
        </w:trPr>
        <w:tc>
          <w:tcPr>
            <w:tcW w:w="1018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Penalties for violation of insider trading laws and this Policy</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57"/>
        </w:trPr>
        <w:tc>
          <w:tcPr>
            <w:tcW w:w="1018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Reporting violations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58"/>
        </w:trPr>
        <w:tc>
          <w:tcPr>
            <w:tcW w:w="1018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Personal responsibility</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417"/>
        </w:trPr>
        <w:tc>
          <w:tcPr>
            <w:tcW w:w="10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PERSONS AND TRANSACTIONS COVERED BY THIS POLICY</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56"/>
        </w:trPr>
        <w:tc>
          <w:tcPr>
            <w:tcW w:w="1018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Persons covered by this Policy</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57"/>
        </w:trPr>
        <w:tc>
          <w:tcPr>
            <w:tcW w:w="1018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Types of transactions covered by this Policy</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57"/>
        </w:trPr>
        <w:tc>
          <w:tcPr>
            <w:tcW w:w="1018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Responsibilities regarding the nonpublic information of other companies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57"/>
        </w:trPr>
        <w:tc>
          <w:tcPr>
            <w:tcW w:w="1018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Applicability of this Policy after your departure</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58"/>
        </w:trPr>
        <w:tc>
          <w:tcPr>
            <w:tcW w:w="1018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No exceptions based on personal circumstances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417"/>
        </w:trPr>
        <w:tc>
          <w:tcPr>
            <w:tcW w:w="10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MATERIAL NONPUBLIC INFORMATION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56"/>
        </w:trPr>
        <w:tc>
          <w:tcPr>
            <w:tcW w:w="1018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“Material” information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58"/>
        </w:trPr>
        <w:tc>
          <w:tcPr>
            <w:tcW w:w="1018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“Nonpublic” information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417"/>
        </w:trPr>
        <w:tc>
          <w:tcPr>
            <w:tcW w:w="10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POLICIES REGARDING MATERIAL NONPUBLIC INFORMATION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57"/>
        </w:trPr>
        <w:tc>
          <w:tcPr>
            <w:tcW w:w="1018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Confidentiality of nonpublic information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56"/>
        </w:trPr>
        <w:tc>
          <w:tcPr>
            <w:tcW w:w="1018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No trading on material nonpublic information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56"/>
        </w:trPr>
        <w:tc>
          <w:tcPr>
            <w:tcW w:w="1018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No disclosing material nonpublic information for the benefit of others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57"/>
        </w:trPr>
        <w:tc>
          <w:tcPr>
            <w:tcW w:w="1018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Obligation to disclose material nonpublic information to the Company</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58"/>
        </w:trPr>
        <w:tc>
          <w:tcPr>
            <w:tcW w:w="1018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Responding to outside inquiries for information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417"/>
        </w:trPr>
        <w:tc>
          <w:tcPr>
            <w:tcW w:w="10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TRADING BLACKOUT PERIODS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56"/>
        </w:trPr>
        <w:tc>
          <w:tcPr>
            <w:tcW w:w="1018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Quarterly blackout periods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57"/>
        </w:trPr>
        <w:tc>
          <w:tcPr>
            <w:tcW w:w="1018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Special blackout periods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56"/>
        </w:trPr>
        <w:tc>
          <w:tcPr>
            <w:tcW w:w="1018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Regulation BTR blackouts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58"/>
        </w:trPr>
        <w:tc>
          <w:tcPr>
            <w:tcW w:w="1018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No “safe harbors”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419"/>
        </w:trPr>
        <w:tc>
          <w:tcPr>
            <w:tcW w:w="10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PRE-CLEARANCE OF TRADES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417"/>
        </w:trPr>
        <w:tc>
          <w:tcPr>
            <w:tcW w:w="10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ADDITIONAL RESTRICTIONS AND GUIDANCE</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56"/>
        </w:trPr>
        <w:tc>
          <w:tcPr>
            <w:tcW w:w="1018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Short sales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57"/>
        </w:trPr>
        <w:tc>
          <w:tcPr>
            <w:tcW w:w="1018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Derivative securities and hedging transactions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56"/>
        </w:trPr>
        <w:tc>
          <w:tcPr>
            <w:tcW w:w="1018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Using Company securities as collateral for loans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57"/>
        </w:trPr>
        <w:tc>
          <w:tcPr>
            <w:tcW w:w="1018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Holding Company securities in margin accounts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58"/>
        </w:trPr>
        <w:tc>
          <w:tcPr>
            <w:tcW w:w="1018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Placing open orders with brokers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417"/>
        </w:trPr>
        <w:tc>
          <w:tcPr>
            <w:tcW w:w="10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LIMITED EXCEPTIONS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57"/>
        </w:trPr>
        <w:tc>
          <w:tcPr>
            <w:tcW w:w="1018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Transactions pursuant to a trading plan that complies with SEC rules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56"/>
        </w:trPr>
        <w:tc>
          <w:tcPr>
            <w:tcW w:w="1018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Receipt and vesting of stock options, restricted stock and stock appreciation rights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56"/>
        </w:trPr>
        <w:tc>
          <w:tcPr>
            <w:tcW w:w="1018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Exercise of stock options for cash; net share withholding</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56"/>
        </w:trPr>
        <w:tc>
          <w:tcPr>
            <w:tcW w:w="1018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Purchases from the employee stock purchase plan</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58"/>
        </w:trPr>
        <w:tc>
          <w:tcPr>
            <w:tcW w:w="1018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Stock splits, stock dividends and similar transactions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bl>
    <w:p>
      <w:pPr>
        <w:sectPr>
          <w:pgSz w:w="11900" w:h="16838" w:orient="portrait"/>
          <w:cols w:equalWidth="0" w:num="1">
            <w:col w:w="11180"/>
          </w:cols>
          <w:pgMar w:left="380" w:top="801" w:right="339" w:bottom="1440" w:gutter="0" w:footer="0" w:header="0"/>
        </w:sectPr>
      </w:pPr>
    </w:p>
    <w:bookmarkStart w:id="102" w:name="page103"/>
    <w:bookmarkEnd w:id="102"/>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TABLE OF CONTENTS</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(Continued)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380" w:type="dxa"/>
            <w:vAlign w:val="bottom"/>
          </w:tcPr>
          <w:p>
            <w:pPr>
              <w:spacing w:after="0"/>
              <w:rPr>
                <w:sz w:val="22"/>
                <w:szCs w:val="22"/>
                <w:color w:val="auto"/>
              </w:rPr>
            </w:pPr>
          </w:p>
        </w:tc>
        <w:tc>
          <w:tcPr>
            <w:tcW w:w="4820" w:type="dxa"/>
            <w:vAlign w:val="bottom"/>
          </w:tcPr>
          <w:p>
            <w:pPr>
              <w:spacing w:after="0"/>
              <w:rPr>
                <w:sz w:val="22"/>
                <w:szCs w:val="22"/>
                <w:color w:val="auto"/>
              </w:rPr>
            </w:pPr>
          </w:p>
        </w:tc>
        <w:tc>
          <w:tcPr>
            <w:tcW w:w="10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247"/>
        </w:trPr>
        <w:tc>
          <w:tcPr>
            <w:tcW w:w="53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Certain Transfers by Will and for Tax Planning Purposes</w:t>
            </w:r>
          </w:p>
        </w:tc>
        <w:tc>
          <w:tcPr>
            <w:tcW w:w="48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58"/>
        </w:trPr>
        <w:tc>
          <w:tcPr>
            <w:tcW w:w="53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Other exceptions</w:t>
            </w:r>
          </w:p>
        </w:tc>
        <w:tc>
          <w:tcPr>
            <w:tcW w:w="48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417"/>
        </w:trPr>
        <w:tc>
          <w:tcPr>
            <w:tcW w:w="102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COMPLIANCE WITH SECTION 16 OF THE SECURITIES EXCHANGE ACT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57"/>
        </w:trPr>
        <w:tc>
          <w:tcPr>
            <w:tcW w:w="53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Obligations under Section 16</w:t>
            </w:r>
          </w:p>
        </w:tc>
        <w:tc>
          <w:tcPr>
            <w:tcW w:w="48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56"/>
        </w:trPr>
        <w:tc>
          <w:tcPr>
            <w:tcW w:w="538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99"/>
              </w:rPr>
              <w:t>Notification requirements to facilitate Section 16 reporting</w:t>
            </w:r>
          </w:p>
        </w:tc>
        <w:tc>
          <w:tcPr>
            <w:tcW w:w="48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58"/>
        </w:trPr>
        <w:tc>
          <w:tcPr>
            <w:tcW w:w="53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Personal responsibility</w:t>
            </w:r>
          </w:p>
        </w:tc>
        <w:tc>
          <w:tcPr>
            <w:tcW w:w="48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417"/>
        </w:trPr>
        <w:tc>
          <w:tcPr>
            <w:tcW w:w="5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ADDITIONAL INFORMATION</w:t>
            </w:r>
          </w:p>
        </w:tc>
        <w:tc>
          <w:tcPr>
            <w:tcW w:w="48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57"/>
        </w:trPr>
        <w:tc>
          <w:tcPr>
            <w:tcW w:w="53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Delivery of Policy</w:t>
            </w:r>
          </w:p>
        </w:tc>
        <w:tc>
          <w:tcPr>
            <w:tcW w:w="48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57"/>
        </w:trPr>
        <w:tc>
          <w:tcPr>
            <w:tcW w:w="53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Protected Activity Not Prohibited</w:t>
            </w:r>
          </w:p>
        </w:tc>
        <w:tc>
          <w:tcPr>
            <w:tcW w:w="48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58"/>
        </w:trPr>
        <w:tc>
          <w:tcPr>
            <w:tcW w:w="53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Amendments</w:t>
            </w:r>
          </w:p>
        </w:tc>
        <w:tc>
          <w:tcPr>
            <w:tcW w:w="48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84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Qualys, Inc. – Insider Trading Policy</w:t>
            </w:r>
          </w:p>
        </w:tc>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ii -</w:t>
            </w:r>
          </w:p>
        </w:tc>
        <w:tc>
          <w:tcPr>
            <w:tcW w:w="1020" w:type="dxa"/>
            <w:vAlign w:val="bottom"/>
          </w:tcPr>
          <w:p>
            <w:pPr>
              <w:spacing w:after="0"/>
              <w:rPr>
                <w:sz w:val="24"/>
                <w:szCs w:val="24"/>
                <w:color w:val="auto"/>
              </w:rPr>
            </w:pPr>
          </w:p>
        </w:tc>
      </w:tr>
    </w:tbl>
    <w:p>
      <w:pPr>
        <w:sectPr>
          <w:pgSz w:w="11900" w:h="16838" w:orient="portrait"/>
          <w:cols w:equalWidth="0" w:num="1">
            <w:col w:w="11220"/>
          </w:cols>
          <w:pgMar w:left="340" w:top="747" w:right="339" w:bottom="1440" w:gutter="0" w:footer="0" w:header="0"/>
        </w:sectPr>
      </w:pPr>
    </w:p>
    <w:bookmarkStart w:id="103" w:name="page104"/>
    <w:bookmarkEnd w:id="103"/>
    <w:p>
      <w:pPr>
        <w:spacing w:after="0" w:line="3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INTRODUCTION</w:t>
      </w:r>
    </w:p>
    <w:p>
      <w:pPr>
        <w:spacing w:after="0" w:line="189" w:lineRule="exact"/>
        <w:rPr>
          <w:sz w:val="20"/>
          <w:szCs w:val="20"/>
          <w:color w:val="auto"/>
        </w:rPr>
      </w:pPr>
    </w:p>
    <w:p>
      <w:pPr>
        <w:ind w:left="80" w:right="220" w:firstLine="324"/>
        <w:spacing w:after="0" w:line="217" w:lineRule="auto"/>
        <w:rPr>
          <w:sz w:val="20"/>
          <w:szCs w:val="20"/>
          <w:color w:val="auto"/>
        </w:rPr>
      </w:pPr>
      <w:r>
        <w:rPr>
          <w:rFonts w:ascii="Times New Roman" w:cs="Times New Roman" w:eastAsia="Times New Roman" w:hAnsi="Times New Roman"/>
          <w:sz w:val="20"/>
          <w:szCs w:val="20"/>
          <w:color w:val="auto"/>
        </w:rPr>
        <w:t>Qualys, Inc. (together with its subsidiaries,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forbids the unauthorized disclosure of any nonpublic information acquired in the course of your service with the Company and the misuse of material nonpublic information in securities trading. Any</w:t>
      </w:r>
    </w:p>
    <w:p>
      <w:pPr>
        <w:spacing w:after="0" w:line="2" w:lineRule="exact"/>
        <w:rPr>
          <w:sz w:val="20"/>
          <w:szCs w:val="20"/>
          <w:color w:val="auto"/>
        </w:rPr>
      </w:pPr>
    </w:p>
    <w:p>
      <w:pPr>
        <w:ind w:left="80" w:right="220"/>
        <w:spacing w:after="0" w:line="228" w:lineRule="auto"/>
        <w:rPr>
          <w:sz w:val="20"/>
          <w:szCs w:val="20"/>
          <w:color w:val="auto"/>
        </w:rPr>
      </w:pPr>
      <w:r>
        <w:rPr>
          <w:rFonts w:ascii="Times New Roman" w:cs="Times New Roman" w:eastAsia="Times New Roman" w:hAnsi="Times New Roman"/>
          <w:sz w:val="20"/>
          <w:szCs w:val="20"/>
          <w:color w:val="auto"/>
        </w:rPr>
        <w:t>such actions will be deemed violations of this Insider Trading Policy (the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In furtherance of the Policy’s goals, the Company will not transact in its own securities except in compliance with securities laws.</w:t>
      </w:r>
    </w:p>
    <w:p>
      <w:pPr>
        <w:spacing w:after="0" w:line="14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Legal prohibitions on insider trading</w:t>
      </w:r>
    </w:p>
    <w:p>
      <w:pPr>
        <w:spacing w:after="0" w:line="1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antifraud provisions of U.S. federal securities laws prohibit directors, officers, employees and other individuals who possess</w:t>
      </w:r>
    </w:p>
    <w:p>
      <w:pPr>
        <w:ind w:left="80" w:right="220"/>
        <w:spacing w:after="0" w:line="215" w:lineRule="auto"/>
        <w:rPr>
          <w:sz w:val="20"/>
          <w:szCs w:val="20"/>
          <w:color w:val="auto"/>
        </w:rPr>
      </w:pPr>
      <w:r>
        <w:rPr>
          <w:rFonts w:ascii="Times New Roman" w:cs="Times New Roman" w:eastAsia="Times New Roman" w:hAnsi="Times New Roman"/>
          <w:sz w:val="19"/>
          <w:szCs w:val="19"/>
          <w:color w:val="auto"/>
        </w:rPr>
        <w:t>material nonpublic information from trading on the basis of that information. Transactions will be considered “on the basis of” material nonpublic information if the person engaged in the transaction was aware of the material nonpublic information at the time of</w:t>
      </w:r>
    </w:p>
    <w:p>
      <w:pPr>
        <w:ind w:left="80"/>
        <w:spacing w:after="0"/>
        <w:rPr>
          <w:sz w:val="20"/>
          <w:szCs w:val="20"/>
          <w:color w:val="auto"/>
        </w:rPr>
      </w:pPr>
      <w:r>
        <w:rPr>
          <w:rFonts w:ascii="Times New Roman" w:cs="Times New Roman" w:eastAsia="Times New Roman" w:hAnsi="Times New Roman"/>
          <w:sz w:val="20"/>
          <w:szCs w:val="20"/>
          <w:color w:val="auto"/>
        </w:rPr>
        <w:t>the transaction. It is not a defense that the person did not “use” the information for purposes of the transaction.</w:t>
      </w:r>
    </w:p>
    <w:p>
      <w:pPr>
        <w:spacing w:after="0" w:line="167" w:lineRule="exact"/>
        <w:rPr>
          <w:sz w:val="20"/>
          <w:szCs w:val="20"/>
          <w:color w:val="auto"/>
        </w:rPr>
      </w:pPr>
    </w:p>
    <w:p>
      <w:pPr>
        <w:ind w:left="80" w:right="200" w:firstLine="324"/>
        <w:spacing w:after="0" w:line="215" w:lineRule="auto"/>
        <w:rPr>
          <w:sz w:val="20"/>
          <w:szCs w:val="20"/>
          <w:color w:val="auto"/>
        </w:rPr>
      </w:pPr>
      <w:r>
        <w:rPr>
          <w:rFonts w:ascii="Times New Roman" w:cs="Times New Roman" w:eastAsia="Times New Roman" w:hAnsi="Times New Roman"/>
          <w:sz w:val="20"/>
          <w:szCs w:val="20"/>
          <w:color w:val="auto"/>
        </w:rPr>
        <w:t>Disclosing material nonpublic information directly or indirectly to others who then trade based on that information or making recommendations or expressing opinions as to transactions in securities while aware of material nonpublic information (which is</w:t>
      </w:r>
    </w:p>
    <w:p>
      <w:pPr>
        <w:spacing w:after="0" w:line="1" w:lineRule="exact"/>
        <w:rPr>
          <w:sz w:val="20"/>
          <w:szCs w:val="20"/>
          <w:color w:val="auto"/>
        </w:rPr>
      </w:pPr>
    </w:p>
    <w:p>
      <w:pPr>
        <w:ind w:left="80" w:right="220"/>
        <w:spacing w:after="0" w:line="221" w:lineRule="auto"/>
        <w:rPr>
          <w:sz w:val="20"/>
          <w:szCs w:val="20"/>
          <w:color w:val="auto"/>
        </w:rPr>
      </w:pPr>
      <w:r>
        <w:rPr>
          <w:rFonts w:ascii="Times New Roman" w:cs="Times New Roman" w:eastAsia="Times New Roman" w:hAnsi="Times New Roman"/>
          <w:sz w:val="20"/>
          <w:szCs w:val="20"/>
          <w:color w:val="auto"/>
        </w:rPr>
        <w:t>sometime referred to as “</w:t>
      </w:r>
      <w:r>
        <w:rPr>
          <w:rFonts w:ascii="Times New Roman" w:cs="Times New Roman" w:eastAsia="Times New Roman" w:hAnsi="Times New Roman"/>
          <w:sz w:val="20"/>
          <w:szCs w:val="20"/>
          <w:b w:val="1"/>
          <w:bCs w:val="1"/>
          <w:i w:val="1"/>
          <w:iCs w:val="1"/>
          <w:color w:val="auto"/>
        </w:rPr>
        <w:t>tipping</w:t>
      </w:r>
      <w:r>
        <w:rPr>
          <w:rFonts w:ascii="Times New Roman" w:cs="Times New Roman" w:eastAsia="Times New Roman" w:hAnsi="Times New Roman"/>
          <w:sz w:val="20"/>
          <w:szCs w:val="20"/>
          <w:color w:val="auto"/>
        </w:rPr>
        <w:t>”) is also illegal. Both the person who provides the information, recommendation or opinion and the person who trades based on it may be liable.</w:t>
      </w:r>
    </w:p>
    <w:p>
      <w:pPr>
        <w:spacing w:after="0" w:line="158" w:lineRule="exact"/>
        <w:rPr>
          <w:sz w:val="20"/>
          <w:szCs w:val="20"/>
          <w:color w:val="auto"/>
        </w:rPr>
      </w:pPr>
    </w:p>
    <w:p>
      <w:pPr>
        <w:ind w:left="80" w:right="200" w:firstLine="324"/>
        <w:spacing w:after="0" w:line="245" w:lineRule="auto"/>
        <w:rPr>
          <w:sz w:val="20"/>
          <w:szCs w:val="20"/>
          <w:color w:val="auto"/>
        </w:rPr>
      </w:pPr>
      <w:r>
        <w:rPr>
          <w:rFonts w:ascii="Times New Roman" w:cs="Times New Roman" w:eastAsia="Times New Roman" w:hAnsi="Times New Roman"/>
          <w:sz w:val="20"/>
          <w:szCs w:val="20"/>
          <w:color w:val="auto"/>
        </w:rPr>
        <w:t>These illegal activities are commonly referred to as “</w:t>
      </w:r>
      <w:r>
        <w:rPr>
          <w:rFonts w:ascii="Times New Roman" w:cs="Times New Roman" w:eastAsia="Times New Roman" w:hAnsi="Times New Roman"/>
          <w:sz w:val="20"/>
          <w:szCs w:val="20"/>
          <w:b w:val="1"/>
          <w:bCs w:val="1"/>
          <w:i w:val="1"/>
          <w:iCs w:val="1"/>
          <w:color w:val="auto"/>
        </w:rPr>
        <w:t>insider trading</w:t>
      </w:r>
      <w:r>
        <w:rPr>
          <w:rFonts w:ascii="Times New Roman" w:cs="Times New Roman" w:eastAsia="Times New Roman" w:hAnsi="Times New Roman"/>
          <w:sz w:val="20"/>
          <w:szCs w:val="20"/>
          <w:color w:val="auto"/>
        </w:rPr>
        <w:t>”. State securities laws and securities laws of other jurisdictions also impose restrictions on insider trading.</w:t>
      </w:r>
    </w:p>
    <w:p>
      <w:pPr>
        <w:spacing w:after="0" w:line="142" w:lineRule="exact"/>
        <w:rPr>
          <w:sz w:val="20"/>
          <w:szCs w:val="20"/>
          <w:color w:val="auto"/>
        </w:rPr>
      </w:pPr>
    </w:p>
    <w:p>
      <w:pPr>
        <w:ind w:left="80" w:right="220" w:firstLine="324"/>
        <w:spacing w:after="0" w:line="222" w:lineRule="auto"/>
        <w:rPr>
          <w:sz w:val="20"/>
          <w:szCs w:val="20"/>
          <w:color w:val="auto"/>
        </w:rPr>
      </w:pPr>
      <w:r>
        <w:rPr>
          <w:rFonts w:ascii="Times New Roman" w:cs="Times New Roman" w:eastAsia="Times New Roman" w:hAnsi="Times New Roman"/>
          <w:sz w:val="20"/>
          <w:szCs w:val="20"/>
          <w:color w:val="auto"/>
        </w:rPr>
        <w:t>In addition, a company, as well as individual directors, officers and other supervisory personnel, may be subject to liability as “controlling persons” for failure to take appropriate steps to prevent insider trading by those under their supervision, influence or</w:t>
      </w:r>
    </w:p>
    <w:p>
      <w:pPr>
        <w:spacing w:after="0" w:line="2" w:lineRule="exact"/>
        <w:rPr>
          <w:sz w:val="20"/>
          <w:szCs w:val="20"/>
          <w:color w:val="auto"/>
        </w:rPr>
      </w:pPr>
    </w:p>
    <w:p>
      <w:pPr>
        <w:ind w:left="80" w:right="200"/>
        <w:spacing w:after="0" w:line="215" w:lineRule="auto"/>
        <w:rPr>
          <w:sz w:val="20"/>
          <w:szCs w:val="20"/>
          <w:color w:val="auto"/>
        </w:rPr>
      </w:pPr>
      <w:r>
        <w:rPr>
          <w:rFonts w:ascii="Times New Roman" w:cs="Times New Roman" w:eastAsia="Times New Roman" w:hAnsi="Times New Roman"/>
          <w:sz w:val="19"/>
          <w:szCs w:val="19"/>
          <w:color w:val="auto"/>
        </w:rPr>
        <w:t>control. The Insider Trading and Securities Fraud Enforcement Act of 1988, for example, mandates that “[e]very person who, directly or indirectly, controls any person liable [for insider trading] shall also be liable jointly and severally with and to the same extent as</w:t>
      </w:r>
    </w:p>
    <w:p>
      <w:pPr>
        <w:ind w:left="80" w:right="200"/>
        <w:spacing w:after="0" w:line="228" w:lineRule="auto"/>
        <w:rPr>
          <w:sz w:val="20"/>
          <w:szCs w:val="20"/>
          <w:color w:val="auto"/>
        </w:rPr>
      </w:pPr>
      <w:r>
        <w:rPr>
          <w:rFonts w:ascii="Times New Roman" w:cs="Times New Roman" w:eastAsia="Times New Roman" w:hAnsi="Times New Roman"/>
          <w:sz w:val="20"/>
          <w:szCs w:val="20"/>
          <w:color w:val="auto"/>
        </w:rPr>
        <w:t>such controlled person…unless the controlling person acted in good faith and did not directly or indirectly induce the act or acts constituting the violation or cause of action.”</w:t>
      </w:r>
    </w:p>
    <w:p>
      <w:pPr>
        <w:spacing w:after="0" w:line="14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Detection and prosecution of insider trading</w:t>
      </w:r>
    </w:p>
    <w:p>
      <w:pPr>
        <w:spacing w:after="0" w:line="1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U.S.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the Financial Industry Regulatory Authority (“</w:t>
      </w:r>
      <w:r>
        <w:rPr>
          <w:rFonts w:ascii="Times New Roman" w:cs="Times New Roman" w:eastAsia="Times New Roman" w:hAnsi="Times New Roman"/>
          <w:sz w:val="20"/>
          <w:szCs w:val="20"/>
          <w:b w:val="1"/>
          <w:bCs w:val="1"/>
          <w:i w:val="1"/>
          <w:iCs w:val="1"/>
          <w:color w:val="auto"/>
        </w:rPr>
        <w:t>FINRA</w:t>
      </w:r>
      <w:r>
        <w:rPr>
          <w:rFonts w:ascii="Times New Roman" w:cs="Times New Roman" w:eastAsia="Times New Roman" w:hAnsi="Times New Roman"/>
          <w:sz w:val="20"/>
          <w:szCs w:val="20"/>
          <w:color w:val="auto"/>
        </w:rPr>
        <w:t>”) and The</w:t>
      </w:r>
    </w:p>
    <w:p>
      <w:pPr>
        <w:ind w:left="80" w:right="220"/>
        <w:spacing w:after="0" w:line="215" w:lineRule="auto"/>
        <w:rPr>
          <w:sz w:val="20"/>
          <w:szCs w:val="20"/>
          <w:color w:val="auto"/>
        </w:rPr>
      </w:pPr>
      <w:r>
        <w:rPr>
          <w:rFonts w:ascii="Times New Roman" w:cs="Times New Roman" w:eastAsia="Times New Roman" w:hAnsi="Times New Roman"/>
          <w:sz w:val="19"/>
          <w:szCs w:val="19"/>
          <w:color w:val="auto"/>
        </w:rPr>
        <w:t>Nasdaq Stock Market use sophisticated electronic surveillance techniques to investigate and detect insider trading, and the SEC and the U.S. Department of Justice pursue insider trading violations vigorously. Cases involving trading through foreign accounts, trading</w:t>
      </w:r>
    </w:p>
    <w:p>
      <w:pPr>
        <w:ind w:left="80" w:right="1440"/>
        <w:spacing w:after="0" w:line="416" w:lineRule="auto"/>
        <w:rPr>
          <w:sz w:val="20"/>
          <w:szCs w:val="20"/>
          <w:color w:val="auto"/>
        </w:rPr>
      </w:pPr>
      <w:r>
        <w:rPr>
          <w:rFonts w:ascii="Times New Roman" w:cs="Times New Roman" w:eastAsia="Times New Roman" w:hAnsi="Times New Roman"/>
          <w:sz w:val="20"/>
          <w:szCs w:val="20"/>
          <w:color w:val="auto"/>
        </w:rPr>
        <w:t xml:space="preserve">by family members and friends and trading involving only a small number of shares have been successfully prosecuted. </w:t>
      </w:r>
      <w:r>
        <w:rPr>
          <w:rFonts w:ascii="Times New Roman" w:cs="Times New Roman" w:eastAsia="Times New Roman" w:hAnsi="Times New Roman"/>
          <w:sz w:val="20"/>
          <w:szCs w:val="20"/>
          <w:b w:val="1"/>
          <w:bCs w:val="1"/>
          <w:color w:val="auto"/>
        </w:rPr>
        <w:t>Penalties for violation of insider trading laws and this Policy</w:t>
      </w:r>
    </w:p>
    <w:p>
      <w:pPr>
        <w:ind w:left="80" w:firstLine="324"/>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Civil and criminal penalties. </w:t>
      </w:r>
      <w:r>
        <w:rPr>
          <w:rFonts w:ascii="Times New Roman" w:cs="Times New Roman" w:eastAsia="Times New Roman" w:hAnsi="Times New Roman"/>
          <w:sz w:val="20"/>
          <w:szCs w:val="20"/>
          <w:color w:val="auto"/>
        </w:rPr>
        <w:t>As of the effective date of this Policy, potential penalties for insider trading violations under U.S. federal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securities laws include:</w:t>
      </w:r>
    </w:p>
    <w:p>
      <w:pPr>
        <w:spacing w:after="0" w:line="47" w:lineRule="exact"/>
        <w:rPr>
          <w:sz w:val="20"/>
          <w:szCs w:val="20"/>
          <w:color w:val="auto"/>
        </w:rPr>
      </w:pPr>
    </w:p>
    <w:p>
      <w:pPr>
        <w:ind w:left="1360" w:hanging="310"/>
        <w:spacing w:after="0"/>
        <w:tabs>
          <w:tab w:leader="none" w:pos="13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damages in a private lawsuit;</w:t>
      </w:r>
    </w:p>
    <w:p>
      <w:pPr>
        <w:spacing w:after="0" w:line="67" w:lineRule="exact"/>
        <w:rPr>
          <w:rFonts w:ascii="Times New Roman" w:cs="Times New Roman" w:eastAsia="Times New Roman" w:hAnsi="Times New Roman"/>
          <w:sz w:val="20"/>
          <w:szCs w:val="20"/>
          <w:color w:val="auto"/>
        </w:rPr>
      </w:pPr>
    </w:p>
    <w:p>
      <w:pPr>
        <w:ind w:left="1360" w:hanging="310"/>
        <w:spacing w:after="0"/>
        <w:tabs>
          <w:tab w:leader="none" w:pos="13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disgorging any profits made or losses avoided;</w:t>
      </w:r>
    </w:p>
    <w:p>
      <w:pPr>
        <w:spacing w:after="0" w:line="80" w:lineRule="exact"/>
        <w:rPr>
          <w:rFonts w:ascii="Times New Roman" w:cs="Times New Roman" w:eastAsia="Times New Roman" w:hAnsi="Times New Roman"/>
          <w:sz w:val="20"/>
          <w:szCs w:val="20"/>
          <w:color w:val="auto"/>
        </w:rPr>
      </w:pPr>
    </w:p>
    <w:p>
      <w:pPr>
        <w:ind w:left="1360" w:hanging="310"/>
        <w:spacing w:after="0"/>
        <w:tabs>
          <w:tab w:leader="none" w:pos="13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imprisonment for up to 20 years;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Qualys, Inc. – Insider Trading Policy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- 1 -</w:t>
            </w:r>
          </w:p>
        </w:tc>
      </w:tr>
    </w:tbl>
    <w:p>
      <w:pPr>
        <w:sectPr>
          <w:pgSz w:w="11900" w:h="16838" w:orient="portrait"/>
          <w:cols w:equalWidth="0" w:num="1">
            <w:col w:w="11000"/>
          </w:cols>
          <w:pgMar w:left="340" w:top="1440" w:right="559" w:bottom="1440" w:gutter="0" w:footer="0" w:header="0"/>
        </w:sectPr>
      </w:pPr>
    </w:p>
    <w:bookmarkStart w:id="104" w:name="page105"/>
    <w:bookmarkEnd w:id="104"/>
    <w:p>
      <w:pPr>
        <w:ind w:left="1340" w:hanging="310"/>
        <w:spacing w:after="0"/>
        <w:tabs>
          <w:tab w:leader="none" w:pos="13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criminal fines of up to $5 million for individuals and $25 million for entities;</w:t>
      </w:r>
    </w:p>
    <w:p>
      <w:pPr>
        <w:spacing w:after="0" w:line="67" w:lineRule="exact"/>
        <w:rPr>
          <w:rFonts w:ascii="Times New Roman" w:cs="Times New Roman" w:eastAsia="Times New Roman" w:hAnsi="Times New Roman"/>
          <w:sz w:val="20"/>
          <w:szCs w:val="20"/>
          <w:color w:val="auto"/>
        </w:rPr>
      </w:pPr>
    </w:p>
    <w:p>
      <w:pPr>
        <w:ind w:left="1340" w:hanging="310"/>
        <w:spacing w:after="0"/>
        <w:tabs>
          <w:tab w:leader="none" w:pos="13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civil fines of up to three times the profit gained or loss avoided;</w:t>
      </w:r>
    </w:p>
    <w:p>
      <w:pPr>
        <w:spacing w:after="0" w:line="80" w:lineRule="exact"/>
        <w:rPr>
          <w:rFonts w:ascii="Times New Roman" w:cs="Times New Roman" w:eastAsia="Times New Roman" w:hAnsi="Times New Roman"/>
          <w:sz w:val="20"/>
          <w:szCs w:val="20"/>
          <w:color w:val="auto"/>
        </w:rPr>
      </w:pPr>
    </w:p>
    <w:p>
      <w:pPr>
        <w:ind w:left="1340" w:hanging="310"/>
        <w:spacing w:after="0"/>
        <w:tabs>
          <w:tab w:leader="none" w:pos="13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bar against serving as an officer or director of a public company; and</w:t>
      </w:r>
    </w:p>
    <w:p>
      <w:pPr>
        <w:spacing w:after="0" w:line="67" w:lineRule="exact"/>
        <w:rPr>
          <w:rFonts w:ascii="Times New Roman" w:cs="Times New Roman" w:eastAsia="Times New Roman" w:hAnsi="Times New Roman"/>
          <w:sz w:val="20"/>
          <w:szCs w:val="20"/>
          <w:color w:val="auto"/>
        </w:rPr>
      </w:pPr>
    </w:p>
    <w:p>
      <w:pPr>
        <w:ind w:left="1340" w:hanging="310"/>
        <w:spacing w:after="0"/>
        <w:tabs>
          <w:tab w:leader="none" w:pos="13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injunction against future violations.</w:t>
      </w:r>
    </w:p>
    <w:p>
      <w:pPr>
        <w:spacing w:after="0" w:line="81" w:lineRule="exact"/>
        <w:rPr>
          <w:sz w:val="20"/>
          <w:szCs w:val="20"/>
          <w:color w:val="auto"/>
        </w:rPr>
      </w:pPr>
    </w:p>
    <w:p>
      <w:pPr>
        <w:ind w:left="60" w:right="160" w:firstLine="324"/>
        <w:spacing w:after="0"/>
        <w:rPr>
          <w:sz w:val="20"/>
          <w:szCs w:val="20"/>
          <w:color w:val="auto"/>
        </w:rPr>
      </w:pPr>
      <w:r>
        <w:rPr>
          <w:rFonts w:ascii="Times New Roman" w:cs="Times New Roman" w:eastAsia="Times New Roman" w:hAnsi="Times New Roman"/>
          <w:sz w:val="20"/>
          <w:szCs w:val="20"/>
          <w:color w:val="auto"/>
        </w:rPr>
        <w:t>Civil and criminal penalties also apply to tipping. The SEC has imposed large penalties in tipping cases even when the disclosing person did not trade or gain any benefit from another person’s trading.</w:t>
      </w:r>
    </w:p>
    <w:p>
      <w:pPr>
        <w:spacing w:after="0" w:line="144" w:lineRule="exact"/>
        <w:rPr>
          <w:sz w:val="20"/>
          <w:szCs w:val="20"/>
          <w:color w:val="auto"/>
        </w:rPr>
      </w:pPr>
    </w:p>
    <w:p>
      <w:pPr>
        <w:jc w:val="both"/>
        <w:ind w:left="60" w:right="20" w:firstLine="324"/>
        <w:spacing w:after="0" w:line="224" w:lineRule="auto"/>
        <w:rPr>
          <w:sz w:val="20"/>
          <w:szCs w:val="20"/>
          <w:color w:val="auto"/>
        </w:rPr>
      </w:pPr>
      <w:r>
        <w:rPr>
          <w:rFonts w:ascii="Times New Roman" w:cs="Times New Roman" w:eastAsia="Times New Roman" w:hAnsi="Times New Roman"/>
          <w:sz w:val="20"/>
          <w:szCs w:val="20"/>
          <w:i w:val="1"/>
          <w:iCs w:val="1"/>
          <w:color w:val="auto"/>
        </w:rPr>
        <w:t xml:space="preserve">Controlling person liability. </w:t>
      </w:r>
      <w:r>
        <w:rPr>
          <w:rFonts w:ascii="Times New Roman" w:cs="Times New Roman" w:eastAsia="Times New Roman" w:hAnsi="Times New Roman"/>
          <w:sz w:val="20"/>
          <w:szCs w:val="20"/>
          <w:color w:val="auto"/>
        </w:rPr>
        <w:t>U.S. Securities laws mandates that “[e]very person who, directly or indirectly, controls any person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liable [for insider trading] shall also be liable jointly and severally with and to the same extent as such controlled person…unless the</w:t>
      </w:r>
    </w:p>
    <w:p>
      <w:pPr>
        <w:spacing w:after="0" w:line="2" w:lineRule="exact"/>
        <w:rPr>
          <w:sz w:val="20"/>
          <w:szCs w:val="20"/>
          <w:color w:val="auto"/>
        </w:rPr>
      </w:pPr>
    </w:p>
    <w:p>
      <w:pPr>
        <w:jc w:val="both"/>
        <w:ind w:left="60" w:right="20"/>
        <w:spacing w:after="0" w:line="204" w:lineRule="auto"/>
        <w:rPr>
          <w:sz w:val="20"/>
          <w:szCs w:val="20"/>
          <w:color w:val="auto"/>
        </w:rPr>
      </w:pPr>
      <w:r>
        <w:rPr>
          <w:rFonts w:ascii="Times New Roman" w:cs="Times New Roman" w:eastAsia="Times New Roman" w:hAnsi="Times New Roman"/>
          <w:sz w:val="20"/>
          <w:szCs w:val="20"/>
          <w:color w:val="auto"/>
        </w:rPr>
        <w:t>controlling person acted in good faith and did not directly or indirectly induce the act or acts constituting the violation or cause of action.” As of the effective date of this Policy, the penalty for “controlling person” liability is a civil fine of up to the greater of $2.5</w:t>
      </w:r>
    </w:p>
    <w:p>
      <w:pPr>
        <w:spacing w:after="0" w:line="1" w:lineRule="exact"/>
        <w:rPr>
          <w:sz w:val="20"/>
          <w:szCs w:val="20"/>
          <w:color w:val="auto"/>
        </w:rPr>
      </w:pPr>
    </w:p>
    <w:p>
      <w:pPr>
        <w:jc w:val="both"/>
        <w:ind w:left="60" w:right="20"/>
        <w:spacing w:after="0" w:line="228" w:lineRule="auto"/>
        <w:rPr>
          <w:sz w:val="20"/>
          <w:szCs w:val="20"/>
          <w:color w:val="auto"/>
        </w:rPr>
      </w:pPr>
      <w:r>
        <w:rPr>
          <w:rFonts w:ascii="Times New Roman" w:cs="Times New Roman" w:eastAsia="Times New Roman" w:hAnsi="Times New Roman"/>
          <w:sz w:val="20"/>
          <w:szCs w:val="20"/>
          <w:color w:val="auto"/>
        </w:rPr>
        <w:t>million or three times the profit gained or loss avoided as a result of the insider trading violations, as well as potential criminal fines and imprisonment.</w:t>
      </w:r>
    </w:p>
    <w:p>
      <w:pPr>
        <w:spacing w:after="0" w:line="145" w:lineRule="exact"/>
        <w:rPr>
          <w:sz w:val="20"/>
          <w:szCs w:val="20"/>
          <w:color w:val="auto"/>
        </w:rPr>
      </w:pPr>
    </w:p>
    <w:p>
      <w:pPr>
        <w:jc w:val="both"/>
        <w:ind w:left="60" w:firstLine="324"/>
        <w:spacing w:after="0" w:line="236" w:lineRule="auto"/>
        <w:rPr>
          <w:sz w:val="20"/>
          <w:szCs w:val="20"/>
          <w:color w:val="auto"/>
        </w:rPr>
      </w:pPr>
      <w:r>
        <w:rPr>
          <w:rFonts w:ascii="Times New Roman" w:cs="Times New Roman" w:eastAsia="Times New Roman" w:hAnsi="Times New Roman"/>
          <w:sz w:val="19"/>
          <w:szCs w:val="19"/>
          <w:i w:val="1"/>
          <w:iCs w:val="1"/>
          <w:color w:val="auto"/>
        </w:rPr>
        <w:t xml:space="preserve">Company disciplinary actions. </w:t>
      </w:r>
      <w:r>
        <w:rPr>
          <w:rFonts w:ascii="Times New Roman" w:cs="Times New Roman" w:eastAsia="Times New Roman" w:hAnsi="Times New Roman"/>
          <w:sz w:val="19"/>
          <w:szCs w:val="19"/>
          <w:color w:val="auto"/>
        </w:rPr>
        <w:t>If the Company has a reasonable basis to conclude that you have failed to comply with this Policy,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you may be subject to disciplinary action by the Company, up to and including termination of your employment, regardless of whether</w:t>
      </w:r>
    </w:p>
    <w:p>
      <w:pPr>
        <w:spacing w:after="0" w:line="1" w:lineRule="exact"/>
        <w:rPr>
          <w:sz w:val="20"/>
          <w:szCs w:val="20"/>
          <w:color w:val="auto"/>
        </w:rPr>
      </w:pPr>
    </w:p>
    <w:p>
      <w:pPr>
        <w:jc w:val="both"/>
        <w:ind w:left="60" w:right="20"/>
        <w:spacing w:after="0" w:line="204" w:lineRule="auto"/>
        <w:rPr>
          <w:sz w:val="20"/>
          <w:szCs w:val="20"/>
          <w:color w:val="auto"/>
        </w:rPr>
      </w:pPr>
      <w:r>
        <w:rPr>
          <w:rFonts w:ascii="Times New Roman" w:cs="Times New Roman" w:eastAsia="Times New Roman" w:hAnsi="Times New Roman"/>
          <w:sz w:val="20"/>
          <w:szCs w:val="20"/>
          <w:color w:val="auto"/>
        </w:rPr>
        <w:t>or not your failure to comply with this Policy results in a violation of law. It is not necessary for the Company to wait for the filing or conclusion of any civil or criminal action against an alleged violator before taking disciplinary action. In addition, the Company may</w:t>
      </w:r>
    </w:p>
    <w:p>
      <w:pPr>
        <w:spacing w:after="0" w:line="1" w:lineRule="exact"/>
        <w:rPr>
          <w:sz w:val="20"/>
          <w:szCs w:val="20"/>
          <w:color w:val="auto"/>
        </w:rPr>
      </w:pPr>
    </w:p>
    <w:p>
      <w:pPr>
        <w:ind w:left="60" w:right="1880"/>
        <w:spacing w:after="0" w:line="418" w:lineRule="auto"/>
        <w:rPr>
          <w:sz w:val="20"/>
          <w:szCs w:val="20"/>
          <w:color w:val="auto"/>
        </w:rPr>
      </w:pPr>
      <w:r>
        <w:rPr>
          <w:rFonts w:ascii="Times New Roman" w:cs="Times New Roman" w:eastAsia="Times New Roman" w:hAnsi="Times New Roman"/>
          <w:sz w:val="20"/>
          <w:szCs w:val="20"/>
          <w:color w:val="auto"/>
        </w:rPr>
        <w:t xml:space="preserve">give stop transfer and other instructions to the Company’s transfer agent to enforce compliance with this Policy. </w:t>
      </w:r>
      <w:r>
        <w:rPr>
          <w:rFonts w:ascii="Times New Roman" w:cs="Times New Roman" w:eastAsia="Times New Roman" w:hAnsi="Times New Roman"/>
          <w:sz w:val="20"/>
          <w:szCs w:val="20"/>
          <w:b w:val="1"/>
          <w:bCs w:val="1"/>
          <w:color w:val="auto"/>
        </w:rPr>
        <w:t>Reporting violations</w:t>
      </w:r>
    </w:p>
    <w:p>
      <w:pPr>
        <w:jc w:val="both"/>
        <w:ind w:left="60" w:right="20" w:firstLine="324"/>
        <w:spacing w:after="0" w:line="222" w:lineRule="auto"/>
        <w:rPr>
          <w:sz w:val="20"/>
          <w:szCs w:val="20"/>
          <w:color w:val="auto"/>
        </w:rPr>
      </w:pPr>
      <w:r>
        <w:rPr>
          <w:rFonts w:ascii="Times New Roman" w:cs="Times New Roman" w:eastAsia="Times New Roman" w:hAnsi="Times New Roman"/>
          <w:sz w:val="20"/>
          <w:szCs w:val="20"/>
          <w:color w:val="auto"/>
        </w:rPr>
        <w:t>It is your responsibility to help enforce this Policy. The General Counsel and Legal Department are generally responsible for the administration of this Policy. You should be alert to possible violations and promptly report violations or suspected violations of this</w:t>
      </w:r>
    </w:p>
    <w:p>
      <w:pPr>
        <w:spacing w:after="0" w:line="2" w:lineRule="exact"/>
        <w:rPr>
          <w:sz w:val="20"/>
          <w:szCs w:val="20"/>
          <w:color w:val="auto"/>
        </w:rPr>
      </w:pPr>
    </w:p>
    <w:p>
      <w:pPr>
        <w:jc w:val="both"/>
        <w:ind w:left="60" w:right="20"/>
        <w:spacing w:after="0" w:line="204" w:lineRule="auto"/>
        <w:rPr>
          <w:sz w:val="20"/>
          <w:szCs w:val="20"/>
          <w:color w:val="auto"/>
        </w:rPr>
      </w:pPr>
      <w:r>
        <w:rPr>
          <w:rFonts w:ascii="Times New Roman" w:cs="Times New Roman" w:eastAsia="Times New Roman" w:hAnsi="Times New Roman"/>
          <w:sz w:val="20"/>
          <w:szCs w:val="20"/>
          <w:color w:val="auto"/>
        </w:rPr>
        <w:t xml:space="preserve">Policy to the General Counsel at </w:t>
      </w:r>
      <w:r>
        <w:rPr>
          <w:rFonts w:ascii="Times New Roman" w:cs="Times New Roman" w:eastAsia="Times New Roman" w:hAnsi="Times New Roman"/>
          <w:sz w:val="20"/>
          <w:szCs w:val="20"/>
          <w:i w:val="1"/>
          <w:iCs w:val="1"/>
          <w:color w:val="auto"/>
        </w:rPr>
        <w:t>650-801-6252</w:t>
      </w:r>
      <w:r>
        <w:rPr>
          <w:rFonts w:ascii="Times New Roman" w:cs="Times New Roman" w:eastAsia="Times New Roman" w:hAnsi="Times New Roman"/>
          <w:sz w:val="20"/>
          <w:szCs w:val="20"/>
          <w:color w:val="auto"/>
        </w:rPr>
        <w:t xml:space="preserve">, 919 East Hillsdale Boulevard, Foster City, CA 94404, ATTENTION: General Counsel, or </w:t>
      </w:r>
      <w:r>
        <w:rPr>
          <w:rFonts w:ascii="Times New Roman" w:cs="Times New Roman" w:eastAsia="Times New Roman" w:hAnsi="Times New Roman"/>
          <w:sz w:val="20"/>
          <w:szCs w:val="20"/>
          <w:u w:val="single" w:color="auto"/>
          <w:color w:val="auto"/>
        </w:rPr>
        <w:t>bposey@qualys.com</w:t>
      </w:r>
      <w:r>
        <w:rPr>
          <w:rFonts w:ascii="Times New Roman" w:cs="Times New Roman" w:eastAsia="Times New Roman" w:hAnsi="Times New Roman"/>
          <w:sz w:val="20"/>
          <w:szCs w:val="20"/>
          <w:color w:val="auto"/>
        </w:rPr>
        <w:t>. If the General Counsel is implicated in your report, then you should report such possible violations</w:t>
      </w:r>
    </w:p>
    <w:p>
      <w:pPr>
        <w:ind w:left="60"/>
        <w:spacing w:after="0" w:line="211" w:lineRule="auto"/>
        <w:rPr>
          <w:sz w:val="20"/>
          <w:szCs w:val="20"/>
          <w:color w:val="auto"/>
        </w:rPr>
      </w:pPr>
      <w:r>
        <w:rPr>
          <w:rFonts w:ascii="Times New Roman" w:cs="Times New Roman" w:eastAsia="Times New Roman" w:hAnsi="Times New Roman"/>
          <w:sz w:val="20"/>
          <w:szCs w:val="20"/>
          <w:color w:val="auto"/>
        </w:rPr>
        <w:t>or suspected violations in accordance with the Company’s Whistleblower Policy. If your situation requires that your identity be kept</w:t>
      </w:r>
    </w:p>
    <w:p>
      <w:pPr>
        <w:spacing w:after="0" w:line="1" w:lineRule="exact"/>
        <w:rPr>
          <w:sz w:val="20"/>
          <w:szCs w:val="20"/>
          <w:color w:val="auto"/>
        </w:rPr>
      </w:pPr>
    </w:p>
    <w:p>
      <w:pPr>
        <w:jc w:val="both"/>
        <w:ind w:left="60"/>
        <w:spacing w:after="0" w:line="204" w:lineRule="auto"/>
        <w:rPr>
          <w:sz w:val="20"/>
          <w:szCs w:val="20"/>
          <w:color w:val="auto"/>
        </w:rPr>
      </w:pPr>
      <w:r>
        <w:rPr>
          <w:rFonts w:ascii="Times New Roman" w:cs="Times New Roman" w:eastAsia="Times New Roman" w:hAnsi="Times New Roman"/>
          <w:sz w:val="20"/>
          <w:szCs w:val="20"/>
          <w:color w:val="auto"/>
        </w:rPr>
        <w:t>secret, your anonymity will be preserved to the greatest extent reasonably possible, or otherwise permitted by law. If you wish to remain anonymous, send a letter addressed to the General Counsel at 919 East Hillsdale Boulevard, Foster City, CA 94404,</w:t>
      </w:r>
    </w:p>
    <w:p>
      <w:pPr>
        <w:ind w:left="60"/>
        <w:spacing w:after="0" w:line="197" w:lineRule="auto"/>
        <w:rPr>
          <w:sz w:val="20"/>
          <w:szCs w:val="20"/>
          <w:color w:val="auto"/>
        </w:rPr>
      </w:pPr>
      <w:r>
        <w:rPr>
          <w:rFonts w:ascii="Times New Roman" w:cs="Times New Roman" w:eastAsia="Times New Roman" w:hAnsi="Times New Roman"/>
          <w:sz w:val="20"/>
          <w:szCs w:val="20"/>
          <w:color w:val="auto"/>
        </w:rPr>
        <w:t>ATTENTION: General Counsel or the Audit Committee of the Board of Directors at 919 East Hillsdale Boulevard, Foster City, CA</w:t>
      </w:r>
    </w:p>
    <w:p>
      <w:pPr>
        <w:spacing w:after="0" w:line="1" w:lineRule="exact"/>
        <w:rPr>
          <w:sz w:val="20"/>
          <w:szCs w:val="20"/>
          <w:color w:val="auto"/>
        </w:rPr>
      </w:pPr>
    </w:p>
    <w:p>
      <w:pPr>
        <w:jc w:val="both"/>
        <w:ind w:left="60" w:right="20"/>
        <w:spacing w:after="0" w:line="223" w:lineRule="auto"/>
        <w:rPr>
          <w:sz w:val="20"/>
          <w:szCs w:val="20"/>
          <w:color w:val="auto"/>
        </w:rPr>
      </w:pPr>
      <w:r>
        <w:rPr>
          <w:rFonts w:ascii="Times New Roman" w:cs="Times New Roman" w:eastAsia="Times New Roman" w:hAnsi="Times New Roman"/>
          <w:sz w:val="20"/>
          <w:szCs w:val="20"/>
          <w:color w:val="auto"/>
        </w:rPr>
        <w:t>94404, ATTENTION: Audit Committee, or contact the Qualys Confidential and Anonymous Financial Concern Hotline at QLYS@openboard.info or 866-528-2457. If you make an anonymous report, please provide as much detail as possible, including any evidence that you believe may be relevant to the issue.</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Personal responsibility</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The ultimate responsibility for complying with this Policy and applicable laws and regulations rests with you. You should use your</w:t>
      </w:r>
    </w:p>
    <w:p>
      <w:pPr>
        <w:spacing w:after="0" w:line="6" w:lineRule="exact"/>
        <w:rPr>
          <w:sz w:val="20"/>
          <w:szCs w:val="20"/>
          <w:color w:val="auto"/>
        </w:rPr>
      </w:pPr>
    </w:p>
    <w:p>
      <w:pPr>
        <w:jc w:val="both"/>
        <w:ind w:left="60"/>
        <w:spacing w:after="0" w:line="204" w:lineRule="auto"/>
        <w:rPr>
          <w:sz w:val="20"/>
          <w:szCs w:val="20"/>
          <w:color w:val="auto"/>
        </w:rPr>
      </w:pPr>
      <w:r>
        <w:rPr>
          <w:rFonts w:ascii="Times New Roman" w:cs="Times New Roman" w:eastAsia="Times New Roman" w:hAnsi="Times New Roman"/>
          <w:sz w:val="20"/>
          <w:szCs w:val="20"/>
          <w:color w:val="auto"/>
        </w:rPr>
        <w:t>best judgment at all times and consult with your legal and financial advisors, as needed. We advise you to seek assistance if you have any questions at all. The rules relating to insider trading can be complex, and a violation of insider trading laws can carry severe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consequences.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Qualys, Inc. – Insider Trading Policy</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- 2 -</w:t>
            </w:r>
          </w:p>
        </w:tc>
      </w:tr>
    </w:tbl>
    <w:p>
      <w:pPr>
        <w:sectPr>
          <w:pgSz w:w="11900" w:h="16838" w:orient="portrait"/>
          <w:cols w:equalWidth="0" w:num="1">
            <w:col w:w="10780"/>
          </w:cols>
          <w:pgMar w:left="360" w:top="1278" w:right="759" w:bottom="1440" w:gutter="0" w:footer="0" w:header="0"/>
        </w:sectPr>
      </w:pPr>
    </w:p>
    <w:bookmarkStart w:id="105" w:name="page106"/>
    <w:bookmarkEnd w:id="105"/>
    <w:p>
      <w:pPr>
        <w:spacing w:after="0" w:line="3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PERSONS AND TRANSACTIONS COVERED BY THIS POLICY</w:t>
      </w:r>
    </w:p>
    <w:p>
      <w:pPr>
        <w:spacing w:after="0" w:line="1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Persons covered by this Policy</w:t>
      </w:r>
    </w:p>
    <w:p>
      <w:pPr>
        <w:spacing w:after="0" w:line="1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This Policy applies to all directors, officers, employees and advisors (such as consultants and contractors) of the Company.</w:t>
      </w:r>
    </w:p>
    <w:p>
      <w:pPr>
        <w:jc w:val="both"/>
        <w:ind w:left="80" w:right="20"/>
        <w:spacing w:after="0" w:line="215" w:lineRule="auto"/>
        <w:rPr>
          <w:sz w:val="20"/>
          <w:szCs w:val="20"/>
          <w:color w:val="auto"/>
        </w:rPr>
      </w:pPr>
      <w:r>
        <w:rPr>
          <w:rFonts w:ascii="Times New Roman" w:cs="Times New Roman" w:eastAsia="Times New Roman" w:hAnsi="Times New Roman"/>
          <w:sz w:val="19"/>
          <w:szCs w:val="19"/>
          <w:color w:val="auto"/>
        </w:rPr>
        <w:t>References in this Policy to “you” (as well as general references to directors, officers, employees and advisors of the Company) should also be understood to include members of your immediate family, persons with whom you share a household, persons that are your</w:t>
      </w:r>
    </w:p>
    <w:p>
      <w:pPr>
        <w:ind w:left="80"/>
        <w:spacing w:after="0" w:line="211" w:lineRule="auto"/>
        <w:rPr>
          <w:sz w:val="20"/>
          <w:szCs w:val="20"/>
          <w:color w:val="auto"/>
        </w:rPr>
      </w:pPr>
      <w:r>
        <w:rPr>
          <w:rFonts w:ascii="Times New Roman" w:cs="Times New Roman" w:eastAsia="Times New Roman" w:hAnsi="Times New Roman"/>
          <w:sz w:val="20"/>
          <w:szCs w:val="20"/>
          <w:color w:val="auto"/>
        </w:rPr>
        <w:t>economic dependents and any other individuals or entities whose transactions in securities you influence, direct or control (including,</w:t>
      </w:r>
    </w:p>
    <w:p>
      <w:pPr>
        <w:jc w:val="both"/>
        <w:ind w:left="80"/>
        <w:spacing w:after="0" w:line="221" w:lineRule="auto"/>
        <w:rPr>
          <w:sz w:val="20"/>
          <w:szCs w:val="20"/>
          <w:color w:val="auto"/>
        </w:rPr>
      </w:pPr>
      <w:r>
        <w:rPr>
          <w:rFonts w:ascii="Times New Roman" w:cs="Times New Roman" w:eastAsia="Times New Roman" w:hAnsi="Times New Roman"/>
          <w:sz w:val="20"/>
          <w:szCs w:val="20"/>
          <w:color w:val="auto"/>
        </w:rPr>
        <w:t>for example, a venture or other investment fund, if you influence, direct or control transactions by the fund). You are responsible for making sure that these other individuals and entities comply with this Policy.</w:t>
      </w:r>
    </w:p>
    <w:p>
      <w:pPr>
        <w:spacing w:after="0" w:line="1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Types of transactions covered by this Policy</w:t>
      </w:r>
    </w:p>
    <w:p>
      <w:pPr>
        <w:spacing w:after="0" w:line="162" w:lineRule="exact"/>
        <w:rPr>
          <w:sz w:val="20"/>
          <w:szCs w:val="20"/>
          <w:color w:val="auto"/>
        </w:rPr>
      </w:pPr>
    </w:p>
    <w:p>
      <w:pPr>
        <w:jc w:val="both"/>
        <w:ind w:left="80" w:firstLine="324"/>
        <w:spacing w:after="0" w:line="224" w:lineRule="auto"/>
        <w:rPr>
          <w:sz w:val="20"/>
          <w:szCs w:val="20"/>
          <w:color w:val="auto"/>
        </w:rPr>
      </w:pPr>
      <w:r>
        <w:rPr>
          <w:rFonts w:ascii="Times New Roman" w:cs="Times New Roman" w:eastAsia="Times New Roman" w:hAnsi="Times New Roman"/>
          <w:sz w:val="20"/>
          <w:szCs w:val="20"/>
          <w:color w:val="auto"/>
        </w:rPr>
        <w:t>Except as discussed in the section entitled “</w:t>
      </w:r>
      <w:r>
        <w:rPr>
          <w:rFonts w:ascii="Times New Roman" w:cs="Times New Roman" w:eastAsia="Times New Roman" w:hAnsi="Times New Roman"/>
          <w:sz w:val="20"/>
          <w:szCs w:val="20"/>
          <w:b w:val="1"/>
          <w:bCs w:val="1"/>
          <w:color w:val="auto"/>
        </w:rPr>
        <w:t>Limited Exceptions</w:t>
      </w:r>
      <w:r>
        <w:rPr>
          <w:rFonts w:ascii="Times New Roman" w:cs="Times New Roman" w:eastAsia="Times New Roman" w:hAnsi="Times New Roman"/>
          <w:sz w:val="20"/>
          <w:szCs w:val="20"/>
          <w:color w:val="auto"/>
        </w:rPr>
        <w:t xml:space="preserve">”, this Policy applies to </w:t>
      </w:r>
      <w:r>
        <w:rPr>
          <w:rFonts w:ascii="Times New Roman" w:cs="Times New Roman" w:eastAsia="Times New Roman" w:hAnsi="Times New Roman"/>
          <w:sz w:val="20"/>
          <w:szCs w:val="20"/>
          <w:i w:val="1"/>
          <w:iCs w:val="1"/>
          <w:color w:val="auto"/>
        </w:rPr>
        <w:t>all</w:t>
      </w:r>
      <w:r>
        <w:rPr>
          <w:rFonts w:ascii="Times New Roman" w:cs="Times New Roman" w:eastAsia="Times New Roman" w:hAnsi="Times New Roman"/>
          <w:sz w:val="20"/>
          <w:szCs w:val="20"/>
          <w:color w:val="auto"/>
        </w:rPr>
        <w:t xml:space="preserve"> transactions </w:t>
      </w:r>
      <w:r>
        <w:rPr>
          <w:rFonts w:ascii="Times New Roman" w:cs="Times New Roman" w:eastAsia="Times New Roman" w:hAnsi="Times New Roman"/>
          <w:sz w:val="20"/>
          <w:szCs w:val="20"/>
          <w:i w:val="1"/>
          <w:iCs w:val="1"/>
          <w:color w:val="auto"/>
        </w:rPr>
        <w:t>involving</w:t>
      </w:r>
      <w:r>
        <w:rPr>
          <w:rFonts w:ascii="Times New Roman" w:cs="Times New Roman" w:eastAsia="Times New Roman" w:hAnsi="Times New Roman"/>
          <w:sz w:val="20"/>
          <w:szCs w:val="20"/>
          <w:color w:val="auto"/>
        </w:rPr>
        <w:t xml:space="preserve"> the securities of the Company or the securities of other companies as to which you possess material nonpublic information obtained in the course of</w:t>
      </w:r>
    </w:p>
    <w:p>
      <w:pPr>
        <w:spacing w:after="0" w:line="2" w:lineRule="exact"/>
        <w:rPr>
          <w:sz w:val="20"/>
          <w:szCs w:val="20"/>
          <w:color w:val="auto"/>
        </w:rPr>
      </w:pPr>
    </w:p>
    <w:p>
      <w:pPr>
        <w:jc w:val="both"/>
        <w:ind w:left="80" w:right="20"/>
        <w:spacing w:after="0" w:line="204" w:lineRule="auto"/>
        <w:rPr>
          <w:sz w:val="20"/>
          <w:szCs w:val="20"/>
          <w:color w:val="auto"/>
        </w:rPr>
      </w:pPr>
      <w:r>
        <w:rPr>
          <w:rFonts w:ascii="Times New Roman" w:cs="Times New Roman" w:eastAsia="Times New Roman" w:hAnsi="Times New Roman"/>
          <w:sz w:val="20"/>
          <w:szCs w:val="20"/>
          <w:color w:val="auto"/>
        </w:rPr>
        <w:t>your service with the Company. This Policy therefore applies to purchases, sales, gifts and other transfers of common stock, options, warrants, preferred stock, debt securities (such as debentures, bonds and notes) and other securities. This Policy also applies to any</w:t>
      </w:r>
    </w:p>
    <w:p>
      <w:pPr>
        <w:ind w:left="80"/>
        <w:spacing w:after="0" w:line="223" w:lineRule="auto"/>
        <w:rPr>
          <w:sz w:val="20"/>
          <w:szCs w:val="20"/>
          <w:color w:val="auto"/>
        </w:rPr>
      </w:pPr>
      <w:r>
        <w:rPr>
          <w:rFonts w:ascii="Times New Roman" w:cs="Times New Roman" w:eastAsia="Times New Roman" w:hAnsi="Times New Roman"/>
          <w:sz w:val="19"/>
          <w:szCs w:val="19"/>
          <w:color w:val="auto"/>
        </w:rPr>
        <w:t>arrangements that affect economic exposure to changes in the prices of these securities. These arrangements may include, among other</w:t>
      </w:r>
    </w:p>
    <w:p>
      <w:pPr>
        <w:jc w:val="both"/>
        <w:ind w:left="80" w:right="20"/>
        <w:spacing w:after="0" w:line="215" w:lineRule="auto"/>
        <w:rPr>
          <w:sz w:val="20"/>
          <w:szCs w:val="20"/>
          <w:color w:val="auto"/>
        </w:rPr>
      </w:pPr>
      <w:r>
        <w:rPr>
          <w:rFonts w:ascii="Times New Roman" w:cs="Times New Roman" w:eastAsia="Times New Roman" w:hAnsi="Times New Roman"/>
          <w:sz w:val="19"/>
          <w:szCs w:val="19"/>
          <w:color w:val="auto"/>
        </w:rPr>
        <w:t>things, transactions in derivative securities (such as exchange-traded put or call options), hedging transactions, short sales and certain decisions with respect to participation in benefit plans. This Policy further applies to any distribution to holders of interests in an entity</w:t>
      </w:r>
    </w:p>
    <w:p>
      <w:pPr>
        <w:jc w:val="both"/>
        <w:ind w:left="80" w:right="20"/>
        <w:spacing w:after="0" w:line="221" w:lineRule="auto"/>
        <w:rPr>
          <w:sz w:val="20"/>
          <w:szCs w:val="20"/>
          <w:color w:val="auto"/>
        </w:rPr>
      </w:pPr>
      <w:r>
        <w:rPr>
          <w:rFonts w:ascii="Times New Roman" w:cs="Times New Roman" w:eastAsia="Times New Roman" w:hAnsi="Times New Roman"/>
          <w:sz w:val="20"/>
          <w:szCs w:val="20"/>
          <w:color w:val="auto"/>
        </w:rPr>
        <w:t>if the entity is subject to this Policy. This Policy also applies to any offers with respect to the transactions discussed above. You should note that there are no exceptions from insider trading laws or this Policy based on the size of the transaction.</w:t>
      </w:r>
    </w:p>
    <w:p>
      <w:pPr>
        <w:spacing w:after="0" w:line="1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Responsibilities regarding the nonpublic information of other companies</w:t>
      </w:r>
    </w:p>
    <w:p>
      <w:pPr>
        <w:spacing w:after="0" w:line="166" w:lineRule="exact"/>
        <w:rPr>
          <w:sz w:val="20"/>
          <w:szCs w:val="20"/>
          <w:color w:val="auto"/>
        </w:rPr>
      </w:pPr>
    </w:p>
    <w:p>
      <w:pPr>
        <w:jc w:val="both"/>
        <w:ind w:left="80" w:right="20" w:firstLine="324"/>
        <w:spacing w:after="0" w:line="230" w:lineRule="auto"/>
        <w:rPr>
          <w:sz w:val="20"/>
          <w:szCs w:val="20"/>
          <w:color w:val="auto"/>
        </w:rPr>
      </w:pPr>
      <w:r>
        <w:rPr>
          <w:rFonts w:ascii="Times New Roman" w:cs="Times New Roman" w:eastAsia="Times New Roman" w:hAnsi="Times New Roman"/>
          <w:sz w:val="20"/>
          <w:szCs w:val="20"/>
          <w:color w:val="auto"/>
        </w:rPr>
        <w:t>This Policy prohibits the unauthorized disclosure or other misuse of any nonpublic information of other companies, such as the Company’s distributors, vendors, customers, collaborators, suppliers and competitors. This Policy also prohibits insider trading and tipping based on the material nonpublic information of other companies.</w:t>
      </w:r>
    </w:p>
    <w:p>
      <w:pPr>
        <w:spacing w:after="0" w:line="14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Applicability of this Policy after your departure</w:t>
      </w:r>
    </w:p>
    <w:p>
      <w:pPr>
        <w:spacing w:after="0" w:line="175" w:lineRule="exact"/>
        <w:rPr>
          <w:sz w:val="20"/>
          <w:szCs w:val="20"/>
          <w:color w:val="auto"/>
        </w:rPr>
      </w:pPr>
    </w:p>
    <w:p>
      <w:pPr>
        <w:jc w:val="both"/>
        <w:ind w:left="80" w:right="20" w:firstLine="324"/>
        <w:spacing w:after="0" w:line="229" w:lineRule="auto"/>
        <w:rPr>
          <w:sz w:val="20"/>
          <w:szCs w:val="20"/>
          <w:color w:val="auto"/>
        </w:rPr>
      </w:pPr>
      <w:r>
        <w:rPr>
          <w:rFonts w:ascii="Times New Roman" w:cs="Times New Roman" w:eastAsia="Times New Roman" w:hAnsi="Times New Roman"/>
          <w:sz w:val="19"/>
          <w:szCs w:val="19"/>
          <w:color w:val="auto"/>
        </w:rPr>
        <w:t xml:space="preserve">You are expected to comply with this Policy until such time as you are no longer affiliated with the Company </w:t>
      </w:r>
      <w:r>
        <w:rPr>
          <w:rFonts w:ascii="Times New Roman" w:cs="Times New Roman" w:eastAsia="Times New Roman" w:hAnsi="Times New Roman"/>
          <w:sz w:val="19"/>
          <w:szCs w:val="19"/>
          <w:i w:val="1"/>
          <w:iCs w:val="1"/>
          <w:color w:val="auto"/>
        </w:rPr>
        <w:t>and</w:t>
      </w:r>
      <w:r>
        <w:rPr>
          <w:rFonts w:ascii="Times New Roman" w:cs="Times New Roman" w:eastAsia="Times New Roman" w:hAnsi="Times New Roman"/>
          <w:sz w:val="19"/>
          <w:szCs w:val="19"/>
          <w:color w:val="auto"/>
        </w:rPr>
        <w:t xml:space="preserve"> you no longer possess any material nonpublic information subject to this Policy. In addition, if you are subject to a trading blackout under this Policy</w:t>
      </w:r>
    </w:p>
    <w:p>
      <w:pPr>
        <w:spacing w:after="0" w:line="1" w:lineRule="exact"/>
        <w:rPr>
          <w:sz w:val="20"/>
          <w:szCs w:val="20"/>
          <w:color w:val="auto"/>
        </w:rPr>
      </w:pPr>
    </w:p>
    <w:p>
      <w:pPr>
        <w:jc w:val="both"/>
        <w:ind w:left="80" w:right="20"/>
        <w:spacing w:after="0" w:line="228" w:lineRule="auto"/>
        <w:rPr>
          <w:sz w:val="20"/>
          <w:szCs w:val="20"/>
          <w:color w:val="auto"/>
        </w:rPr>
      </w:pPr>
      <w:r>
        <w:rPr>
          <w:rFonts w:ascii="Times New Roman" w:cs="Times New Roman" w:eastAsia="Times New Roman" w:hAnsi="Times New Roman"/>
          <w:sz w:val="20"/>
          <w:szCs w:val="20"/>
          <w:color w:val="auto"/>
        </w:rPr>
        <w:t>at the time you cease to be affiliated with the Company, you are expected to abide by the applicable trading restrictions until at least the end of the relevant blackout period.</w:t>
      </w:r>
    </w:p>
    <w:p>
      <w:pPr>
        <w:spacing w:after="0" w:line="14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No exceptions based on personal circumstances</w:t>
      </w:r>
    </w:p>
    <w:p>
      <w:pPr>
        <w:spacing w:after="0" w:line="1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There may be instances where you suffer financial harm or other hardship or are otherwise required to forego a planned transaction</w:t>
      </w:r>
    </w:p>
    <w:p>
      <w:pPr>
        <w:spacing w:after="0" w:line="6" w:lineRule="exact"/>
        <w:rPr>
          <w:sz w:val="20"/>
          <w:szCs w:val="20"/>
          <w:color w:val="auto"/>
        </w:rPr>
      </w:pPr>
    </w:p>
    <w:p>
      <w:pPr>
        <w:jc w:val="both"/>
        <w:ind w:left="80" w:right="20"/>
        <w:spacing w:after="0" w:line="221" w:lineRule="auto"/>
        <w:rPr>
          <w:sz w:val="20"/>
          <w:szCs w:val="20"/>
          <w:color w:val="auto"/>
        </w:rPr>
      </w:pPr>
      <w:r>
        <w:rPr>
          <w:rFonts w:ascii="Times New Roman" w:cs="Times New Roman" w:eastAsia="Times New Roman" w:hAnsi="Times New Roman"/>
          <w:sz w:val="20"/>
          <w:szCs w:val="20"/>
          <w:color w:val="auto"/>
        </w:rPr>
        <w:t>because of the restrictions imposed by this Policy. Personal financial emergency or other personal circumstances are not mitigating factors under securities laws and will not excuse a failure to comply with this Policy.</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Qualys, Inc. – Insider Trading Policy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- 3 -</w:t>
            </w:r>
          </w:p>
        </w:tc>
      </w:tr>
    </w:tbl>
    <w:p>
      <w:pPr>
        <w:sectPr>
          <w:pgSz w:w="11900" w:h="16838" w:orient="portrait"/>
          <w:cols w:equalWidth="0" w:num="1">
            <w:col w:w="10800"/>
          </w:cols>
          <w:pgMar w:left="340" w:top="1440" w:right="759" w:bottom="1440" w:gutter="0" w:footer="0" w:header="0"/>
        </w:sectPr>
      </w:pPr>
    </w:p>
    <w:bookmarkStart w:id="106" w:name="page107"/>
    <w:bookmarkEnd w:id="106"/>
    <w:p>
      <w:pPr>
        <w:spacing w:after="0" w:line="3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b w:val="1"/>
          <w:bCs w:val="1"/>
          <w:color w:val="auto"/>
        </w:rPr>
        <w:t>MATERIAL NONPUBLIC INFORMATION</w:t>
      </w:r>
    </w:p>
    <w:p>
      <w:pPr>
        <w:spacing w:after="0" w:line="1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“Material” information</w:t>
      </w:r>
    </w:p>
    <w:p>
      <w:pPr>
        <w:spacing w:after="0" w:line="179" w:lineRule="exact"/>
        <w:rPr>
          <w:sz w:val="20"/>
          <w:szCs w:val="20"/>
          <w:color w:val="auto"/>
        </w:rPr>
      </w:pPr>
    </w:p>
    <w:p>
      <w:pPr>
        <w:ind w:left="80" w:firstLine="324"/>
        <w:spacing w:after="0" w:line="222" w:lineRule="auto"/>
        <w:rPr>
          <w:sz w:val="20"/>
          <w:szCs w:val="20"/>
          <w:color w:val="auto"/>
        </w:rPr>
      </w:pPr>
      <w:r>
        <w:rPr>
          <w:rFonts w:ascii="Times New Roman" w:cs="Times New Roman" w:eastAsia="Times New Roman" w:hAnsi="Times New Roman"/>
          <w:sz w:val="20"/>
          <w:szCs w:val="20"/>
          <w:color w:val="auto"/>
        </w:rPr>
        <w:t>Information should be regarded as material if there is a substantial likelihood that a reasonable investor would consider it important in deciding whether to buy, hold or sell securities or would view the information as significantly altering the total mix of</w:t>
      </w:r>
    </w:p>
    <w:p>
      <w:pPr>
        <w:spacing w:after="0" w:line="2" w:lineRule="exact"/>
        <w:rPr>
          <w:sz w:val="20"/>
          <w:szCs w:val="20"/>
          <w:color w:val="auto"/>
        </w:rPr>
      </w:pPr>
    </w:p>
    <w:p>
      <w:pPr>
        <w:ind w:left="80" w:right="20"/>
        <w:spacing w:after="0" w:line="221" w:lineRule="auto"/>
        <w:rPr>
          <w:sz w:val="20"/>
          <w:szCs w:val="20"/>
          <w:color w:val="auto"/>
        </w:rPr>
      </w:pPr>
      <w:r>
        <w:rPr>
          <w:rFonts w:ascii="Times New Roman" w:cs="Times New Roman" w:eastAsia="Times New Roman" w:hAnsi="Times New Roman"/>
          <w:sz w:val="20"/>
          <w:szCs w:val="20"/>
          <w:color w:val="auto"/>
        </w:rPr>
        <w:t>information in the marketplace about the issuer of the security. In general, any information that could reasonably be expected to affect the market price of a security is likely to be material. Either positive or negative information may be material.</w:t>
      </w:r>
    </w:p>
    <w:p>
      <w:pPr>
        <w:spacing w:after="0" w:line="162" w:lineRule="exact"/>
        <w:rPr>
          <w:sz w:val="20"/>
          <w:szCs w:val="20"/>
          <w:color w:val="auto"/>
        </w:rPr>
      </w:pPr>
    </w:p>
    <w:p>
      <w:pPr>
        <w:ind w:left="80" w:right="20" w:firstLine="324"/>
        <w:spacing w:after="0"/>
        <w:rPr>
          <w:sz w:val="20"/>
          <w:szCs w:val="20"/>
          <w:color w:val="auto"/>
        </w:rPr>
      </w:pPr>
      <w:r>
        <w:rPr>
          <w:rFonts w:ascii="Times New Roman" w:cs="Times New Roman" w:eastAsia="Times New Roman" w:hAnsi="Times New Roman"/>
          <w:sz w:val="20"/>
          <w:szCs w:val="20"/>
          <w:color w:val="auto"/>
        </w:rPr>
        <w:t>It is not possible to define all categories of “material” information. However, some examples of information that would often be regarded as material include information with respect to:</w:t>
      </w:r>
    </w:p>
    <w:p>
      <w:pPr>
        <w:spacing w:after="0" w:line="40" w:lineRule="exact"/>
        <w:rPr>
          <w:sz w:val="20"/>
          <w:szCs w:val="20"/>
          <w:color w:val="auto"/>
        </w:rPr>
      </w:pPr>
    </w:p>
    <w:p>
      <w:pPr>
        <w:ind w:left="1380" w:right="20" w:hanging="330"/>
        <w:spacing w:after="0"/>
        <w:tabs>
          <w:tab w:leader="none" w:pos="136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results, financial condition, earnings pre-announcements, guidance, projections or forecasts, particularly if inconsistent with the expectations of the investment community;</w:t>
      </w:r>
    </w:p>
    <w:p>
      <w:pPr>
        <w:spacing w:after="0" w:line="39" w:lineRule="exact"/>
        <w:rPr>
          <w:rFonts w:ascii="Times New Roman" w:cs="Times New Roman" w:eastAsia="Times New Roman" w:hAnsi="Times New Roman"/>
          <w:sz w:val="20"/>
          <w:szCs w:val="20"/>
          <w:color w:val="auto"/>
        </w:rPr>
      </w:pPr>
    </w:p>
    <w:p>
      <w:pPr>
        <w:ind w:left="1360" w:hanging="310"/>
        <w:spacing w:after="0"/>
        <w:tabs>
          <w:tab w:leader="none" w:pos="13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Restatements of financial results, or material impairments, write-offs or restructurings;</w:t>
      </w:r>
    </w:p>
    <w:p>
      <w:pPr>
        <w:spacing w:after="0" w:line="80" w:lineRule="exact"/>
        <w:rPr>
          <w:rFonts w:ascii="Times New Roman" w:cs="Times New Roman" w:eastAsia="Times New Roman" w:hAnsi="Times New Roman"/>
          <w:sz w:val="20"/>
          <w:szCs w:val="20"/>
          <w:color w:val="auto"/>
        </w:rPr>
      </w:pPr>
    </w:p>
    <w:p>
      <w:pPr>
        <w:ind w:left="1360" w:hanging="310"/>
        <w:spacing w:after="0"/>
        <w:tabs>
          <w:tab w:leader="none" w:pos="13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independent auditors, or notification that the Company may no longer rely on an audit report;</w:t>
      </w:r>
    </w:p>
    <w:p>
      <w:pPr>
        <w:spacing w:after="0" w:line="80" w:lineRule="exact"/>
        <w:rPr>
          <w:rFonts w:ascii="Times New Roman" w:cs="Times New Roman" w:eastAsia="Times New Roman" w:hAnsi="Times New Roman"/>
          <w:sz w:val="20"/>
          <w:szCs w:val="20"/>
          <w:color w:val="auto"/>
        </w:rPr>
      </w:pPr>
    </w:p>
    <w:p>
      <w:pPr>
        <w:ind w:left="1360" w:hanging="310"/>
        <w:spacing w:after="0"/>
        <w:tabs>
          <w:tab w:leader="none" w:pos="13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plans or budgets;</w:t>
      </w:r>
    </w:p>
    <w:p>
      <w:pPr>
        <w:spacing w:after="0" w:line="67" w:lineRule="exact"/>
        <w:rPr>
          <w:rFonts w:ascii="Times New Roman" w:cs="Times New Roman" w:eastAsia="Times New Roman" w:hAnsi="Times New Roman"/>
          <w:sz w:val="20"/>
          <w:szCs w:val="20"/>
          <w:color w:val="auto"/>
        </w:rPr>
      </w:pPr>
    </w:p>
    <w:p>
      <w:pPr>
        <w:ind w:left="1380" w:right="20" w:hanging="330"/>
        <w:spacing w:after="0"/>
        <w:tabs>
          <w:tab w:leader="none" w:pos="136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Creation of significant financial obligations, or any significant default under or acceleration of any financial obligation;</w:t>
      </w:r>
    </w:p>
    <w:p>
      <w:pPr>
        <w:spacing w:after="0" w:line="53" w:lineRule="exact"/>
        <w:rPr>
          <w:rFonts w:ascii="Times New Roman" w:cs="Times New Roman" w:eastAsia="Times New Roman" w:hAnsi="Times New Roman"/>
          <w:sz w:val="20"/>
          <w:szCs w:val="20"/>
          <w:color w:val="auto"/>
        </w:rPr>
      </w:pPr>
    </w:p>
    <w:p>
      <w:pPr>
        <w:ind w:left="1360" w:hanging="310"/>
        <w:spacing w:after="0"/>
        <w:tabs>
          <w:tab w:leader="none" w:pos="13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Impending bankruptcy or financial liquidity problems;</w:t>
      </w:r>
    </w:p>
    <w:p>
      <w:pPr>
        <w:spacing w:after="0" w:line="67" w:lineRule="exact"/>
        <w:rPr>
          <w:rFonts w:ascii="Times New Roman" w:cs="Times New Roman" w:eastAsia="Times New Roman" w:hAnsi="Times New Roman"/>
          <w:sz w:val="20"/>
          <w:szCs w:val="20"/>
          <w:color w:val="auto"/>
        </w:rPr>
      </w:pPr>
    </w:p>
    <w:p>
      <w:pPr>
        <w:ind w:left="1380" w:right="20" w:hanging="330"/>
        <w:spacing w:after="0"/>
        <w:tabs>
          <w:tab w:leader="none" w:pos="136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developments involving business relationships, including execution, modification or termination of significant agreements or orders with customers, suppliers, distributors, manufacturers or other business partners;</w:t>
      </w:r>
    </w:p>
    <w:p>
      <w:pPr>
        <w:spacing w:after="0" w:line="39" w:lineRule="exact"/>
        <w:rPr>
          <w:rFonts w:ascii="Times New Roman" w:cs="Times New Roman" w:eastAsia="Times New Roman" w:hAnsi="Times New Roman"/>
          <w:sz w:val="20"/>
          <w:szCs w:val="20"/>
          <w:color w:val="auto"/>
        </w:rPr>
      </w:pPr>
    </w:p>
    <w:p>
      <w:pPr>
        <w:ind w:left="1380" w:right="20" w:hanging="330"/>
        <w:spacing w:after="0"/>
        <w:tabs>
          <w:tab w:leader="none" w:pos="136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introductions, modifications, defects or recalls or significant pricing changes or other product announcements of a significant nature;</w:t>
      </w:r>
    </w:p>
    <w:p>
      <w:pPr>
        <w:spacing w:after="0" w:line="53" w:lineRule="exact"/>
        <w:rPr>
          <w:rFonts w:ascii="Times New Roman" w:cs="Times New Roman" w:eastAsia="Times New Roman" w:hAnsi="Times New Roman"/>
          <w:sz w:val="20"/>
          <w:szCs w:val="20"/>
          <w:color w:val="auto"/>
        </w:rPr>
      </w:pPr>
    </w:p>
    <w:p>
      <w:pPr>
        <w:ind w:left="1360" w:hanging="310"/>
        <w:spacing w:after="0"/>
        <w:tabs>
          <w:tab w:leader="none" w:pos="13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developments in research and development or relating to intellectual property;</w:t>
      </w:r>
    </w:p>
    <w:p>
      <w:pPr>
        <w:spacing w:after="0" w:line="67" w:lineRule="exact"/>
        <w:rPr>
          <w:rFonts w:ascii="Times New Roman" w:cs="Times New Roman" w:eastAsia="Times New Roman" w:hAnsi="Times New Roman"/>
          <w:sz w:val="20"/>
          <w:szCs w:val="20"/>
          <w:color w:val="auto"/>
        </w:rPr>
      </w:pPr>
    </w:p>
    <w:p>
      <w:pPr>
        <w:ind w:left="1360" w:hanging="310"/>
        <w:spacing w:after="0"/>
        <w:tabs>
          <w:tab w:leader="none" w:pos="13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legal or regulatory developments, whether actual or threatened;</w:t>
      </w:r>
    </w:p>
    <w:p>
      <w:pPr>
        <w:spacing w:after="0" w:line="80" w:lineRule="exact"/>
        <w:rPr>
          <w:rFonts w:ascii="Times New Roman" w:cs="Times New Roman" w:eastAsia="Times New Roman" w:hAnsi="Times New Roman"/>
          <w:sz w:val="20"/>
          <w:szCs w:val="20"/>
          <w:color w:val="auto"/>
        </w:rPr>
      </w:pPr>
    </w:p>
    <w:p>
      <w:pPr>
        <w:jc w:val="both"/>
        <w:ind w:left="1380" w:right="20" w:hanging="330"/>
        <w:spacing w:after="0" w:line="226" w:lineRule="auto"/>
        <w:tabs>
          <w:tab w:leader="none" w:pos="136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events involving the Company’s securities, including calls of securities for redemption, adoption of stock repurchase programs, option repricings, stock splits, changes in dividend policies, public or private securities offerings, modification to the rights of security holders or notice of delisting;</w:t>
      </w:r>
    </w:p>
    <w:p>
      <w:pPr>
        <w:spacing w:after="0" w:line="52" w:lineRule="exact"/>
        <w:rPr>
          <w:rFonts w:ascii="Times New Roman" w:cs="Times New Roman" w:eastAsia="Times New Roman" w:hAnsi="Times New Roman"/>
          <w:sz w:val="20"/>
          <w:szCs w:val="20"/>
          <w:color w:val="auto"/>
        </w:rPr>
      </w:pPr>
    </w:p>
    <w:p>
      <w:pPr>
        <w:ind w:left="1380" w:right="20" w:hanging="330"/>
        <w:spacing w:after="0" w:line="266" w:lineRule="auto"/>
        <w:tabs>
          <w:tab w:leader="none" w:pos="1368"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corporate events, such as a pending or proposed merger, joint venture or tender offer, a significant investment, the acquisition or disposition of a significant business or asset or a change in control of the company; and</w:t>
      </w:r>
    </w:p>
    <w:p>
      <w:pPr>
        <w:spacing w:after="0" w:line="15" w:lineRule="exact"/>
        <w:rPr>
          <w:rFonts w:ascii="Times New Roman" w:cs="Times New Roman" w:eastAsia="Times New Roman" w:hAnsi="Times New Roman"/>
          <w:sz w:val="19"/>
          <w:szCs w:val="19"/>
          <w:color w:val="auto"/>
        </w:rPr>
      </w:pPr>
    </w:p>
    <w:p>
      <w:pPr>
        <w:ind w:left="1360" w:hanging="310"/>
        <w:spacing w:after="0"/>
        <w:tabs>
          <w:tab w:leader="none" w:pos="13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personnel changes, such as changes in senior management or lay-offs.</w:t>
      </w:r>
    </w:p>
    <w:p>
      <w:pPr>
        <w:spacing w:after="0" w:line="189" w:lineRule="exact"/>
        <w:rPr>
          <w:sz w:val="20"/>
          <w:szCs w:val="20"/>
          <w:color w:val="auto"/>
        </w:rPr>
      </w:pPr>
    </w:p>
    <w:p>
      <w:pPr>
        <w:ind w:left="80" w:right="20" w:firstLine="324"/>
        <w:spacing w:after="0" w:line="215" w:lineRule="auto"/>
        <w:rPr>
          <w:sz w:val="20"/>
          <w:szCs w:val="20"/>
          <w:color w:val="auto"/>
        </w:rPr>
      </w:pPr>
      <w:r>
        <w:rPr>
          <w:rFonts w:ascii="Times New Roman" w:cs="Times New Roman" w:eastAsia="Times New Roman" w:hAnsi="Times New Roman"/>
          <w:sz w:val="20"/>
          <w:szCs w:val="20"/>
          <w:color w:val="auto"/>
        </w:rPr>
        <w:t>If you have any questions as to whether information should be considered “material”, you should consult with the General Counsel. In general, it is advisable to resolve any close questions as to the materiality of any information by assuming that the</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information is material.</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Qualys, Inc. – Insider Trading Policy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- 4 -</w:t>
            </w:r>
          </w:p>
        </w:tc>
      </w:tr>
    </w:tbl>
    <w:p>
      <w:pPr>
        <w:sectPr>
          <w:pgSz w:w="11900" w:h="16838" w:orient="portrait"/>
          <w:cols w:equalWidth="0" w:num="1">
            <w:col w:w="10800"/>
          </w:cols>
          <w:pgMar w:left="340" w:top="1440" w:right="759" w:bottom="1440" w:gutter="0" w:footer="0" w:header="0"/>
        </w:sectPr>
      </w:pPr>
    </w:p>
    <w:bookmarkStart w:id="107" w:name="page108"/>
    <w:bookmarkEnd w:id="107"/>
    <w:p>
      <w:pPr>
        <w:ind w:left="80"/>
        <w:spacing w:after="0"/>
        <w:rPr>
          <w:sz w:val="20"/>
          <w:szCs w:val="20"/>
          <w:color w:val="auto"/>
        </w:rPr>
      </w:pPr>
      <w:r>
        <w:rPr>
          <w:rFonts w:ascii="Times New Roman" w:cs="Times New Roman" w:eastAsia="Times New Roman" w:hAnsi="Times New Roman"/>
          <w:sz w:val="20"/>
          <w:szCs w:val="20"/>
          <w:b w:val="1"/>
          <w:bCs w:val="1"/>
          <w:color w:val="auto"/>
        </w:rPr>
        <w:t>“Nonpublic” information</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Information is considered nonpublic if the information has not been broadly disseminated to the public for a sufficient period to be</w:t>
      </w:r>
    </w:p>
    <w:p>
      <w:pPr>
        <w:spacing w:after="0" w:line="6" w:lineRule="exact"/>
        <w:rPr>
          <w:sz w:val="20"/>
          <w:szCs w:val="20"/>
          <w:color w:val="auto"/>
        </w:rPr>
      </w:pPr>
    </w:p>
    <w:p>
      <w:pPr>
        <w:jc w:val="both"/>
        <w:ind w:left="80"/>
        <w:spacing w:after="0" w:line="215" w:lineRule="auto"/>
        <w:rPr>
          <w:sz w:val="20"/>
          <w:szCs w:val="20"/>
          <w:color w:val="auto"/>
        </w:rPr>
      </w:pPr>
      <w:r>
        <w:rPr>
          <w:rFonts w:ascii="Times New Roman" w:cs="Times New Roman" w:eastAsia="Times New Roman" w:hAnsi="Times New Roman"/>
          <w:sz w:val="19"/>
          <w:szCs w:val="19"/>
          <w:color w:val="auto"/>
        </w:rPr>
        <w:t xml:space="preserve">reflected in the price of the security. As a general rule, information should be considered nonpublic until at least two </w:t>
      </w:r>
      <w:r>
        <w:rPr>
          <w:rFonts w:ascii="Times New Roman" w:cs="Times New Roman" w:eastAsia="Times New Roman" w:hAnsi="Times New Roman"/>
          <w:sz w:val="19"/>
          <w:szCs w:val="19"/>
          <w:b w:val="1"/>
          <w:bCs w:val="1"/>
          <w:i w:val="1"/>
          <w:iCs w:val="1"/>
          <w:color w:val="auto"/>
        </w:rPr>
        <w:t>full trading days</w:t>
      </w:r>
      <w:r>
        <w:rPr>
          <w:rFonts w:ascii="Times New Roman" w:cs="Times New Roman" w:eastAsia="Times New Roman" w:hAnsi="Times New Roman"/>
          <w:sz w:val="19"/>
          <w:szCs w:val="19"/>
          <w:color w:val="auto"/>
        </w:rPr>
        <w:t xml:space="preserve"> have elapsed after the information is broadly distributed to the public in a press release, a public filing with the SEC, a pre-announced</w:t>
      </w:r>
    </w:p>
    <w:p>
      <w:pPr>
        <w:ind w:left="80"/>
        <w:spacing w:after="0" w:line="211" w:lineRule="auto"/>
        <w:rPr>
          <w:sz w:val="20"/>
          <w:szCs w:val="20"/>
          <w:color w:val="auto"/>
        </w:rPr>
      </w:pPr>
      <w:r>
        <w:rPr>
          <w:rFonts w:ascii="Times New Roman" w:cs="Times New Roman" w:eastAsia="Times New Roman" w:hAnsi="Times New Roman"/>
          <w:sz w:val="20"/>
          <w:szCs w:val="20"/>
          <w:color w:val="auto"/>
        </w:rPr>
        <w:t>public webcast or another broad, non-exclusionary form of public communication. However, depending upon the form of the</w:t>
      </w:r>
    </w:p>
    <w:p>
      <w:pPr>
        <w:jc w:val="both"/>
        <w:ind w:left="80" w:right="20"/>
        <w:spacing w:after="0" w:line="221" w:lineRule="auto"/>
        <w:rPr>
          <w:sz w:val="20"/>
          <w:szCs w:val="20"/>
          <w:color w:val="auto"/>
        </w:rPr>
      </w:pPr>
      <w:r>
        <w:rPr>
          <w:rFonts w:ascii="Times New Roman" w:cs="Times New Roman" w:eastAsia="Times New Roman" w:hAnsi="Times New Roman"/>
          <w:sz w:val="20"/>
          <w:szCs w:val="20"/>
          <w:color w:val="auto"/>
        </w:rPr>
        <w:t>announcement and the nature of the information, it is possible that information may not be fully absorbed by the marketplace until a later time. Any questions as to whether information is nonpublic should be directed to the General Counsel.</w:t>
      </w:r>
    </w:p>
    <w:p>
      <w:pPr>
        <w:spacing w:after="0" w:line="158" w:lineRule="exact"/>
        <w:rPr>
          <w:sz w:val="20"/>
          <w:szCs w:val="20"/>
          <w:color w:val="auto"/>
        </w:rPr>
      </w:pPr>
    </w:p>
    <w:p>
      <w:pPr>
        <w:jc w:val="both"/>
        <w:ind w:left="80" w:firstLine="324"/>
        <w:spacing w:after="0" w:line="232" w:lineRule="auto"/>
        <w:rPr>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b w:val="1"/>
          <w:bCs w:val="1"/>
          <w:i w:val="1"/>
          <w:iCs w:val="1"/>
          <w:color w:val="auto"/>
        </w:rPr>
        <w:t>trading day</w:t>
      </w:r>
      <w:r>
        <w:rPr>
          <w:rFonts w:ascii="Times New Roman" w:cs="Times New Roman" w:eastAsia="Times New Roman" w:hAnsi="Times New Roman"/>
          <w:sz w:val="20"/>
          <w:szCs w:val="20"/>
          <w:color w:val="auto"/>
        </w:rPr>
        <w:t>” means a day on which national stock exchanges and the National Association of Securities Dealers, Inc. Automated Quotation System are open for trading. A “</w:t>
      </w:r>
      <w:r>
        <w:rPr>
          <w:rFonts w:ascii="Times New Roman" w:cs="Times New Roman" w:eastAsia="Times New Roman" w:hAnsi="Times New Roman"/>
          <w:sz w:val="20"/>
          <w:szCs w:val="20"/>
          <w:b w:val="1"/>
          <w:bCs w:val="1"/>
          <w:i w:val="1"/>
          <w:iCs w:val="1"/>
          <w:color w:val="auto"/>
        </w:rPr>
        <w:t>full</w:t>
      </w:r>
      <w:r>
        <w:rPr>
          <w:rFonts w:ascii="Times New Roman" w:cs="Times New Roman" w:eastAsia="Times New Roman" w:hAnsi="Times New Roman"/>
          <w:sz w:val="20"/>
          <w:szCs w:val="20"/>
          <w:color w:val="auto"/>
        </w:rPr>
        <w:t>” trading day has elapsed when, after the public disclosure, trading in the relevant security has opened and then closed.</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Qualys, Inc. – Insider Trading Policy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- 5 -</w:t>
            </w:r>
          </w:p>
        </w:tc>
      </w:tr>
    </w:tbl>
    <w:p>
      <w:pPr>
        <w:sectPr>
          <w:pgSz w:w="11900" w:h="16838" w:orient="portrait"/>
          <w:cols w:equalWidth="0" w:num="1">
            <w:col w:w="10800"/>
          </w:cols>
          <w:pgMar w:left="340" w:top="1274" w:right="759" w:bottom="1440" w:gutter="0" w:footer="0" w:header="0"/>
        </w:sectPr>
      </w:pPr>
    </w:p>
    <w:bookmarkStart w:id="108" w:name="page109"/>
    <w:bookmarkEnd w:id="108"/>
    <w:p>
      <w:pPr>
        <w:spacing w:after="0" w:line="37" w:lineRule="exact"/>
        <w:rPr>
          <w:sz w:val="20"/>
          <w:szCs w:val="20"/>
          <w:color w:val="auto"/>
        </w:rPr>
      </w:pPr>
    </w:p>
    <w:p>
      <w:pPr>
        <w:ind w:left="80" w:right="2140" w:firstLine="2479"/>
        <w:spacing w:after="0" w:line="431" w:lineRule="auto"/>
        <w:rPr>
          <w:sz w:val="20"/>
          <w:szCs w:val="20"/>
          <w:color w:val="auto"/>
        </w:rPr>
      </w:pPr>
      <w:r>
        <w:rPr>
          <w:rFonts w:ascii="Times New Roman" w:cs="Times New Roman" w:eastAsia="Times New Roman" w:hAnsi="Times New Roman"/>
          <w:sz w:val="20"/>
          <w:szCs w:val="20"/>
          <w:b w:val="1"/>
          <w:bCs w:val="1"/>
          <w:color w:val="auto"/>
        </w:rPr>
        <w:t>POLICIES REGARDING MATERIAL NONPUBLIC INFORMATION Confidentiality of nonpublic information</w:t>
      </w:r>
    </w:p>
    <w:p>
      <w:pPr>
        <w:spacing w:after="0" w:line="1" w:lineRule="exact"/>
        <w:rPr>
          <w:sz w:val="20"/>
          <w:szCs w:val="20"/>
          <w:color w:val="auto"/>
        </w:rPr>
      </w:pPr>
    </w:p>
    <w:p>
      <w:pPr>
        <w:jc w:val="both"/>
        <w:ind w:left="80" w:firstLine="324"/>
        <w:spacing w:after="0" w:line="234" w:lineRule="auto"/>
        <w:rPr>
          <w:sz w:val="20"/>
          <w:szCs w:val="20"/>
          <w:color w:val="auto"/>
        </w:rPr>
      </w:pPr>
      <w:r>
        <w:rPr>
          <w:rFonts w:ascii="Times New Roman" w:cs="Times New Roman" w:eastAsia="Times New Roman" w:hAnsi="Times New Roman"/>
          <w:sz w:val="19"/>
          <w:szCs w:val="19"/>
          <w:color w:val="auto"/>
        </w:rPr>
        <w:t>The unauthorized use or disclosure of nonpublic information relating to the Company or other companies is prohibited. All nonpublic information you acquire in the course of your service with the Company may only be used for legitimate Company business</w:t>
      </w:r>
    </w:p>
    <w:p>
      <w:pPr>
        <w:spacing w:after="0" w:line="1" w:lineRule="exact"/>
        <w:rPr>
          <w:sz w:val="20"/>
          <w:szCs w:val="20"/>
          <w:color w:val="auto"/>
        </w:rPr>
      </w:pPr>
    </w:p>
    <w:p>
      <w:pPr>
        <w:jc w:val="both"/>
        <w:ind w:left="80"/>
        <w:spacing w:after="0" w:line="221" w:lineRule="auto"/>
        <w:rPr>
          <w:sz w:val="20"/>
          <w:szCs w:val="20"/>
          <w:color w:val="auto"/>
        </w:rPr>
      </w:pPr>
      <w:r>
        <w:rPr>
          <w:rFonts w:ascii="Times New Roman" w:cs="Times New Roman" w:eastAsia="Times New Roman" w:hAnsi="Times New Roman"/>
          <w:sz w:val="20"/>
          <w:szCs w:val="20"/>
          <w:color w:val="auto"/>
        </w:rPr>
        <w:t>purposes. In addition, nonpublic information of others should be handled in accordance with the terms of any relevant nondisclosure agreements, and the use of any such nonpublic information should be limited to the purpose for which it was disclosed.</w:t>
      </w:r>
    </w:p>
    <w:p>
      <w:pPr>
        <w:spacing w:after="0" w:line="162" w:lineRule="exact"/>
        <w:rPr>
          <w:sz w:val="20"/>
          <w:szCs w:val="20"/>
          <w:color w:val="auto"/>
        </w:rPr>
      </w:pPr>
    </w:p>
    <w:p>
      <w:pPr>
        <w:jc w:val="both"/>
        <w:ind w:left="80" w:firstLine="324"/>
        <w:spacing w:after="0" w:line="215" w:lineRule="auto"/>
        <w:rPr>
          <w:sz w:val="20"/>
          <w:szCs w:val="20"/>
          <w:color w:val="auto"/>
        </w:rPr>
      </w:pPr>
      <w:r>
        <w:rPr>
          <w:rFonts w:ascii="Times New Roman" w:cs="Times New Roman" w:eastAsia="Times New Roman" w:hAnsi="Times New Roman"/>
          <w:sz w:val="20"/>
          <w:szCs w:val="20"/>
          <w:color w:val="auto"/>
        </w:rPr>
        <w:t>You must use all reasonable efforts to safeguard nonpublic information in the Company’s possession. You may not disclose nonpublic information about the Company or any other company, unless required by law, or unless (i) disclosure is required for</w:t>
      </w:r>
    </w:p>
    <w:p>
      <w:pPr>
        <w:ind w:left="80"/>
        <w:spacing w:after="0" w:line="224" w:lineRule="auto"/>
        <w:rPr>
          <w:sz w:val="20"/>
          <w:szCs w:val="20"/>
          <w:color w:val="auto"/>
        </w:rPr>
      </w:pPr>
      <w:r>
        <w:rPr>
          <w:rFonts w:ascii="Times New Roman" w:cs="Times New Roman" w:eastAsia="Times New Roman" w:hAnsi="Times New Roman"/>
          <w:sz w:val="19"/>
          <w:szCs w:val="19"/>
          <w:color w:val="auto"/>
        </w:rPr>
        <w:t>legitimate Company business purposes, (ii) you are authorized to disclose the information and (iii) appropriate steps have been taken to</w:t>
      </w:r>
    </w:p>
    <w:p>
      <w:pPr>
        <w:jc w:val="both"/>
        <w:ind w:left="80"/>
        <w:spacing w:after="0" w:line="204" w:lineRule="auto"/>
        <w:rPr>
          <w:sz w:val="20"/>
          <w:szCs w:val="20"/>
          <w:color w:val="auto"/>
        </w:rPr>
      </w:pPr>
      <w:r>
        <w:rPr>
          <w:rFonts w:ascii="Times New Roman" w:cs="Times New Roman" w:eastAsia="Times New Roman" w:hAnsi="Times New Roman"/>
          <w:sz w:val="20"/>
          <w:szCs w:val="20"/>
          <w:color w:val="auto"/>
        </w:rPr>
        <w:t>prevent misuse of that information (including entering an appropriate nondisclosure agreement that restricts the disclosure and use of the information, if applicable). This restriction also applies to internal communications within the Company and to communications</w:t>
      </w:r>
    </w:p>
    <w:p>
      <w:pPr>
        <w:spacing w:after="0" w:line="1" w:lineRule="exact"/>
        <w:rPr>
          <w:sz w:val="20"/>
          <w:szCs w:val="20"/>
          <w:color w:val="auto"/>
        </w:rPr>
      </w:pPr>
    </w:p>
    <w:p>
      <w:pPr>
        <w:jc w:val="both"/>
        <w:ind w:left="80" w:right="20"/>
        <w:spacing w:after="0" w:line="228" w:lineRule="auto"/>
        <w:rPr>
          <w:sz w:val="20"/>
          <w:szCs w:val="20"/>
          <w:color w:val="auto"/>
        </w:rPr>
      </w:pPr>
      <w:r>
        <w:rPr>
          <w:rFonts w:ascii="Times New Roman" w:cs="Times New Roman" w:eastAsia="Times New Roman" w:hAnsi="Times New Roman"/>
          <w:sz w:val="20"/>
          <w:szCs w:val="20"/>
          <w:color w:val="auto"/>
        </w:rPr>
        <w:t>with advisors of the Company. In cases where disclosing nonpublic information to third parties is required, you should coordinate with the Legal Department.</w:t>
      </w:r>
    </w:p>
    <w:p>
      <w:pPr>
        <w:spacing w:after="0" w:line="162" w:lineRule="exact"/>
        <w:rPr>
          <w:sz w:val="20"/>
          <w:szCs w:val="20"/>
          <w:color w:val="auto"/>
        </w:rPr>
      </w:pPr>
    </w:p>
    <w:p>
      <w:pPr>
        <w:jc w:val="both"/>
        <w:ind w:left="80" w:right="20" w:firstLine="324"/>
        <w:spacing w:after="0" w:line="233" w:lineRule="auto"/>
        <w:rPr>
          <w:sz w:val="20"/>
          <w:szCs w:val="20"/>
          <w:color w:val="auto"/>
        </w:rPr>
      </w:pPr>
      <w:r>
        <w:rPr>
          <w:rFonts w:ascii="Times New Roman" w:cs="Times New Roman" w:eastAsia="Times New Roman" w:hAnsi="Times New Roman"/>
          <w:sz w:val="20"/>
          <w:szCs w:val="20"/>
          <w:color w:val="auto"/>
        </w:rPr>
        <w:t>All directors, officers, employees and advisors of the Company are required to sign and comply with an At Will Employment, Confidential Information, Invention Assignment, and Arbitration Agreement.</w:t>
      </w:r>
    </w:p>
    <w:p>
      <w:pPr>
        <w:spacing w:after="0" w:line="15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No trading on material nonpublic information</w:t>
      </w:r>
    </w:p>
    <w:p>
      <w:pPr>
        <w:spacing w:after="0" w:line="175" w:lineRule="exact"/>
        <w:rPr>
          <w:sz w:val="20"/>
          <w:szCs w:val="20"/>
          <w:color w:val="auto"/>
        </w:rPr>
      </w:pPr>
    </w:p>
    <w:p>
      <w:pPr>
        <w:jc w:val="both"/>
        <w:ind w:left="80" w:right="20" w:firstLine="324"/>
        <w:spacing w:after="0" w:line="232" w:lineRule="auto"/>
        <w:rPr>
          <w:sz w:val="20"/>
          <w:szCs w:val="20"/>
          <w:color w:val="auto"/>
        </w:rPr>
      </w:pPr>
      <w:r>
        <w:rPr>
          <w:rFonts w:ascii="Times New Roman" w:cs="Times New Roman" w:eastAsia="Times New Roman" w:hAnsi="Times New Roman"/>
          <w:sz w:val="20"/>
          <w:szCs w:val="20"/>
          <w:color w:val="auto"/>
        </w:rPr>
        <w:t>Except as discussed in the section entitled “</w:t>
      </w:r>
      <w:r>
        <w:rPr>
          <w:rFonts w:ascii="Times New Roman" w:cs="Times New Roman" w:eastAsia="Times New Roman" w:hAnsi="Times New Roman"/>
          <w:sz w:val="20"/>
          <w:szCs w:val="20"/>
          <w:b w:val="1"/>
          <w:bCs w:val="1"/>
          <w:color w:val="auto"/>
        </w:rPr>
        <w:t>Limited Exceptions</w:t>
      </w:r>
      <w:r>
        <w:rPr>
          <w:rFonts w:ascii="Times New Roman" w:cs="Times New Roman" w:eastAsia="Times New Roman" w:hAnsi="Times New Roman"/>
          <w:sz w:val="20"/>
          <w:szCs w:val="20"/>
          <w:color w:val="auto"/>
        </w:rPr>
        <w:t xml:space="preserve">”, you may not, directly or indirectly through others, engage in any transaction involving the Company’s securities </w:t>
      </w:r>
      <w:r>
        <w:rPr>
          <w:rFonts w:ascii="Times New Roman" w:cs="Times New Roman" w:eastAsia="Times New Roman" w:hAnsi="Times New Roman"/>
          <w:sz w:val="20"/>
          <w:szCs w:val="20"/>
          <w:i w:val="1"/>
          <w:iCs w:val="1"/>
          <w:color w:val="auto"/>
        </w:rPr>
        <w:t>while aware of</w:t>
      </w:r>
      <w:r>
        <w:rPr>
          <w:rFonts w:ascii="Times New Roman" w:cs="Times New Roman" w:eastAsia="Times New Roman" w:hAnsi="Times New Roman"/>
          <w:sz w:val="20"/>
          <w:szCs w:val="20"/>
          <w:color w:val="auto"/>
        </w:rPr>
        <w:t xml:space="preserve"> material nonpublic information relating to the Company. It is not an excuse that you did not “use” the information in your transaction.</w:t>
      </w:r>
    </w:p>
    <w:p>
      <w:pPr>
        <w:spacing w:after="0" w:line="147" w:lineRule="exact"/>
        <w:rPr>
          <w:sz w:val="20"/>
          <w:szCs w:val="20"/>
          <w:color w:val="auto"/>
        </w:rPr>
      </w:pPr>
    </w:p>
    <w:p>
      <w:pPr>
        <w:jc w:val="both"/>
        <w:ind w:left="80" w:firstLine="324"/>
        <w:spacing w:after="0" w:line="234" w:lineRule="auto"/>
        <w:rPr>
          <w:sz w:val="20"/>
          <w:szCs w:val="20"/>
          <w:color w:val="auto"/>
        </w:rPr>
      </w:pPr>
      <w:r>
        <w:rPr>
          <w:rFonts w:ascii="Times New Roman" w:cs="Times New Roman" w:eastAsia="Times New Roman" w:hAnsi="Times New Roman"/>
          <w:sz w:val="19"/>
          <w:szCs w:val="19"/>
          <w:color w:val="auto"/>
        </w:rPr>
        <w:t>Similarly, you may not engage in transactions involving the securities of any other company if you are aware of material nonpublic information about that company (except to the extent the transactions are analogous to those presented in the section entitled “</w:t>
      </w:r>
      <w:r>
        <w:rPr>
          <w:rFonts w:ascii="Times New Roman" w:cs="Times New Roman" w:eastAsia="Times New Roman" w:hAnsi="Times New Roman"/>
          <w:sz w:val="19"/>
          <w:szCs w:val="19"/>
          <w:b w:val="1"/>
          <w:bCs w:val="1"/>
          <w:color w:val="auto"/>
        </w:rPr>
        <w:t>Limited</w:t>
      </w:r>
    </w:p>
    <w:p>
      <w:pPr>
        <w:spacing w:after="0" w:line="1" w:lineRule="exact"/>
        <w:rPr>
          <w:sz w:val="20"/>
          <w:szCs w:val="20"/>
          <w:color w:val="auto"/>
        </w:rPr>
      </w:pPr>
    </w:p>
    <w:p>
      <w:pPr>
        <w:jc w:val="both"/>
        <w:ind w:left="80" w:right="20"/>
        <w:spacing w:after="0" w:line="215" w:lineRule="auto"/>
        <w:rPr>
          <w:sz w:val="20"/>
          <w:szCs w:val="20"/>
          <w:color w:val="auto"/>
        </w:rPr>
      </w:pPr>
      <w:r>
        <w:rPr>
          <w:rFonts w:ascii="Times New Roman" w:cs="Times New Roman" w:eastAsia="Times New Roman" w:hAnsi="Times New Roman"/>
          <w:sz w:val="19"/>
          <w:szCs w:val="19"/>
          <w:b w:val="1"/>
          <w:bCs w:val="1"/>
          <w:color w:val="auto"/>
        </w:rPr>
        <w:t>Exceptions</w:t>
      </w:r>
      <w:r>
        <w:rPr>
          <w:rFonts w:ascii="Times New Roman" w:cs="Times New Roman" w:eastAsia="Times New Roman" w:hAnsi="Times New Roman"/>
          <w:sz w:val="19"/>
          <w:szCs w:val="19"/>
          <w:color w:val="auto"/>
        </w:rPr>
        <w:t>”). For example, you may be involved in a proposed transaction involving a prospective business relationship or transaction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 another company. If information about that transaction constitutes material nonpublic information for that other company, you</w:t>
      </w:r>
    </w:p>
    <w:p>
      <w:pPr>
        <w:ind w:left="80"/>
        <w:spacing w:after="0" w:line="211" w:lineRule="auto"/>
        <w:rPr>
          <w:sz w:val="20"/>
          <w:szCs w:val="20"/>
          <w:color w:val="auto"/>
        </w:rPr>
      </w:pPr>
      <w:r>
        <w:rPr>
          <w:rFonts w:ascii="Times New Roman" w:cs="Times New Roman" w:eastAsia="Times New Roman" w:hAnsi="Times New Roman"/>
          <w:sz w:val="20"/>
          <w:szCs w:val="20"/>
          <w:color w:val="auto"/>
        </w:rPr>
        <w:t>would be prohibited from engaging in transactions involving the securities of that other company (as well as transactions involving</w:t>
      </w:r>
    </w:p>
    <w:p>
      <w:pPr>
        <w:jc w:val="both"/>
        <w:ind w:left="80" w:right="20"/>
        <w:spacing w:after="0" w:line="215" w:lineRule="auto"/>
        <w:rPr>
          <w:sz w:val="20"/>
          <w:szCs w:val="20"/>
          <w:color w:val="auto"/>
        </w:rPr>
      </w:pPr>
      <w:r>
        <w:rPr>
          <w:rFonts w:ascii="Times New Roman" w:cs="Times New Roman" w:eastAsia="Times New Roman" w:hAnsi="Times New Roman"/>
          <w:sz w:val="19"/>
          <w:szCs w:val="19"/>
          <w:color w:val="auto"/>
        </w:rPr>
        <w:t>Company securities, if that information is material to the Company). It is important to note that “materiality” is different for different companies. Information that is not material to the Company may be material to another company. You should note that the Company’s</w:t>
      </w:r>
    </w:p>
    <w:p>
      <w:pPr>
        <w:jc w:val="both"/>
        <w:ind w:left="80"/>
        <w:spacing w:after="0" w:line="228" w:lineRule="auto"/>
        <w:rPr>
          <w:sz w:val="20"/>
          <w:szCs w:val="20"/>
          <w:color w:val="auto"/>
        </w:rPr>
      </w:pPr>
      <w:r>
        <w:rPr>
          <w:rFonts w:ascii="Times New Roman" w:cs="Times New Roman" w:eastAsia="Times New Roman" w:hAnsi="Times New Roman"/>
          <w:sz w:val="20"/>
          <w:szCs w:val="20"/>
          <w:color w:val="auto"/>
        </w:rPr>
        <w:t>Code of Business Conduct and Ethics prohibits you from acquiring financial investments in other companies if your ownership would constitute a conflict of interests.</w:t>
      </w:r>
    </w:p>
    <w:p>
      <w:pPr>
        <w:spacing w:after="0" w:line="14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No disclosing material nonpublic information for the benefit of others</w:t>
      </w:r>
    </w:p>
    <w:p>
      <w:pPr>
        <w:spacing w:after="0" w:line="1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You may not disclose material nonpublic information concerning the Company or any other company to friends, family members</w:t>
      </w:r>
    </w:p>
    <w:p>
      <w:pPr>
        <w:jc w:val="both"/>
        <w:ind w:left="80" w:right="20"/>
        <w:spacing w:after="0" w:line="204" w:lineRule="auto"/>
        <w:rPr>
          <w:sz w:val="20"/>
          <w:szCs w:val="20"/>
          <w:color w:val="auto"/>
        </w:rPr>
      </w:pPr>
      <w:r>
        <w:rPr>
          <w:rFonts w:ascii="Times New Roman" w:cs="Times New Roman" w:eastAsia="Times New Roman" w:hAnsi="Times New Roman"/>
          <w:sz w:val="20"/>
          <w:szCs w:val="20"/>
          <w:color w:val="auto"/>
        </w:rPr>
        <w:t>or any other person or entity not authorized to receive such information where such person or entity may benefit by trading on the basis of such information. In addition, you may not make recommendations or express opinions on the basis of material nonpublic</w:t>
      </w:r>
    </w:p>
    <w:p>
      <w:pPr>
        <w:spacing w:after="0" w:line="1" w:lineRule="exact"/>
        <w:rPr>
          <w:sz w:val="20"/>
          <w:szCs w:val="20"/>
          <w:color w:val="auto"/>
        </w:rPr>
      </w:pPr>
    </w:p>
    <w:p>
      <w:pPr>
        <w:jc w:val="both"/>
        <w:ind w:left="80" w:right="20"/>
        <w:spacing w:after="0" w:line="228" w:lineRule="auto"/>
        <w:rPr>
          <w:sz w:val="20"/>
          <w:szCs w:val="20"/>
          <w:color w:val="auto"/>
        </w:rPr>
      </w:pPr>
      <w:r>
        <w:rPr>
          <w:rFonts w:ascii="Times New Roman" w:cs="Times New Roman" w:eastAsia="Times New Roman" w:hAnsi="Times New Roman"/>
          <w:sz w:val="20"/>
          <w:szCs w:val="20"/>
          <w:color w:val="auto"/>
        </w:rPr>
        <w:t>information as to trading in the securities of companies to which such information relates. You are prohibited from engaging in these actions whether or not you derive any profit or personal benefit from doing so.</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Qualys, Inc. – Insider Trading Policy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- 6 -</w:t>
            </w:r>
          </w:p>
        </w:tc>
      </w:tr>
    </w:tbl>
    <w:p>
      <w:pPr>
        <w:sectPr>
          <w:pgSz w:w="11900" w:h="16838" w:orient="portrait"/>
          <w:cols w:equalWidth="0" w:num="1">
            <w:col w:w="10800"/>
          </w:cols>
          <w:pgMar w:left="340" w:top="1440" w:right="759" w:bottom="1440" w:gutter="0" w:footer="0" w:header="0"/>
        </w:sectPr>
      </w:pPr>
    </w:p>
    <w:bookmarkStart w:id="109" w:name="page110"/>
    <w:bookmarkEnd w:id="109"/>
    <w:p>
      <w:pPr>
        <w:ind w:left="80"/>
        <w:spacing w:after="0"/>
        <w:rPr>
          <w:sz w:val="20"/>
          <w:szCs w:val="20"/>
          <w:color w:val="auto"/>
        </w:rPr>
      </w:pPr>
      <w:r>
        <w:rPr>
          <w:rFonts w:ascii="Times New Roman" w:cs="Times New Roman" w:eastAsia="Times New Roman" w:hAnsi="Times New Roman"/>
          <w:sz w:val="20"/>
          <w:szCs w:val="20"/>
          <w:b w:val="1"/>
          <w:bCs w:val="1"/>
          <w:color w:val="auto"/>
        </w:rPr>
        <w:t>Obligation to disclose material nonpublic information to the Company</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You may not enter into any transaction, including those discussed in the section entitled “</w:t>
      </w:r>
      <w:r>
        <w:rPr>
          <w:rFonts w:ascii="Times New Roman" w:cs="Times New Roman" w:eastAsia="Times New Roman" w:hAnsi="Times New Roman"/>
          <w:sz w:val="20"/>
          <w:szCs w:val="20"/>
          <w:b w:val="1"/>
          <w:bCs w:val="1"/>
          <w:color w:val="auto"/>
        </w:rPr>
        <w:t>Limited Exceptions</w:t>
      </w:r>
      <w:r>
        <w:rPr>
          <w:rFonts w:ascii="Times New Roman" w:cs="Times New Roman" w:eastAsia="Times New Roman" w:hAnsi="Times New Roman"/>
          <w:sz w:val="20"/>
          <w:szCs w:val="20"/>
          <w:color w:val="auto"/>
        </w:rPr>
        <w:t>”, unless you have</w:t>
      </w:r>
    </w:p>
    <w:p>
      <w:pPr>
        <w:ind w:left="80"/>
        <w:spacing w:after="0" w:line="204" w:lineRule="auto"/>
        <w:rPr>
          <w:sz w:val="20"/>
          <w:szCs w:val="20"/>
          <w:color w:val="auto"/>
        </w:rPr>
      </w:pPr>
      <w:r>
        <w:rPr>
          <w:rFonts w:ascii="Times New Roman" w:cs="Times New Roman" w:eastAsia="Times New Roman" w:hAnsi="Times New Roman"/>
          <w:sz w:val="20"/>
          <w:szCs w:val="20"/>
          <w:color w:val="auto"/>
        </w:rPr>
        <w:t>disclosed any material nonpublic information that you become aware of in the course of your service with the Company, and that senior management is not aware of, to the General Counsel. If you are a member of senior management, the information must be</w:t>
      </w:r>
    </w:p>
    <w:p>
      <w:pPr>
        <w:spacing w:after="0" w:line="1" w:lineRule="exact"/>
        <w:rPr>
          <w:sz w:val="20"/>
          <w:szCs w:val="20"/>
          <w:color w:val="auto"/>
        </w:rPr>
      </w:pPr>
    </w:p>
    <w:p>
      <w:pPr>
        <w:ind w:left="80" w:right="20"/>
        <w:spacing w:after="0" w:line="228" w:lineRule="auto"/>
        <w:rPr>
          <w:sz w:val="20"/>
          <w:szCs w:val="20"/>
          <w:color w:val="auto"/>
        </w:rPr>
      </w:pPr>
      <w:r>
        <w:rPr>
          <w:rFonts w:ascii="Times New Roman" w:cs="Times New Roman" w:eastAsia="Times New Roman" w:hAnsi="Times New Roman"/>
          <w:sz w:val="20"/>
          <w:szCs w:val="20"/>
          <w:color w:val="auto"/>
        </w:rPr>
        <w:t>disclosed to the Chief Executive Officer, and if you are the Chief Executive Officer or a director, you must disclose the information to the board of directors, before any transaction is permissible.</w:t>
      </w:r>
    </w:p>
    <w:p>
      <w:pPr>
        <w:spacing w:after="0" w:line="1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Responding to outside inquiries for information</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In the event you receive an inquiry from someone outside of the Company, such as a stock analyst, for information, you should</w:t>
      </w:r>
    </w:p>
    <w:p>
      <w:pPr>
        <w:ind w:left="80" w:right="20"/>
        <w:spacing w:after="0" w:line="204" w:lineRule="auto"/>
        <w:rPr>
          <w:sz w:val="20"/>
          <w:szCs w:val="20"/>
          <w:color w:val="auto"/>
        </w:rPr>
      </w:pPr>
      <w:r>
        <w:rPr>
          <w:rFonts w:ascii="Times New Roman" w:cs="Times New Roman" w:eastAsia="Times New Roman" w:hAnsi="Times New Roman"/>
          <w:sz w:val="20"/>
          <w:szCs w:val="20"/>
          <w:color w:val="auto"/>
        </w:rPr>
        <w:t>refer the inquiry to the Chief Financial Officer. The Company is required under Regulation FD (Fair Disclosure) of the U.S. federal securities laws to avoid the selective disclosure of material nonpublic information. In general, the regulation provides that when a</w:t>
      </w:r>
    </w:p>
    <w:p>
      <w:pPr>
        <w:ind w:left="80"/>
        <w:spacing w:after="0" w:line="211" w:lineRule="auto"/>
        <w:rPr>
          <w:sz w:val="20"/>
          <w:szCs w:val="20"/>
          <w:color w:val="auto"/>
        </w:rPr>
      </w:pPr>
      <w:r>
        <w:rPr>
          <w:rFonts w:ascii="Times New Roman" w:cs="Times New Roman" w:eastAsia="Times New Roman" w:hAnsi="Times New Roman"/>
          <w:sz w:val="20"/>
          <w:szCs w:val="20"/>
          <w:color w:val="auto"/>
        </w:rPr>
        <w:t>public company discloses material nonpublic information, it must provide broad, non-exclusionary access to the information.</w:t>
      </w:r>
    </w:p>
    <w:p>
      <w:pPr>
        <w:spacing w:after="0" w:line="1" w:lineRule="exact"/>
        <w:rPr>
          <w:sz w:val="20"/>
          <w:szCs w:val="20"/>
          <w:color w:val="auto"/>
        </w:rPr>
      </w:pPr>
    </w:p>
    <w:p>
      <w:pPr>
        <w:ind w:left="80" w:right="20"/>
        <w:spacing w:after="0" w:line="204" w:lineRule="auto"/>
        <w:rPr>
          <w:sz w:val="20"/>
          <w:szCs w:val="20"/>
          <w:color w:val="auto"/>
        </w:rPr>
      </w:pPr>
      <w:r>
        <w:rPr>
          <w:rFonts w:ascii="Times New Roman" w:cs="Times New Roman" w:eastAsia="Times New Roman" w:hAnsi="Times New Roman"/>
          <w:sz w:val="20"/>
          <w:szCs w:val="20"/>
          <w:color w:val="auto"/>
        </w:rPr>
        <w:t>Violations of this regulation can subject the company to SEC enforcement actions, which may result in injunctions and severe monetary penalties. The Company has established procedures for releasing material information in a manner that is designed to</w:t>
      </w:r>
    </w:p>
    <w:p>
      <w:pPr>
        <w:spacing w:after="0" w:line="1" w:lineRule="exact"/>
        <w:rPr>
          <w:sz w:val="20"/>
          <w:szCs w:val="20"/>
          <w:color w:val="auto"/>
        </w:rPr>
      </w:pPr>
    </w:p>
    <w:p>
      <w:pPr>
        <w:ind w:left="80"/>
        <w:spacing w:after="0" w:line="228" w:lineRule="auto"/>
        <w:rPr>
          <w:sz w:val="20"/>
          <w:szCs w:val="20"/>
          <w:color w:val="auto"/>
        </w:rPr>
      </w:pPr>
      <w:r>
        <w:rPr>
          <w:rFonts w:ascii="Times New Roman" w:cs="Times New Roman" w:eastAsia="Times New Roman" w:hAnsi="Times New Roman"/>
          <w:sz w:val="20"/>
          <w:szCs w:val="20"/>
          <w:color w:val="auto"/>
        </w:rPr>
        <w:t>achieve broad public dissemination of the information immediately upon its release in compliance with applicable law. Please consult the Company’s External Communications Policy for more details.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Qualys, Inc. – Insider Trading Policy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- 7 -</w:t>
            </w:r>
          </w:p>
        </w:tc>
      </w:tr>
    </w:tbl>
    <w:p>
      <w:pPr>
        <w:sectPr>
          <w:pgSz w:w="11900" w:h="16838" w:orient="portrait"/>
          <w:cols w:equalWidth="0" w:num="1">
            <w:col w:w="10800"/>
          </w:cols>
          <w:pgMar w:left="340" w:top="1274" w:right="759" w:bottom="1440" w:gutter="0" w:footer="0" w:header="0"/>
        </w:sectPr>
      </w:pPr>
    </w:p>
    <w:bookmarkStart w:id="110" w:name="page111"/>
    <w:bookmarkEnd w:id="110"/>
    <w:p>
      <w:pPr>
        <w:spacing w:after="0" w:line="3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0"/>
          <w:szCs w:val="20"/>
          <w:b w:val="1"/>
          <w:bCs w:val="1"/>
          <w:color w:val="auto"/>
        </w:rPr>
        <w:t>TRADING BLACKOUT PERIODS</w:t>
      </w:r>
    </w:p>
    <w:p>
      <w:pPr>
        <w:spacing w:after="0" w:line="193" w:lineRule="exact"/>
        <w:rPr>
          <w:sz w:val="20"/>
          <w:szCs w:val="20"/>
          <w:color w:val="auto"/>
        </w:rPr>
      </w:pPr>
    </w:p>
    <w:p>
      <w:pPr>
        <w:jc w:val="both"/>
        <w:ind w:left="80" w:firstLine="324"/>
        <w:spacing w:after="0" w:line="215" w:lineRule="auto"/>
        <w:rPr>
          <w:sz w:val="20"/>
          <w:szCs w:val="20"/>
          <w:color w:val="auto"/>
        </w:rPr>
      </w:pPr>
      <w:r>
        <w:rPr>
          <w:rFonts w:ascii="Times New Roman" w:cs="Times New Roman" w:eastAsia="Times New Roman" w:hAnsi="Times New Roman"/>
          <w:sz w:val="20"/>
          <w:szCs w:val="20"/>
          <w:color w:val="auto"/>
        </w:rPr>
        <w:t>To limit the likelihood of trading at times when there is a significant risk of insider trading exposure, the Company has instituted quarterly trading blackout periods and may institute special trading blackout periods from time to time. In addition, to comply with</w:t>
      </w:r>
    </w:p>
    <w:p>
      <w:pPr>
        <w:spacing w:after="0" w:line="1" w:lineRule="exact"/>
        <w:rPr>
          <w:sz w:val="20"/>
          <w:szCs w:val="20"/>
          <w:color w:val="auto"/>
        </w:rPr>
      </w:pPr>
    </w:p>
    <w:p>
      <w:pPr>
        <w:jc w:val="both"/>
        <w:ind w:left="80" w:right="20"/>
        <w:spacing w:after="0" w:line="228" w:lineRule="auto"/>
        <w:rPr>
          <w:sz w:val="20"/>
          <w:szCs w:val="20"/>
          <w:color w:val="auto"/>
        </w:rPr>
      </w:pPr>
      <w:r>
        <w:rPr>
          <w:rFonts w:ascii="Times New Roman" w:cs="Times New Roman" w:eastAsia="Times New Roman" w:hAnsi="Times New Roman"/>
          <w:sz w:val="20"/>
          <w:szCs w:val="20"/>
          <w:color w:val="auto"/>
        </w:rPr>
        <w:t>applicable legal requirements, the Company may also institute blackout periods that prevent directors and officers from trading in Company securities at a time when employees are prevented from trading Company securities in the Company’s 401(k) plan.</w:t>
      </w:r>
    </w:p>
    <w:p>
      <w:pPr>
        <w:spacing w:after="0" w:line="149" w:lineRule="exact"/>
        <w:rPr>
          <w:sz w:val="20"/>
          <w:szCs w:val="20"/>
          <w:color w:val="auto"/>
        </w:rPr>
      </w:pPr>
    </w:p>
    <w:p>
      <w:pPr>
        <w:jc w:val="both"/>
        <w:ind w:left="80" w:right="20" w:firstLine="324"/>
        <w:spacing w:after="0"/>
        <w:rPr>
          <w:sz w:val="20"/>
          <w:szCs w:val="20"/>
          <w:color w:val="auto"/>
        </w:rPr>
      </w:pPr>
      <w:r>
        <w:rPr>
          <w:rFonts w:ascii="Times New Roman" w:cs="Times New Roman" w:eastAsia="Times New Roman" w:hAnsi="Times New Roman"/>
          <w:sz w:val="20"/>
          <w:szCs w:val="20"/>
          <w:color w:val="auto"/>
        </w:rPr>
        <w:t>It is important to note that whether or not you are subject to blackout periods, you remain subject to the prohibitions on trading on the basis of material nonpublic information and any other applicable restrictions in this Policy.</w:t>
      </w:r>
    </w:p>
    <w:p>
      <w:pPr>
        <w:spacing w:after="0" w:line="15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Quarterly blackout periods</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Except as discussed in the section entitled “</w:t>
      </w:r>
      <w:r>
        <w:rPr>
          <w:rFonts w:ascii="Times New Roman" w:cs="Times New Roman" w:eastAsia="Times New Roman" w:hAnsi="Times New Roman"/>
          <w:sz w:val="20"/>
          <w:szCs w:val="20"/>
          <w:b w:val="1"/>
          <w:bCs w:val="1"/>
          <w:color w:val="auto"/>
        </w:rPr>
        <w:t>Limited Exceptions</w:t>
      </w:r>
      <w:r>
        <w:rPr>
          <w:rFonts w:ascii="Times New Roman" w:cs="Times New Roman" w:eastAsia="Times New Roman" w:hAnsi="Times New Roman"/>
          <w:sz w:val="20"/>
          <w:szCs w:val="20"/>
          <w:color w:val="auto"/>
        </w:rPr>
        <w:t>”, directors, executive officers and other employees and advisors</w:t>
      </w:r>
    </w:p>
    <w:p>
      <w:pPr>
        <w:jc w:val="both"/>
        <w:ind w:left="80"/>
        <w:spacing w:after="0" w:line="204" w:lineRule="auto"/>
        <w:rPr>
          <w:sz w:val="20"/>
          <w:szCs w:val="20"/>
          <w:color w:val="auto"/>
        </w:rPr>
      </w:pPr>
      <w:r>
        <w:rPr>
          <w:rFonts w:ascii="Times New Roman" w:cs="Times New Roman" w:eastAsia="Times New Roman" w:hAnsi="Times New Roman"/>
          <w:sz w:val="20"/>
          <w:szCs w:val="20"/>
          <w:color w:val="auto"/>
        </w:rPr>
        <w:t>identified by the Company must refrain from conducting transactions involving the Company’s securities during quarterly blackout periods. Even if you are not specifically identified as being subject to quarterly blackout periods, you should exercise caution when</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engaging in transactions during quarterly blackout periods because of the heightened risk of insider trading exposure.</w:t>
      </w:r>
    </w:p>
    <w:p>
      <w:pPr>
        <w:spacing w:after="0" w:line="167" w:lineRule="exact"/>
        <w:rPr>
          <w:sz w:val="20"/>
          <w:szCs w:val="20"/>
          <w:color w:val="auto"/>
        </w:rPr>
      </w:pPr>
    </w:p>
    <w:p>
      <w:pPr>
        <w:jc w:val="both"/>
        <w:ind w:left="80" w:firstLine="324"/>
        <w:spacing w:after="0" w:line="215" w:lineRule="auto"/>
        <w:rPr>
          <w:sz w:val="20"/>
          <w:szCs w:val="20"/>
          <w:color w:val="auto"/>
        </w:rPr>
      </w:pPr>
      <w:r>
        <w:rPr>
          <w:rFonts w:ascii="Times New Roman" w:cs="Times New Roman" w:eastAsia="Times New Roman" w:hAnsi="Times New Roman"/>
          <w:sz w:val="20"/>
          <w:szCs w:val="20"/>
          <w:color w:val="auto"/>
        </w:rPr>
        <w:t>Quarterly blackout periods begin at the end of the last trading day of the second month of each fiscal quarter and end at the start of the second full trading day following the date of public disclosure of the financial results for that fiscal quarter. This period is a</w:t>
      </w:r>
    </w:p>
    <w:p>
      <w:pPr>
        <w:ind w:left="80"/>
        <w:spacing w:after="0" w:line="212" w:lineRule="auto"/>
        <w:rPr>
          <w:sz w:val="20"/>
          <w:szCs w:val="20"/>
          <w:color w:val="auto"/>
        </w:rPr>
      </w:pPr>
      <w:r>
        <w:rPr>
          <w:rFonts w:ascii="Times New Roman" w:cs="Times New Roman" w:eastAsia="Times New Roman" w:hAnsi="Times New Roman"/>
          <w:sz w:val="20"/>
          <w:szCs w:val="20"/>
          <w:color w:val="auto"/>
        </w:rPr>
        <w:t>particularly sensitive time for transactions involving the Company’s securities from the perspective of compliance with applicable</w:t>
      </w:r>
    </w:p>
    <w:p>
      <w:pPr>
        <w:spacing w:after="0" w:line="1" w:lineRule="exact"/>
        <w:rPr>
          <w:sz w:val="20"/>
          <w:szCs w:val="20"/>
          <w:color w:val="auto"/>
        </w:rPr>
      </w:pPr>
    </w:p>
    <w:p>
      <w:pPr>
        <w:jc w:val="both"/>
        <w:ind w:left="80" w:right="20"/>
        <w:spacing w:after="0" w:line="221" w:lineRule="auto"/>
        <w:rPr>
          <w:sz w:val="20"/>
          <w:szCs w:val="20"/>
          <w:color w:val="auto"/>
        </w:rPr>
      </w:pPr>
      <w:r>
        <w:rPr>
          <w:rFonts w:ascii="Times New Roman" w:cs="Times New Roman" w:eastAsia="Times New Roman" w:hAnsi="Times New Roman"/>
          <w:sz w:val="20"/>
          <w:szCs w:val="20"/>
          <w:color w:val="auto"/>
        </w:rPr>
        <w:t>securities laws due to the fact that, during this period, individuals may often possess or have access to material nonpublic information relevant to the expected financial results for the quarter.</w:t>
      </w:r>
    </w:p>
    <w:p>
      <w:pPr>
        <w:spacing w:after="0" w:line="1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Individuals subject to quarterly blackout periods are listed on a schedule maintained by the General Counsel. From time to time,</w:t>
      </w:r>
    </w:p>
    <w:p>
      <w:pPr>
        <w:jc w:val="both"/>
        <w:ind w:left="80" w:right="20"/>
        <w:spacing w:after="0" w:line="221" w:lineRule="auto"/>
        <w:rPr>
          <w:sz w:val="20"/>
          <w:szCs w:val="20"/>
          <w:color w:val="auto"/>
        </w:rPr>
      </w:pPr>
      <w:r>
        <w:rPr>
          <w:rFonts w:ascii="Times New Roman" w:cs="Times New Roman" w:eastAsia="Times New Roman" w:hAnsi="Times New Roman"/>
          <w:sz w:val="20"/>
          <w:szCs w:val="20"/>
          <w:color w:val="auto"/>
        </w:rPr>
        <w:t>the Company may identify other persons who should be subject to quarterly blackout periods, and the General Counsel may update and revise the schedule as appropriate.</w:t>
      </w:r>
    </w:p>
    <w:p>
      <w:pPr>
        <w:spacing w:after="0" w:line="1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Special blackout periods</w:t>
      </w:r>
    </w:p>
    <w:p>
      <w:pPr>
        <w:spacing w:after="0" w:line="193" w:lineRule="exact"/>
        <w:rPr>
          <w:sz w:val="20"/>
          <w:szCs w:val="20"/>
          <w:color w:val="auto"/>
        </w:rPr>
      </w:pPr>
    </w:p>
    <w:p>
      <w:pPr>
        <w:jc w:val="both"/>
        <w:ind w:left="80" w:firstLine="324"/>
        <w:spacing w:after="0" w:line="227" w:lineRule="auto"/>
        <w:rPr>
          <w:sz w:val="20"/>
          <w:szCs w:val="20"/>
          <w:color w:val="auto"/>
        </w:rPr>
      </w:pPr>
      <w:r>
        <w:rPr>
          <w:rFonts w:ascii="Times New Roman" w:cs="Times New Roman" w:eastAsia="Times New Roman" w:hAnsi="Times New Roman"/>
          <w:sz w:val="19"/>
          <w:szCs w:val="19"/>
          <w:color w:val="auto"/>
        </w:rPr>
        <w:t>From time to time, the Company may also prohibit directors, officers, employees and advisors from engaging in transactions involving the Company’s securities when, in the judgment of the General Counsel, a trading blackout is warranted. The Company will</w:t>
      </w:r>
    </w:p>
    <w:p>
      <w:pPr>
        <w:ind w:left="80"/>
        <w:spacing w:after="0" w:line="211" w:lineRule="auto"/>
        <w:rPr>
          <w:sz w:val="20"/>
          <w:szCs w:val="20"/>
          <w:color w:val="auto"/>
        </w:rPr>
      </w:pPr>
      <w:r>
        <w:rPr>
          <w:rFonts w:ascii="Times New Roman" w:cs="Times New Roman" w:eastAsia="Times New Roman" w:hAnsi="Times New Roman"/>
          <w:sz w:val="20"/>
          <w:szCs w:val="20"/>
          <w:color w:val="auto"/>
        </w:rPr>
        <w:t>generally impose special blackout periods when there are material developments known to the Company that have not yet been</w:t>
      </w:r>
    </w:p>
    <w:p>
      <w:pPr>
        <w:spacing w:after="0" w:line="1" w:lineRule="exact"/>
        <w:rPr>
          <w:sz w:val="20"/>
          <w:szCs w:val="20"/>
          <w:color w:val="auto"/>
        </w:rPr>
      </w:pPr>
    </w:p>
    <w:p>
      <w:pPr>
        <w:jc w:val="both"/>
        <w:ind w:left="80" w:right="20"/>
        <w:spacing w:after="0" w:line="204" w:lineRule="auto"/>
        <w:rPr>
          <w:sz w:val="20"/>
          <w:szCs w:val="20"/>
          <w:color w:val="auto"/>
        </w:rPr>
      </w:pPr>
      <w:r>
        <w:rPr>
          <w:rFonts w:ascii="Times New Roman" w:cs="Times New Roman" w:eastAsia="Times New Roman" w:hAnsi="Times New Roman"/>
          <w:sz w:val="20"/>
          <w:szCs w:val="20"/>
          <w:color w:val="auto"/>
        </w:rPr>
        <w:t>disclosed to the public. For example, the Company may impose a special blackout period in anticipation of announcing interim earnings guidance or a significant transaction or business development. However, special blackout periods may be declared for any</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reason.</w:t>
      </w:r>
    </w:p>
    <w:p>
      <w:pPr>
        <w:spacing w:after="0" w:line="167" w:lineRule="exact"/>
        <w:rPr>
          <w:sz w:val="20"/>
          <w:szCs w:val="20"/>
          <w:color w:val="auto"/>
        </w:rPr>
      </w:pPr>
    </w:p>
    <w:p>
      <w:pPr>
        <w:jc w:val="both"/>
        <w:ind w:left="80" w:right="20" w:firstLine="324"/>
        <w:spacing w:after="0" w:line="227" w:lineRule="auto"/>
        <w:rPr>
          <w:sz w:val="20"/>
          <w:szCs w:val="20"/>
          <w:color w:val="auto"/>
        </w:rPr>
      </w:pPr>
      <w:r>
        <w:rPr>
          <w:rFonts w:ascii="Times New Roman" w:cs="Times New Roman" w:eastAsia="Times New Roman" w:hAnsi="Times New Roman"/>
          <w:sz w:val="19"/>
          <w:szCs w:val="19"/>
          <w:color w:val="auto"/>
        </w:rPr>
        <w:t>The Company will notify those persons subject a special blackout period. Each person who has been so identified and notified by the Company may not engage in any transaction involving the Company’s securities until instructed otherwise by the General Counsel,</w:t>
      </w:r>
    </w:p>
    <w:p>
      <w:pPr>
        <w:ind w:left="80"/>
        <w:spacing w:after="0"/>
        <w:rPr>
          <w:sz w:val="20"/>
          <w:szCs w:val="20"/>
          <w:color w:val="auto"/>
        </w:rPr>
      </w:pPr>
      <w:r>
        <w:rPr>
          <w:rFonts w:ascii="Times New Roman" w:cs="Times New Roman" w:eastAsia="Times New Roman" w:hAnsi="Times New Roman"/>
          <w:sz w:val="20"/>
          <w:szCs w:val="20"/>
          <w:color w:val="auto"/>
        </w:rPr>
        <w:t>and should not disclose to others the fact of such suspension of trading.</w:t>
      </w:r>
    </w:p>
    <w:p>
      <w:pPr>
        <w:spacing w:after="0" w:line="1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Regulation BTR blackouts</w:t>
      </w:r>
    </w:p>
    <w:p>
      <w:pPr>
        <w:spacing w:after="0" w:line="179" w:lineRule="exact"/>
        <w:rPr>
          <w:sz w:val="20"/>
          <w:szCs w:val="20"/>
          <w:color w:val="auto"/>
        </w:rPr>
      </w:pPr>
    </w:p>
    <w:p>
      <w:pPr>
        <w:jc w:val="both"/>
        <w:ind w:left="80" w:right="20" w:firstLine="324"/>
        <w:spacing w:after="0" w:line="230" w:lineRule="auto"/>
        <w:rPr>
          <w:sz w:val="20"/>
          <w:szCs w:val="20"/>
          <w:color w:val="auto"/>
        </w:rPr>
      </w:pPr>
      <w:r>
        <w:rPr>
          <w:rFonts w:ascii="Times New Roman" w:cs="Times New Roman" w:eastAsia="Times New Roman" w:hAnsi="Times New Roman"/>
          <w:sz w:val="20"/>
          <w:szCs w:val="20"/>
          <w:color w:val="auto"/>
        </w:rPr>
        <w:t>Directors and executive officers may also be subject to trading blackouts pursuant to Regulation Blackout Trading Restriction, or Regulation BTR, under U.S. federal securities laws. In general, Regulation BTR prohibits any director or executive officer from engaging in certain transactions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Qualys, Inc. – Insider Trading Policy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- 8 -</w:t>
            </w:r>
          </w:p>
        </w:tc>
      </w:tr>
    </w:tbl>
    <w:p>
      <w:pPr>
        <w:sectPr>
          <w:pgSz w:w="11900" w:h="16838" w:orient="portrait"/>
          <w:cols w:equalWidth="0" w:num="1">
            <w:col w:w="10800"/>
          </w:cols>
          <w:pgMar w:left="340" w:top="1440" w:right="759" w:bottom="1440" w:gutter="0" w:footer="0" w:header="0"/>
        </w:sectPr>
      </w:pPr>
    </w:p>
    <w:bookmarkStart w:id="111" w:name="page112"/>
    <w:bookmarkEnd w:id="111"/>
    <w:p>
      <w:pPr>
        <w:ind w:left="80"/>
        <w:spacing w:after="0" w:line="215" w:lineRule="auto"/>
        <w:rPr>
          <w:sz w:val="20"/>
          <w:szCs w:val="20"/>
          <w:color w:val="auto"/>
        </w:rPr>
      </w:pPr>
      <w:r>
        <w:rPr>
          <w:rFonts w:ascii="Times New Roman" w:cs="Times New Roman" w:eastAsia="Times New Roman" w:hAnsi="Times New Roman"/>
          <w:sz w:val="20"/>
          <w:szCs w:val="20"/>
          <w:color w:val="auto"/>
        </w:rPr>
        <w:t>involving Company securities during periods when 401(k) plan participants are prevented from purchasing, selling or otherwise acquiring or transferring an interest in certain securities held in individual account plans. Any profits realized from a transaction that</w:t>
      </w:r>
    </w:p>
    <w:p>
      <w:pPr>
        <w:spacing w:after="0" w:line="1" w:lineRule="exact"/>
        <w:rPr>
          <w:sz w:val="20"/>
          <w:szCs w:val="20"/>
          <w:color w:val="auto"/>
        </w:rPr>
      </w:pPr>
    </w:p>
    <w:p>
      <w:pPr>
        <w:ind w:left="80"/>
        <w:spacing w:after="0" w:line="204" w:lineRule="auto"/>
        <w:rPr>
          <w:sz w:val="20"/>
          <w:szCs w:val="20"/>
          <w:color w:val="auto"/>
        </w:rPr>
      </w:pPr>
      <w:r>
        <w:rPr>
          <w:rFonts w:ascii="Times New Roman" w:cs="Times New Roman" w:eastAsia="Times New Roman" w:hAnsi="Times New Roman"/>
          <w:sz w:val="20"/>
          <w:szCs w:val="20"/>
          <w:color w:val="auto"/>
        </w:rPr>
        <w:t>violates Regulation BTR are recoverable by the Company, regardless of the intentions of the director or officer effecting the transaction. In addition, individuals who engage in such transactions are subject to sanction by the SEC as well as potential criminal</w:t>
      </w:r>
    </w:p>
    <w:p>
      <w:pPr>
        <w:spacing w:after="0" w:line="1" w:lineRule="exact"/>
        <w:rPr>
          <w:sz w:val="20"/>
          <w:szCs w:val="20"/>
          <w:color w:val="auto"/>
        </w:rPr>
      </w:pPr>
    </w:p>
    <w:p>
      <w:pPr>
        <w:ind w:left="80"/>
        <w:spacing w:after="0" w:line="228" w:lineRule="auto"/>
        <w:rPr>
          <w:sz w:val="20"/>
          <w:szCs w:val="20"/>
          <w:color w:val="auto"/>
        </w:rPr>
      </w:pPr>
      <w:r>
        <w:rPr>
          <w:rFonts w:ascii="Times New Roman" w:cs="Times New Roman" w:eastAsia="Times New Roman" w:hAnsi="Times New Roman"/>
          <w:sz w:val="20"/>
          <w:szCs w:val="20"/>
          <w:color w:val="auto"/>
        </w:rPr>
        <w:t>liability. The Company has provided, or will provide, separate memoranda and other appropriate materials to its directors and executive officers regarding compliance with Regulation BTR.</w:t>
      </w:r>
    </w:p>
    <w:p>
      <w:pPr>
        <w:spacing w:after="0" w:line="162" w:lineRule="exact"/>
        <w:rPr>
          <w:sz w:val="20"/>
          <w:szCs w:val="20"/>
          <w:color w:val="auto"/>
        </w:rPr>
      </w:pPr>
    </w:p>
    <w:p>
      <w:pPr>
        <w:ind w:left="80" w:right="20" w:firstLine="324"/>
        <w:spacing w:after="0" w:line="233" w:lineRule="auto"/>
        <w:rPr>
          <w:sz w:val="20"/>
          <w:szCs w:val="20"/>
          <w:color w:val="auto"/>
        </w:rPr>
      </w:pPr>
      <w:r>
        <w:rPr>
          <w:rFonts w:ascii="Times New Roman" w:cs="Times New Roman" w:eastAsia="Times New Roman" w:hAnsi="Times New Roman"/>
          <w:sz w:val="20"/>
          <w:szCs w:val="20"/>
          <w:color w:val="auto"/>
        </w:rPr>
        <w:t>The Company will notify directors and officers if they are subject to a blackout trading restriction under Regulation BTR. Failure to comply with an applicable trading blackout in accordance with Regulation BTR is a violation of law and this Policy.</w:t>
      </w:r>
    </w:p>
    <w:p>
      <w:pPr>
        <w:spacing w:after="0" w:line="15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No “safe harbors”</w:t>
      </w:r>
    </w:p>
    <w:p>
      <w:pPr>
        <w:spacing w:after="0" w:line="179" w:lineRule="exact"/>
        <w:rPr>
          <w:sz w:val="20"/>
          <w:szCs w:val="20"/>
          <w:color w:val="auto"/>
        </w:rPr>
      </w:pPr>
    </w:p>
    <w:p>
      <w:pPr>
        <w:ind w:left="80" w:right="20" w:firstLine="324"/>
        <w:spacing w:after="0" w:line="222" w:lineRule="auto"/>
        <w:rPr>
          <w:sz w:val="20"/>
          <w:szCs w:val="20"/>
          <w:color w:val="auto"/>
        </w:rPr>
      </w:pPr>
      <w:r>
        <w:rPr>
          <w:rFonts w:ascii="Times New Roman" w:cs="Times New Roman" w:eastAsia="Times New Roman" w:hAnsi="Times New Roman"/>
          <w:sz w:val="20"/>
          <w:szCs w:val="20"/>
          <w:color w:val="auto"/>
        </w:rPr>
        <w:t>There are no unconditional “safe harbors” for trades made at particular times, and all persons subject to this Policy should exercise good judgment at all times. Even when a quarterly blackout period is not in effect, you may be prohibited from engaging in</w:t>
      </w:r>
    </w:p>
    <w:p>
      <w:pPr>
        <w:spacing w:after="0" w:line="2" w:lineRule="exact"/>
        <w:rPr>
          <w:sz w:val="20"/>
          <w:szCs w:val="20"/>
          <w:color w:val="auto"/>
        </w:rPr>
      </w:pPr>
    </w:p>
    <w:p>
      <w:pPr>
        <w:ind w:left="80" w:right="20"/>
        <w:spacing w:after="0" w:line="221" w:lineRule="auto"/>
        <w:rPr>
          <w:sz w:val="20"/>
          <w:szCs w:val="20"/>
          <w:color w:val="auto"/>
        </w:rPr>
      </w:pPr>
      <w:r>
        <w:rPr>
          <w:rFonts w:ascii="Times New Roman" w:cs="Times New Roman" w:eastAsia="Times New Roman" w:hAnsi="Times New Roman"/>
          <w:sz w:val="20"/>
          <w:szCs w:val="20"/>
          <w:color w:val="auto"/>
        </w:rPr>
        <w:t>transactions involving the Company’s securities because you possess material nonpublic information, are subject to a special blackout period or are otherwise restricted under this Policy.</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Qualys, Inc. – Insider Trading Policy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- 9 -</w:t>
            </w:r>
          </w:p>
        </w:tc>
      </w:tr>
    </w:tbl>
    <w:p>
      <w:pPr>
        <w:sectPr>
          <w:pgSz w:w="11900" w:h="16838" w:orient="portrait"/>
          <w:cols w:equalWidth="0" w:num="1">
            <w:col w:w="10800"/>
          </w:cols>
          <w:pgMar w:left="340" w:top="1278" w:right="759" w:bottom="1440" w:gutter="0" w:footer="0" w:header="0"/>
        </w:sectPr>
      </w:pPr>
    </w:p>
    <w:bookmarkStart w:id="112" w:name="page113"/>
    <w:bookmarkEnd w:id="112"/>
    <w:p>
      <w:pPr>
        <w:spacing w:after="0" w:line="3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0"/>
          <w:szCs w:val="20"/>
          <w:b w:val="1"/>
          <w:bCs w:val="1"/>
          <w:color w:val="auto"/>
        </w:rPr>
        <w:t>PRE-CLEARANCE OF TRADES</w:t>
      </w:r>
    </w:p>
    <w:p>
      <w:pPr>
        <w:spacing w:after="0" w:line="189" w:lineRule="exact"/>
        <w:rPr>
          <w:sz w:val="20"/>
          <w:szCs w:val="20"/>
          <w:color w:val="auto"/>
        </w:rPr>
      </w:pPr>
    </w:p>
    <w:p>
      <w:pPr>
        <w:jc w:val="both"/>
        <w:ind w:left="80" w:firstLine="324"/>
        <w:spacing w:after="0" w:line="229" w:lineRule="auto"/>
        <w:rPr>
          <w:sz w:val="20"/>
          <w:szCs w:val="20"/>
          <w:color w:val="auto"/>
        </w:rPr>
      </w:pPr>
      <w:r>
        <w:rPr>
          <w:rFonts w:ascii="Times New Roman" w:cs="Times New Roman" w:eastAsia="Times New Roman" w:hAnsi="Times New Roman"/>
          <w:sz w:val="19"/>
          <w:szCs w:val="19"/>
          <w:color w:val="auto"/>
        </w:rPr>
        <w:t>Except as discussed in the section entitled “</w:t>
      </w:r>
      <w:r>
        <w:rPr>
          <w:rFonts w:ascii="Times New Roman" w:cs="Times New Roman" w:eastAsia="Times New Roman" w:hAnsi="Times New Roman"/>
          <w:sz w:val="19"/>
          <w:szCs w:val="19"/>
          <w:b w:val="1"/>
          <w:bCs w:val="1"/>
          <w:color w:val="auto"/>
        </w:rPr>
        <w:t>Limited Exceptions</w:t>
      </w:r>
      <w:r>
        <w:rPr>
          <w:rFonts w:ascii="Times New Roman" w:cs="Times New Roman" w:eastAsia="Times New Roman" w:hAnsi="Times New Roman"/>
          <w:sz w:val="19"/>
          <w:szCs w:val="19"/>
          <w:color w:val="auto"/>
        </w:rPr>
        <w:t>”, directors and executive officers should refrain from engaging in any transaction involving the Company’s securities without first obtaining pre</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clearance of the transaction from the General Counsel.</w:t>
      </w:r>
    </w:p>
    <w:p>
      <w:pPr>
        <w:ind w:left="80"/>
        <w:spacing w:after="0" w:line="211" w:lineRule="auto"/>
        <w:rPr>
          <w:sz w:val="20"/>
          <w:szCs w:val="20"/>
          <w:color w:val="auto"/>
        </w:rPr>
      </w:pPr>
      <w:r>
        <w:rPr>
          <w:rFonts w:ascii="Times New Roman" w:cs="Times New Roman" w:eastAsia="Times New Roman" w:hAnsi="Times New Roman"/>
          <w:sz w:val="20"/>
          <w:szCs w:val="20"/>
          <w:color w:val="auto"/>
        </w:rPr>
        <w:t>In addition, the Company has determined that certain other employees and advisors of the Company that may have regular or special</w:t>
      </w:r>
    </w:p>
    <w:p>
      <w:pPr>
        <w:spacing w:after="0" w:line="1" w:lineRule="exact"/>
        <w:rPr>
          <w:sz w:val="20"/>
          <w:szCs w:val="20"/>
          <w:color w:val="auto"/>
        </w:rPr>
      </w:pPr>
    </w:p>
    <w:p>
      <w:pPr>
        <w:ind w:left="80"/>
        <w:spacing w:after="0" w:line="204" w:lineRule="auto"/>
        <w:rPr>
          <w:sz w:val="20"/>
          <w:szCs w:val="20"/>
          <w:color w:val="auto"/>
        </w:rPr>
      </w:pPr>
      <w:r>
        <w:rPr>
          <w:rFonts w:ascii="Times New Roman" w:cs="Times New Roman" w:eastAsia="Times New Roman" w:hAnsi="Times New Roman"/>
          <w:sz w:val="20"/>
          <w:szCs w:val="20"/>
          <w:color w:val="auto"/>
        </w:rPr>
        <w:t>access to material nonpublic information should refrain from engaging in any transaction involving the Company’s securities without first obtaining pre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clearance of the transaction from the General Counsel. The General Counsel may not engage in a transaction</w:t>
      </w:r>
    </w:p>
    <w:p>
      <w:pPr>
        <w:spacing w:after="0" w:line="1" w:lineRule="exact"/>
        <w:rPr>
          <w:sz w:val="20"/>
          <w:szCs w:val="20"/>
          <w:color w:val="auto"/>
        </w:rPr>
      </w:pPr>
    </w:p>
    <w:p>
      <w:pPr>
        <w:ind w:left="80" w:right="20"/>
        <w:spacing w:after="0" w:line="204" w:lineRule="auto"/>
        <w:rPr>
          <w:sz w:val="20"/>
          <w:szCs w:val="20"/>
          <w:color w:val="auto"/>
        </w:rPr>
      </w:pPr>
      <w:r>
        <w:rPr>
          <w:rFonts w:ascii="Times New Roman" w:cs="Times New Roman" w:eastAsia="Times New Roman" w:hAnsi="Times New Roman"/>
          <w:sz w:val="20"/>
          <w:szCs w:val="20"/>
          <w:color w:val="auto"/>
        </w:rPr>
        <w:t>involving the Company’s securities unless the Chief Financial Officer has pre-cleared the transaction. Individuals subject to pre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clearance requirements are listed on a schedule maintained by the General Counsel. From time to time, the Company may identify</w:t>
      </w:r>
    </w:p>
    <w:p>
      <w:pPr>
        <w:spacing w:after="0" w:line="1" w:lineRule="exact"/>
        <w:rPr>
          <w:sz w:val="20"/>
          <w:szCs w:val="20"/>
          <w:color w:val="auto"/>
        </w:rPr>
      </w:pPr>
    </w:p>
    <w:p>
      <w:pPr>
        <w:ind w:left="80" w:right="20"/>
        <w:spacing w:after="0" w:line="228" w:lineRule="auto"/>
        <w:rPr>
          <w:sz w:val="20"/>
          <w:szCs w:val="20"/>
          <w:color w:val="auto"/>
        </w:rPr>
      </w:pPr>
      <w:r>
        <w:rPr>
          <w:rFonts w:ascii="Times New Roman" w:cs="Times New Roman" w:eastAsia="Times New Roman" w:hAnsi="Times New Roman"/>
          <w:sz w:val="20"/>
          <w:szCs w:val="20"/>
          <w:color w:val="auto"/>
        </w:rPr>
        <w:t>other persons who should be subject to the pre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clearance requirements set forth above, and the General Counsel may update and revise the schedule as appropriate.</w:t>
      </w:r>
    </w:p>
    <w:p>
      <w:pPr>
        <w:spacing w:after="0" w:line="162" w:lineRule="exact"/>
        <w:rPr>
          <w:sz w:val="20"/>
          <w:szCs w:val="20"/>
          <w:color w:val="auto"/>
        </w:rPr>
      </w:pPr>
    </w:p>
    <w:p>
      <w:pPr>
        <w:ind w:left="80" w:firstLine="324"/>
        <w:spacing w:after="0" w:line="215" w:lineRule="auto"/>
        <w:rPr>
          <w:sz w:val="20"/>
          <w:szCs w:val="20"/>
          <w:color w:val="auto"/>
        </w:rPr>
      </w:pPr>
      <w:r>
        <w:rPr>
          <w:rFonts w:ascii="Times New Roman" w:cs="Times New Roman" w:eastAsia="Times New Roman" w:hAnsi="Times New Roman"/>
          <w:sz w:val="20"/>
          <w:szCs w:val="20"/>
          <w:color w:val="auto"/>
        </w:rPr>
        <w:t>These pre-clearance procedures are intended to decrease insider trading risks associated with transactions by individuals with regular or special access to material nonpublic information. In addition, requiring pre</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clearance of transactions by directors and</w:t>
      </w:r>
    </w:p>
    <w:p>
      <w:pPr>
        <w:ind w:left="80"/>
        <w:spacing w:after="0" w:line="212" w:lineRule="auto"/>
        <w:rPr>
          <w:sz w:val="20"/>
          <w:szCs w:val="20"/>
          <w:color w:val="auto"/>
        </w:rPr>
      </w:pPr>
      <w:r>
        <w:rPr>
          <w:rFonts w:ascii="Times New Roman" w:cs="Times New Roman" w:eastAsia="Times New Roman" w:hAnsi="Times New Roman"/>
          <w:sz w:val="20"/>
          <w:szCs w:val="20"/>
          <w:color w:val="auto"/>
        </w:rPr>
        <w:t>officers facilitates compliance with Rule 144 resale restrictions under the Securities Act, the liability and reporting provisions of</w:t>
      </w:r>
    </w:p>
    <w:p>
      <w:pPr>
        <w:spacing w:after="0" w:line="1" w:lineRule="exact"/>
        <w:rPr>
          <w:sz w:val="20"/>
          <w:szCs w:val="20"/>
          <w:color w:val="auto"/>
        </w:rPr>
      </w:pPr>
    </w:p>
    <w:p>
      <w:pPr>
        <w:ind w:left="80" w:right="20"/>
        <w:spacing w:after="0" w:line="221" w:lineRule="auto"/>
        <w:rPr>
          <w:sz w:val="20"/>
          <w:szCs w:val="20"/>
          <w:color w:val="auto"/>
        </w:rPr>
      </w:pPr>
      <w:r>
        <w:rPr>
          <w:rFonts w:ascii="Times New Roman" w:cs="Times New Roman" w:eastAsia="Times New Roman" w:hAnsi="Times New Roman"/>
          <w:sz w:val="20"/>
          <w:szCs w:val="20"/>
          <w:color w:val="auto"/>
        </w:rPr>
        <w:t>Section 16 under the Exchange Act and Regulation BTR. Pre-clearance of a trade, however, is not a defense to a claim of insider trading and does not excuse you from otherwise complying with insider trading laws or this Policy.</w:t>
      </w:r>
    </w:p>
    <w:p>
      <w:pPr>
        <w:spacing w:after="0" w:line="162" w:lineRule="exact"/>
        <w:rPr>
          <w:sz w:val="20"/>
          <w:szCs w:val="20"/>
          <w:color w:val="auto"/>
        </w:rPr>
      </w:pPr>
    </w:p>
    <w:p>
      <w:pPr>
        <w:ind w:left="80" w:right="20" w:firstLine="324"/>
        <w:spacing w:after="0"/>
        <w:rPr>
          <w:sz w:val="20"/>
          <w:szCs w:val="20"/>
          <w:color w:val="auto"/>
        </w:rPr>
      </w:pPr>
      <w:r>
        <w:rPr>
          <w:rFonts w:ascii="Times New Roman" w:cs="Times New Roman" w:eastAsia="Times New Roman" w:hAnsi="Times New Roman"/>
          <w:sz w:val="20"/>
          <w:szCs w:val="20"/>
          <w:color w:val="auto"/>
        </w:rPr>
        <w:t>The General Counsel and Chief Financial Officer are under no obligation to approve a transaction submitted for pre-clearance, and may determine not to permit the transaction.</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Qualys, Inc. – Insider Trading Policy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- 10 -</w:t>
            </w:r>
          </w:p>
        </w:tc>
      </w:tr>
    </w:tbl>
    <w:p>
      <w:pPr>
        <w:sectPr>
          <w:pgSz w:w="11900" w:h="16838" w:orient="portrait"/>
          <w:cols w:equalWidth="0" w:num="1">
            <w:col w:w="10800"/>
          </w:cols>
          <w:pgMar w:left="340" w:top="1440" w:right="759" w:bottom="1440" w:gutter="0" w:footer="0" w:header="0"/>
        </w:sectPr>
      </w:pPr>
    </w:p>
    <w:bookmarkStart w:id="113" w:name="page114"/>
    <w:bookmarkEnd w:id="113"/>
    <w:p>
      <w:pPr>
        <w:spacing w:after="0" w:line="3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0"/>
          <w:szCs w:val="20"/>
          <w:b w:val="1"/>
          <w:bCs w:val="1"/>
          <w:color w:val="auto"/>
        </w:rPr>
        <w:t>ADDITIONAL RESTRICTIONS AND GUIDANCE</w:t>
      </w:r>
    </w:p>
    <w:p>
      <w:pPr>
        <w:spacing w:after="0" w:line="193" w:lineRule="exact"/>
        <w:rPr>
          <w:sz w:val="20"/>
          <w:szCs w:val="20"/>
          <w:color w:val="auto"/>
        </w:rPr>
      </w:pPr>
    </w:p>
    <w:p>
      <w:pPr>
        <w:ind w:left="80" w:right="20" w:firstLine="324"/>
        <w:spacing w:after="0" w:line="215" w:lineRule="auto"/>
        <w:rPr>
          <w:sz w:val="20"/>
          <w:szCs w:val="20"/>
          <w:color w:val="auto"/>
        </w:rPr>
      </w:pPr>
      <w:r>
        <w:rPr>
          <w:rFonts w:ascii="Times New Roman" w:cs="Times New Roman" w:eastAsia="Times New Roman" w:hAnsi="Times New Roman"/>
          <w:sz w:val="20"/>
          <w:szCs w:val="20"/>
          <w:color w:val="auto"/>
        </w:rPr>
        <w:t>This section addresses certain types of transactions that may expose you and the Company to significant risks. You should understand that, even though a transaction may not be expressly prohibited by this section, you are responsible for ensuring that the</w:t>
      </w:r>
    </w:p>
    <w:p>
      <w:pPr>
        <w:spacing w:after="0" w:line="1" w:lineRule="exact"/>
        <w:rPr>
          <w:sz w:val="20"/>
          <w:szCs w:val="20"/>
          <w:color w:val="auto"/>
        </w:rPr>
      </w:pPr>
    </w:p>
    <w:p>
      <w:pPr>
        <w:ind w:left="80" w:right="20"/>
        <w:spacing w:after="0" w:line="228" w:lineRule="auto"/>
        <w:rPr>
          <w:sz w:val="20"/>
          <w:szCs w:val="20"/>
          <w:color w:val="auto"/>
        </w:rPr>
      </w:pPr>
      <w:r>
        <w:rPr>
          <w:rFonts w:ascii="Times New Roman" w:cs="Times New Roman" w:eastAsia="Times New Roman" w:hAnsi="Times New Roman"/>
          <w:sz w:val="20"/>
          <w:szCs w:val="20"/>
          <w:color w:val="auto"/>
        </w:rPr>
        <w:t>transaction otherwise complies with other provisions in this Policy that may apply to the transaction, such as the general prohibition against insider trading as well as pre-clearance procedures and blackout periods, to the extent applicable.</w:t>
      </w:r>
    </w:p>
    <w:p>
      <w:pPr>
        <w:spacing w:after="0" w:line="14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Short sales</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Short sales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xml:space="preserve"> the sale of a security that must be borrowed to make delivery) and “selling short against the box”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xml:space="preserve"> a sale with</w:t>
      </w:r>
    </w:p>
    <w:p>
      <w:pPr>
        <w:spacing w:after="0" w:line="10" w:lineRule="exact"/>
        <w:rPr>
          <w:sz w:val="20"/>
          <w:szCs w:val="20"/>
          <w:color w:val="auto"/>
        </w:rPr>
      </w:pPr>
    </w:p>
    <w:p>
      <w:pPr>
        <w:ind w:left="80" w:right="20"/>
        <w:spacing w:after="0" w:line="204" w:lineRule="auto"/>
        <w:rPr>
          <w:sz w:val="20"/>
          <w:szCs w:val="20"/>
          <w:color w:val="auto"/>
        </w:rPr>
      </w:pPr>
      <w:r>
        <w:rPr>
          <w:rFonts w:ascii="Times New Roman" w:cs="Times New Roman" w:eastAsia="Times New Roman" w:hAnsi="Times New Roman"/>
          <w:sz w:val="20"/>
          <w:szCs w:val="20"/>
          <w:color w:val="auto"/>
        </w:rPr>
        <w:t>a delayed delivery) with respect to Company securities are prohibited under this Policy. Short sales may signal to the market possible bad news about the Company or a general lack of confidence in the Company’s prospects, and an expectation that the value of the</w:t>
      </w:r>
    </w:p>
    <w:p>
      <w:pPr>
        <w:ind w:left="80"/>
        <w:spacing w:after="0" w:line="211" w:lineRule="auto"/>
        <w:rPr>
          <w:sz w:val="20"/>
          <w:szCs w:val="20"/>
          <w:color w:val="auto"/>
        </w:rPr>
      </w:pPr>
      <w:r>
        <w:rPr>
          <w:rFonts w:ascii="Times New Roman" w:cs="Times New Roman" w:eastAsia="Times New Roman" w:hAnsi="Times New Roman"/>
          <w:sz w:val="20"/>
          <w:szCs w:val="20"/>
          <w:color w:val="auto"/>
        </w:rPr>
        <w:t>Company’s securities will decline. In addition, short sales are effectively a bet against the Company’s success and may reduce the</w:t>
      </w:r>
    </w:p>
    <w:p>
      <w:pPr>
        <w:spacing w:after="0" w:line="1" w:lineRule="exact"/>
        <w:rPr>
          <w:sz w:val="20"/>
          <w:szCs w:val="20"/>
          <w:color w:val="auto"/>
        </w:rPr>
      </w:pPr>
    </w:p>
    <w:p>
      <w:pPr>
        <w:ind w:left="80" w:right="20"/>
        <w:spacing w:after="0" w:line="221" w:lineRule="auto"/>
        <w:rPr>
          <w:sz w:val="20"/>
          <w:szCs w:val="20"/>
          <w:color w:val="auto"/>
        </w:rPr>
      </w:pPr>
      <w:r>
        <w:rPr>
          <w:rFonts w:ascii="Times New Roman" w:cs="Times New Roman" w:eastAsia="Times New Roman" w:hAnsi="Times New Roman"/>
          <w:sz w:val="20"/>
          <w:szCs w:val="20"/>
          <w:color w:val="auto"/>
        </w:rPr>
        <w:t>seller’s incentive to improve the Company’s performance. Short sales may also create a suspicion that the seller is engaged in insider trading.</w:t>
      </w:r>
    </w:p>
    <w:p>
      <w:pPr>
        <w:spacing w:after="0" w:line="1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Derivative securities and hedging transactions</w:t>
      </w:r>
    </w:p>
    <w:p>
      <w:pPr>
        <w:spacing w:after="0" w:line="179" w:lineRule="exact"/>
        <w:rPr>
          <w:sz w:val="20"/>
          <w:szCs w:val="20"/>
          <w:color w:val="auto"/>
        </w:rPr>
      </w:pPr>
    </w:p>
    <w:p>
      <w:pPr>
        <w:ind w:left="80" w:right="20" w:firstLine="324"/>
        <w:spacing w:after="0" w:line="234" w:lineRule="auto"/>
        <w:rPr>
          <w:sz w:val="20"/>
          <w:szCs w:val="20"/>
          <w:color w:val="auto"/>
        </w:rPr>
      </w:pPr>
      <w:r>
        <w:rPr>
          <w:rFonts w:ascii="Times New Roman" w:cs="Times New Roman" w:eastAsia="Times New Roman" w:hAnsi="Times New Roman"/>
          <w:sz w:val="19"/>
          <w:szCs w:val="19"/>
          <w:color w:val="auto"/>
        </w:rPr>
        <w:t>If you are required to comply with Section 16 of the Securities Exchange Act or the blackout periods or pre-clearance requirements under this Policy, you are prohibited from engaging in transactions in publicly-traded options, such as puts and calls, and</w:t>
      </w:r>
    </w:p>
    <w:p>
      <w:pPr>
        <w:spacing w:after="0" w:line="1" w:lineRule="exact"/>
        <w:rPr>
          <w:sz w:val="20"/>
          <w:szCs w:val="20"/>
          <w:color w:val="auto"/>
        </w:rPr>
      </w:pPr>
    </w:p>
    <w:p>
      <w:pPr>
        <w:ind w:left="80" w:right="20"/>
        <w:spacing w:after="0" w:line="215" w:lineRule="auto"/>
        <w:rPr>
          <w:sz w:val="20"/>
          <w:szCs w:val="20"/>
          <w:color w:val="auto"/>
        </w:rPr>
      </w:pPr>
      <w:r>
        <w:rPr>
          <w:rFonts w:ascii="Times New Roman" w:cs="Times New Roman" w:eastAsia="Times New Roman" w:hAnsi="Times New Roman"/>
          <w:sz w:val="19"/>
          <w:szCs w:val="19"/>
          <w:color w:val="auto"/>
        </w:rPr>
        <w:t>other derivative securities with respect to the Company’s securities. This prohibition extends to any hedging or similar transaction designed to decrease the risks associated with holding Company securities. Stock options, stock appreciation rights and other securities</w:t>
      </w:r>
    </w:p>
    <w:p>
      <w:pPr>
        <w:ind w:left="80"/>
        <w:spacing w:after="0"/>
        <w:rPr>
          <w:sz w:val="20"/>
          <w:szCs w:val="20"/>
          <w:color w:val="auto"/>
        </w:rPr>
      </w:pPr>
      <w:r>
        <w:rPr>
          <w:rFonts w:ascii="Times New Roman" w:cs="Times New Roman" w:eastAsia="Times New Roman" w:hAnsi="Times New Roman"/>
          <w:sz w:val="20"/>
          <w:szCs w:val="20"/>
          <w:color w:val="auto"/>
        </w:rPr>
        <w:t>issued pursuant to Company benefit plans or other compensatory arrangements with the Company are not subject to this prohibition.</w:t>
      </w:r>
    </w:p>
    <w:p>
      <w:pPr>
        <w:spacing w:after="0" w:line="167" w:lineRule="exact"/>
        <w:rPr>
          <w:sz w:val="20"/>
          <w:szCs w:val="20"/>
          <w:color w:val="auto"/>
        </w:rPr>
      </w:pPr>
    </w:p>
    <w:p>
      <w:pPr>
        <w:ind w:left="80" w:right="20" w:firstLine="324"/>
        <w:spacing w:after="0" w:line="227" w:lineRule="auto"/>
        <w:rPr>
          <w:sz w:val="20"/>
          <w:szCs w:val="20"/>
          <w:color w:val="auto"/>
        </w:rPr>
      </w:pPr>
      <w:r>
        <w:rPr>
          <w:rFonts w:ascii="Times New Roman" w:cs="Times New Roman" w:eastAsia="Times New Roman" w:hAnsi="Times New Roman"/>
          <w:sz w:val="19"/>
          <w:szCs w:val="19"/>
          <w:color w:val="auto"/>
        </w:rPr>
        <w:t>Even if you are not prohibited from engaging in derivatives transactions, you should exercise caution when doing so. Transactions in derivative securities may reflect a short</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term and speculative interest in the Company’s securities and may create the appearance of</w:t>
      </w:r>
    </w:p>
    <w:p>
      <w:pPr>
        <w:ind w:left="80"/>
        <w:spacing w:after="0" w:line="211" w:lineRule="auto"/>
        <w:rPr>
          <w:sz w:val="20"/>
          <w:szCs w:val="20"/>
          <w:color w:val="auto"/>
        </w:rPr>
      </w:pPr>
      <w:r>
        <w:rPr>
          <w:rFonts w:ascii="Times New Roman" w:cs="Times New Roman" w:eastAsia="Times New Roman" w:hAnsi="Times New Roman"/>
          <w:sz w:val="20"/>
          <w:szCs w:val="20"/>
          <w:color w:val="auto"/>
        </w:rPr>
        <w:t>impropriety, even where a transaction does not involve trading on inside information. Trading in derivatives may also focus attention</w:t>
      </w:r>
    </w:p>
    <w:p>
      <w:pPr>
        <w:spacing w:after="0" w:line="1" w:lineRule="exact"/>
        <w:rPr>
          <w:sz w:val="20"/>
          <w:szCs w:val="20"/>
          <w:color w:val="auto"/>
        </w:rPr>
      </w:pPr>
    </w:p>
    <w:p>
      <w:pPr>
        <w:ind w:left="80"/>
        <w:spacing w:after="0" w:line="204" w:lineRule="auto"/>
        <w:rPr>
          <w:sz w:val="20"/>
          <w:szCs w:val="20"/>
          <w:color w:val="auto"/>
        </w:rPr>
      </w:pPr>
      <w:r>
        <w:rPr>
          <w:rFonts w:ascii="Times New Roman" w:cs="Times New Roman" w:eastAsia="Times New Roman" w:hAnsi="Times New Roman"/>
          <w:sz w:val="20"/>
          <w:szCs w:val="20"/>
          <w:color w:val="auto"/>
        </w:rPr>
        <w:t>on short-term performance at the expense of the Company’s long-term objectives. In addition, the application of securities laws to derivatives transactions can be complex, and persons engaging in derivatives transactions run an increased risk of violating securities</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laws if not careful.</w:t>
      </w:r>
    </w:p>
    <w:p>
      <w:pPr>
        <w:spacing w:after="0" w:line="1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Using Company securities as collateral for loans</w:t>
      </w:r>
    </w:p>
    <w:p>
      <w:pPr>
        <w:spacing w:after="0" w:line="179" w:lineRule="exact"/>
        <w:rPr>
          <w:sz w:val="20"/>
          <w:szCs w:val="20"/>
          <w:color w:val="auto"/>
        </w:rPr>
      </w:pPr>
    </w:p>
    <w:p>
      <w:pPr>
        <w:ind w:left="80" w:firstLine="324"/>
        <w:spacing w:after="0" w:line="222" w:lineRule="auto"/>
        <w:rPr>
          <w:sz w:val="20"/>
          <w:szCs w:val="20"/>
          <w:color w:val="auto"/>
        </w:rPr>
      </w:pPr>
      <w:r>
        <w:rPr>
          <w:rFonts w:ascii="Times New Roman" w:cs="Times New Roman" w:eastAsia="Times New Roman" w:hAnsi="Times New Roman"/>
          <w:sz w:val="20"/>
          <w:szCs w:val="20"/>
          <w:color w:val="auto"/>
        </w:rPr>
        <w:t>If you are required to comply with Section 16 of the Securities Exchange Act or the blackout periods or pre-clearance requirements under this Policy, you may not pledge Company securities as collateral for loans. If you default on the loan, the lender</w:t>
      </w:r>
    </w:p>
    <w:p>
      <w:pPr>
        <w:spacing w:after="0" w:line="2" w:lineRule="exact"/>
        <w:rPr>
          <w:sz w:val="20"/>
          <w:szCs w:val="20"/>
          <w:color w:val="auto"/>
        </w:rPr>
      </w:pPr>
    </w:p>
    <w:p>
      <w:pPr>
        <w:ind w:left="80"/>
        <w:spacing w:after="0" w:line="215" w:lineRule="auto"/>
        <w:rPr>
          <w:sz w:val="20"/>
          <w:szCs w:val="20"/>
          <w:color w:val="auto"/>
        </w:rPr>
      </w:pPr>
      <w:r>
        <w:rPr>
          <w:rFonts w:ascii="Times New Roman" w:cs="Times New Roman" w:eastAsia="Times New Roman" w:hAnsi="Times New Roman"/>
          <w:sz w:val="19"/>
          <w:szCs w:val="19"/>
          <w:color w:val="auto"/>
        </w:rPr>
        <w:t>may sell the pledged securities as collateral in a foreclosure sale. The sale, even though not initiated at your request, is still considered a sale for your benefit and, if made at a time when you are aware of material nonpublic information or otherwise are not permitted to</w:t>
      </w:r>
    </w:p>
    <w:p>
      <w:pPr>
        <w:ind w:left="80"/>
        <w:spacing w:after="0" w:line="222" w:lineRule="auto"/>
        <w:rPr>
          <w:sz w:val="20"/>
          <w:szCs w:val="20"/>
          <w:color w:val="auto"/>
        </w:rPr>
      </w:pPr>
      <w:r>
        <w:rPr>
          <w:rFonts w:ascii="Times New Roman" w:cs="Times New Roman" w:eastAsia="Times New Roman" w:hAnsi="Times New Roman"/>
          <w:sz w:val="19"/>
          <w:szCs w:val="19"/>
          <w:color w:val="auto"/>
        </w:rPr>
        <w:t>trade in Company securities, may result in inadvertent insider trading violations, Section 16 and Reg. BTR violations (for officers and</w:t>
      </w:r>
    </w:p>
    <w:p>
      <w:pPr>
        <w:ind w:left="80" w:right="20"/>
        <w:spacing w:after="0" w:line="221" w:lineRule="auto"/>
        <w:rPr>
          <w:sz w:val="20"/>
          <w:szCs w:val="20"/>
          <w:color w:val="auto"/>
        </w:rPr>
      </w:pPr>
      <w:r>
        <w:rPr>
          <w:rFonts w:ascii="Times New Roman" w:cs="Times New Roman" w:eastAsia="Times New Roman" w:hAnsi="Times New Roman"/>
          <w:sz w:val="20"/>
          <w:szCs w:val="20"/>
          <w:color w:val="auto"/>
        </w:rPr>
        <w:t>directors), violations of this Policy and unfavorable publicity for you and the Company. For these same reasons, even if you are not prohibited from pledging Company securities as collateral for loans, you should exercise caution when doing so.</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Qualys, Inc. – Insider Trading Policy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- 11 -</w:t>
            </w:r>
          </w:p>
        </w:tc>
      </w:tr>
    </w:tbl>
    <w:p>
      <w:pPr>
        <w:sectPr>
          <w:pgSz w:w="11900" w:h="16838" w:orient="portrait"/>
          <w:cols w:equalWidth="0" w:num="1">
            <w:col w:w="10800"/>
          </w:cols>
          <w:pgMar w:left="340" w:top="1440" w:right="759" w:bottom="1440" w:gutter="0" w:footer="0" w:header="0"/>
        </w:sectPr>
      </w:pPr>
    </w:p>
    <w:bookmarkStart w:id="114" w:name="page115"/>
    <w:bookmarkEnd w:id="114"/>
    <w:p>
      <w:pPr>
        <w:ind w:left="80"/>
        <w:spacing w:after="0"/>
        <w:rPr>
          <w:sz w:val="20"/>
          <w:szCs w:val="20"/>
          <w:color w:val="auto"/>
        </w:rPr>
      </w:pPr>
      <w:r>
        <w:rPr>
          <w:rFonts w:ascii="Times New Roman" w:cs="Times New Roman" w:eastAsia="Times New Roman" w:hAnsi="Times New Roman"/>
          <w:sz w:val="20"/>
          <w:szCs w:val="20"/>
          <w:b w:val="1"/>
          <w:bCs w:val="1"/>
          <w:color w:val="auto"/>
        </w:rPr>
        <w:t>Holding Company securities in margin accounts</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If you are required to comply with Section 16 of the Securities Exchange Act or the blackout periods or pre-clearance</w:t>
      </w:r>
    </w:p>
    <w:p>
      <w:pPr>
        <w:ind w:left="80"/>
        <w:spacing w:after="0" w:line="204" w:lineRule="auto"/>
        <w:rPr>
          <w:sz w:val="20"/>
          <w:szCs w:val="20"/>
          <w:color w:val="auto"/>
        </w:rPr>
      </w:pPr>
      <w:r>
        <w:rPr>
          <w:rFonts w:ascii="Times New Roman" w:cs="Times New Roman" w:eastAsia="Times New Roman" w:hAnsi="Times New Roman"/>
          <w:sz w:val="20"/>
          <w:szCs w:val="20"/>
          <w:color w:val="auto"/>
        </w:rPr>
        <w:t>requirements under this Policy, you may not hold Company securities in margin accounts. Under typical margin arrangements, if you fail to meet a margin call, the broker may be entitled to sell securities held in the margin account without your consent. The sale, even</w:t>
      </w:r>
    </w:p>
    <w:p>
      <w:pPr>
        <w:ind w:left="80"/>
        <w:spacing w:after="0" w:line="211" w:lineRule="auto"/>
        <w:rPr>
          <w:sz w:val="20"/>
          <w:szCs w:val="20"/>
          <w:color w:val="auto"/>
        </w:rPr>
      </w:pPr>
      <w:r>
        <w:rPr>
          <w:rFonts w:ascii="Times New Roman" w:cs="Times New Roman" w:eastAsia="Times New Roman" w:hAnsi="Times New Roman"/>
          <w:sz w:val="20"/>
          <w:szCs w:val="20"/>
          <w:color w:val="auto"/>
        </w:rPr>
        <w:t>though not initiated at your request, is still considered a sale for your benefit and, if made at a time when you are aware of material</w:t>
      </w:r>
    </w:p>
    <w:p>
      <w:pPr>
        <w:spacing w:after="0" w:line="1" w:lineRule="exact"/>
        <w:rPr>
          <w:sz w:val="20"/>
          <w:szCs w:val="20"/>
          <w:color w:val="auto"/>
        </w:rPr>
      </w:pPr>
    </w:p>
    <w:p>
      <w:pPr>
        <w:ind w:left="80"/>
        <w:spacing w:after="0" w:line="215" w:lineRule="auto"/>
        <w:rPr>
          <w:sz w:val="20"/>
          <w:szCs w:val="20"/>
          <w:color w:val="auto"/>
        </w:rPr>
      </w:pPr>
      <w:r>
        <w:rPr>
          <w:rFonts w:ascii="Times New Roman" w:cs="Times New Roman" w:eastAsia="Times New Roman" w:hAnsi="Times New Roman"/>
          <w:sz w:val="19"/>
          <w:szCs w:val="19"/>
          <w:color w:val="auto"/>
        </w:rPr>
        <w:t>nonpublic information or are otherwise not permitted to trade, may result in inadvertent insider trading violations, Section 16 and Reg. BTR violations (for officers and directors), violations of this Policy and unfavorable publicity for you and the Company. For these</w:t>
      </w:r>
    </w:p>
    <w:p>
      <w:pPr>
        <w:ind w:left="80" w:right="20"/>
        <w:spacing w:after="0" w:line="228" w:lineRule="auto"/>
        <w:rPr>
          <w:sz w:val="20"/>
          <w:szCs w:val="20"/>
          <w:color w:val="auto"/>
        </w:rPr>
      </w:pPr>
      <w:r>
        <w:rPr>
          <w:rFonts w:ascii="Times New Roman" w:cs="Times New Roman" w:eastAsia="Times New Roman" w:hAnsi="Times New Roman"/>
          <w:sz w:val="20"/>
          <w:szCs w:val="20"/>
          <w:color w:val="auto"/>
        </w:rPr>
        <w:t>same reasons, even if you are not prohibited from holding Company securities in margin accounts, you should exercise caution when doing so.</w:t>
      </w:r>
    </w:p>
    <w:p>
      <w:pPr>
        <w:spacing w:after="0" w:line="14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Placing open orders with brokers</w:t>
      </w:r>
    </w:p>
    <w:p>
      <w:pPr>
        <w:spacing w:after="0" w:line="193" w:lineRule="exact"/>
        <w:rPr>
          <w:sz w:val="20"/>
          <w:szCs w:val="20"/>
          <w:color w:val="auto"/>
        </w:rPr>
      </w:pPr>
    </w:p>
    <w:p>
      <w:pPr>
        <w:ind w:left="80" w:firstLine="324"/>
        <w:spacing w:after="0" w:line="222" w:lineRule="auto"/>
        <w:rPr>
          <w:sz w:val="20"/>
          <w:szCs w:val="20"/>
          <w:color w:val="auto"/>
        </w:rPr>
      </w:pPr>
      <w:r>
        <w:rPr>
          <w:rFonts w:ascii="Times New Roman" w:cs="Times New Roman" w:eastAsia="Times New Roman" w:hAnsi="Times New Roman"/>
          <w:sz w:val="20"/>
          <w:szCs w:val="20"/>
          <w:color w:val="auto"/>
        </w:rPr>
        <w:t>Except in accordance with an approved trading plan (as discussed below), you should exercise caution when placing open orders, such as limit orders or stop orders, with brokers, particularly where the order is likely to remain outstanding for an extended period of</w:t>
      </w:r>
    </w:p>
    <w:p>
      <w:pPr>
        <w:spacing w:after="0" w:line="2" w:lineRule="exact"/>
        <w:rPr>
          <w:sz w:val="20"/>
          <w:szCs w:val="20"/>
          <w:color w:val="auto"/>
        </w:rPr>
      </w:pPr>
    </w:p>
    <w:p>
      <w:pPr>
        <w:ind w:left="80"/>
        <w:spacing w:after="0" w:line="204" w:lineRule="auto"/>
        <w:rPr>
          <w:sz w:val="20"/>
          <w:szCs w:val="20"/>
          <w:color w:val="auto"/>
        </w:rPr>
      </w:pPr>
      <w:r>
        <w:rPr>
          <w:rFonts w:ascii="Times New Roman" w:cs="Times New Roman" w:eastAsia="Times New Roman" w:hAnsi="Times New Roman"/>
          <w:sz w:val="20"/>
          <w:szCs w:val="20"/>
          <w:color w:val="auto"/>
        </w:rPr>
        <w:t>time. Open orders may result in the execution of a trade at a time when you are aware of material nonpublic information or otherwise are not permitted to trade in Company securities, which may result in inadvertent insider trading violations, Section 16 and Reg. BTR</w:t>
      </w:r>
    </w:p>
    <w:p>
      <w:pPr>
        <w:spacing w:after="0" w:line="1" w:lineRule="exact"/>
        <w:rPr>
          <w:sz w:val="20"/>
          <w:szCs w:val="20"/>
          <w:color w:val="auto"/>
        </w:rPr>
      </w:pPr>
    </w:p>
    <w:p>
      <w:pPr>
        <w:ind w:left="80" w:right="20"/>
        <w:spacing w:after="0" w:line="215" w:lineRule="auto"/>
        <w:rPr>
          <w:sz w:val="20"/>
          <w:szCs w:val="20"/>
          <w:color w:val="auto"/>
        </w:rPr>
      </w:pPr>
      <w:r>
        <w:rPr>
          <w:rFonts w:ascii="Times New Roman" w:cs="Times New Roman" w:eastAsia="Times New Roman" w:hAnsi="Times New Roman"/>
          <w:sz w:val="19"/>
          <w:szCs w:val="19"/>
          <w:color w:val="auto"/>
        </w:rPr>
        <w:t>violations (for officers and directors), violations of this Policy and unfavorable publicity for you and the Company. If you are subject to blackout periods or pre-clearance requirements, you should so inform any broker with whom you place any open order at the time it</w:t>
      </w:r>
    </w:p>
    <w:p>
      <w:pPr>
        <w:ind w:left="80"/>
        <w:spacing w:after="0"/>
        <w:rPr>
          <w:sz w:val="20"/>
          <w:szCs w:val="20"/>
          <w:color w:val="auto"/>
        </w:rPr>
      </w:pPr>
      <w:r>
        <w:rPr>
          <w:rFonts w:ascii="Times New Roman" w:cs="Times New Roman" w:eastAsia="Times New Roman" w:hAnsi="Times New Roman"/>
          <w:sz w:val="20"/>
          <w:szCs w:val="20"/>
          <w:color w:val="auto"/>
        </w:rPr>
        <w:t>is placed.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Qualys, Inc. – Insider Trading Policy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- 12 -</w:t>
            </w:r>
          </w:p>
        </w:tc>
      </w:tr>
    </w:tbl>
    <w:p>
      <w:pPr>
        <w:sectPr>
          <w:pgSz w:w="11900" w:h="16838" w:orient="portrait"/>
          <w:cols w:equalWidth="0" w:num="1">
            <w:col w:w="10800"/>
          </w:cols>
          <w:pgMar w:left="340" w:top="1274" w:right="759" w:bottom="1440" w:gutter="0" w:footer="0" w:header="0"/>
        </w:sectPr>
      </w:pPr>
    </w:p>
    <w:bookmarkStart w:id="115" w:name="page116"/>
    <w:bookmarkEnd w:id="115"/>
    <w:p>
      <w:pPr>
        <w:spacing w:after="0" w:line="3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0"/>
          <w:szCs w:val="20"/>
          <w:b w:val="1"/>
          <w:bCs w:val="1"/>
          <w:color w:val="auto"/>
        </w:rPr>
        <w:t>LIMITED EXCEPTIONS</w:t>
      </w:r>
    </w:p>
    <w:p>
      <w:pPr>
        <w:spacing w:after="0" w:line="193" w:lineRule="exact"/>
        <w:rPr>
          <w:sz w:val="20"/>
          <w:szCs w:val="20"/>
          <w:color w:val="auto"/>
        </w:rPr>
      </w:pPr>
    </w:p>
    <w:p>
      <w:pPr>
        <w:ind w:left="80" w:firstLine="324"/>
        <w:spacing w:after="0" w:line="215" w:lineRule="auto"/>
        <w:rPr>
          <w:sz w:val="20"/>
          <w:szCs w:val="20"/>
          <w:color w:val="auto"/>
        </w:rPr>
      </w:pPr>
      <w:r>
        <w:rPr>
          <w:rFonts w:ascii="Times New Roman" w:cs="Times New Roman" w:eastAsia="Times New Roman" w:hAnsi="Times New Roman"/>
          <w:sz w:val="20"/>
          <w:szCs w:val="20"/>
          <w:color w:val="auto"/>
        </w:rPr>
        <w:t>The following are certain limited exceptions to the restrictions imposed by the Company under this Policy. Please be aware that even if a transaction is subject to an exception to this Policy, you will need to separately assess whether the transaction complies with</w:t>
      </w:r>
    </w:p>
    <w:p>
      <w:pPr>
        <w:ind w:left="80"/>
        <w:spacing w:after="0" w:line="212" w:lineRule="auto"/>
        <w:rPr>
          <w:sz w:val="20"/>
          <w:szCs w:val="20"/>
          <w:color w:val="auto"/>
        </w:rPr>
      </w:pPr>
      <w:r>
        <w:rPr>
          <w:rFonts w:ascii="Times New Roman" w:cs="Times New Roman" w:eastAsia="Times New Roman" w:hAnsi="Times New Roman"/>
          <w:sz w:val="20"/>
          <w:szCs w:val="20"/>
          <w:color w:val="auto"/>
        </w:rPr>
        <w:t>applicable law. For example, even if a transaction is indicated as exempt from this Policy, you may need to comply with the “short-</w:t>
      </w:r>
    </w:p>
    <w:p>
      <w:pPr>
        <w:spacing w:after="0" w:line="1" w:lineRule="exact"/>
        <w:rPr>
          <w:sz w:val="20"/>
          <w:szCs w:val="20"/>
          <w:color w:val="auto"/>
        </w:rPr>
      </w:pPr>
    </w:p>
    <w:p>
      <w:pPr>
        <w:ind w:left="80"/>
        <w:spacing w:after="0" w:line="221" w:lineRule="auto"/>
        <w:rPr>
          <w:sz w:val="20"/>
          <w:szCs w:val="20"/>
          <w:color w:val="auto"/>
        </w:rPr>
      </w:pPr>
      <w:r>
        <w:rPr>
          <w:rFonts w:ascii="Times New Roman" w:cs="Times New Roman" w:eastAsia="Times New Roman" w:hAnsi="Times New Roman"/>
          <w:sz w:val="20"/>
          <w:szCs w:val="20"/>
          <w:color w:val="auto"/>
        </w:rPr>
        <w:t>swing” trading restrictions under Section 16 of the Exchange Act, to the extent applicable. You are responsible for complying with applicable law at all times.</w:t>
      </w:r>
    </w:p>
    <w:p>
      <w:pPr>
        <w:spacing w:after="0" w:line="1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Transactions pursuant to a trading plan that complies with SEC rules</w:t>
      </w:r>
    </w:p>
    <w:p>
      <w:pPr>
        <w:spacing w:after="0" w:line="179" w:lineRule="exact"/>
        <w:rPr>
          <w:sz w:val="20"/>
          <w:szCs w:val="20"/>
          <w:color w:val="auto"/>
        </w:rPr>
      </w:pPr>
    </w:p>
    <w:p>
      <w:pPr>
        <w:ind w:left="80" w:right="20" w:firstLine="324"/>
        <w:spacing w:after="0" w:line="222" w:lineRule="auto"/>
        <w:rPr>
          <w:sz w:val="20"/>
          <w:szCs w:val="20"/>
          <w:color w:val="auto"/>
        </w:rPr>
      </w:pPr>
      <w:r>
        <w:rPr>
          <w:rFonts w:ascii="Times New Roman" w:cs="Times New Roman" w:eastAsia="Times New Roman" w:hAnsi="Times New Roman"/>
          <w:sz w:val="20"/>
          <w:szCs w:val="20"/>
          <w:color w:val="auto"/>
        </w:rPr>
        <w:t>The SEC has enacted rules that provide an affirmative defense against alleged violations of U.S. federal insider trading laws for transactions pursuant to trading plans that meet certain requirements. In general, these rules, as set forth in Rule 10b5-1 under the</w:t>
      </w:r>
    </w:p>
    <w:p>
      <w:pPr>
        <w:spacing w:after="0" w:line="2" w:lineRule="exact"/>
        <w:rPr>
          <w:sz w:val="20"/>
          <w:szCs w:val="20"/>
          <w:color w:val="auto"/>
        </w:rPr>
      </w:pPr>
    </w:p>
    <w:p>
      <w:pPr>
        <w:ind w:left="80"/>
        <w:spacing w:after="0" w:line="215" w:lineRule="auto"/>
        <w:rPr>
          <w:sz w:val="20"/>
          <w:szCs w:val="20"/>
          <w:color w:val="auto"/>
        </w:rPr>
      </w:pPr>
      <w:r>
        <w:rPr>
          <w:rFonts w:ascii="Times New Roman" w:cs="Times New Roman" w:eastAsia="Times New Roman" w:hAnsi="Times New Roman"/>
          <w:sz w:val="19"/>
          <w:szCs w:val="19"/>
          <w:color w:val="auto"/>
        </w:rPr>
        <w:t>Securities Exchange Act, provide for an affirmative defense if you enter into a contract, provide instructions or adopt a written plan for trading securities when you are not aware of material nonpublic information. The contract, instructions or plan must (i) specify the</w:t>
      </w:r>
    </w:p>
    <w:p>
      <w:pPr>
        <w:ind w:left="80"/>
        <w:spacing w:after="0" w:line="222" w:lineRule="auto"/>
        <w:rPr>
          <w:sz w:val="20"/>
          <w:szCs w:val="20"/>
          <w:color w:val="auto"/>
        </w:rPr>
      </w:pPr>
      <w:r>
        <w:rPr>
          <w:rFonts w:ascii="Times New Roman" w:cs="Times New Roman" w:eastAsia="Times New Roman" w:hAnsi="Times New Roman"/>
          <w:sz w:val="19"/>
          <w:szCs w:val="19"/>
          <w:color w:val="auto"/>
        </w:rPr>
        <w:t>amount, price and date of the transaction, (ii) specify an objective method for determining the amount, price and date of the transaction</w:t>
      </w:r>
    </w:p>
    <w:p>
      <w:pPr>
        <w:ind w:left="80" w:right="20"/>
        <w:spacing w:after="0" w:line="221" w:lineRule="auto"/>
        <w:rPr>
          <w:sz w:val="20"/>
          <w:szCs w:val="20"/>
          <w:color w:val="auto"/>
        </w:rPr>
      </w:pPr>
      <w:r>
        <w:rPr>
          <w:rFonts w:ascii="Times New Roman" w:cs="Times New Roman" w:eastAsia="Times New Roman" w:hAnsi="Times New Roman"/>
          <w:sz w:val="20"/>
          <w:szCs w:val="20"/>
          <w:color w:val="auto"/>
        </w:rPr>
        <w:t>and/or (iii) place any subsequent discretion for determining the amount, price and date of the transaction in another person who is not, at the time of the transaction, aware of material nonpublic information.</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Transactions made pursuant to a written trading plan that (i) complies with the affirmative defense set forth in Rule 10b5-1 and (ii)</w:t>
      </w:r>
    </w:p>
    <w:p>
      <w:pPr>
        <w:spacing w:after="0" w:line="6" w:lineRule="exact"/>
        <w:rPr>
          <w:sz w:val="20"/>
          <w:szCs w:val="20"/>
          <w:color w:val="auto"/>
        </w:rPr>
      </w:pPr>
    </w:p>
    <w:p>
      <w:pPr>
        <w:jc w:val="both"/>
        <w:ind w:left="80"/>
        <w:spacing w:after="0" w:line="215" w:lineRule="auto"/>
        <w:rPr>
          <w:sz w:val="20"/>
          <w:szCs w:val="20"/>
          <w:color w:val="auto"/>
        </w:rPr>
      </w:pPr>
      <w:r>
        <w:rPr>
          <w:rFonts w:ascii="Times New Roman" w:cs="Times New Roman" w:eastAsia="Times New Roman" w:hAnsi="Times New Roman"/>
          <w:sz w:val="19"/>
          <w:szCs w:val="19"/>
          <w:color w:val="auto"/>
        </w:rPr>
        <w:t>is approved by the General Counsel, are not subject to the restrictions in this Policy against trades made while aware of material nonpublic information or to the pre-clearance procedures or blackout periods established under this Policy. In approving a trading plan,</w:t>
      </w:r>
    </w:p>
    <w:p>
      <w:pPr>
        <w:ind w:left="80"/>
        <w:spacing w:after="0" w:line="228" w:lineRule="auto"/>
        <w:rPr>
          <w:sz w:val="20"/>
          <w:szCs w:val="20"/>
          <w:color w:val="auto"/>
        </w:rPr>
      </w:pPr>
      <w:r>
        <w:rPr>
          <w:rFonts w:ascii="Times New Roman" w:cs="Times New Roman" w:eastAsia="Times New Roman" w:hAnsi="Times New Roman"/>
          <w:sz w:val="20"/>
          <w:szCs w:val="20"/>
          <w:color w:val="auto"/>
        </w:rPr>
        <w:t>the General Counsel may, in furtherance of the objectives expressed in this Policy, impose criteria in addition to those set forth in Rule 10b5-1. You should therefore confer with the General Counsel prior to entering into any trading plan.</w:t>
      </w:r>
    </w:p>
    <w:p>
      <w:pPr>
        <w:spacing w:after="0" w:line="149" w:lineRule="exact"/>
        <w:rPr>
          <w:sz w:val="20"/>
          <w:szCs w:val="20"/>
          <w:color w:val="auto"/>
        </w:rPr>
      </w:pPr>
    </w:p>
    <w:p>
      <w:pPr>
        <w:ind w:left="80" w:right="20" w:firstLine="324"/>
        <w:spacing w:after="0" w:line="234" w:lineRule="auto"/>
        <w:rPr>
          <w:sz w:val="20"/>
          <w:szCs w:val="20"/>
          <w:color w:val="auto"/>
        </w:rPr>
      </w:pPr>
      <w:r>
        <w:rPr>
          <w:rFonts w:ascii="Times New Roman" w:cs="Times New Roman" w:eastAsia="Times New Roman" w:hAnsi="Times New Roman"/>
          <w:sz w:val="19"/>
          <w:szCs w:val="19"/>
          <w:color w:val="auto"/>
        </w:rPr>
        <w:t>The SEC rules regarding trading plans are complex and must be complied with completely to be effective. The description provided above is only a summary, and the Company strongly advises that you consult with your legal advisor if you intend to adopt a</w:t>
      </w:r>
    </w:p>
    <w:p>
      <w:pPr>
        <w:spacing w:after="0" w:line="1" w:lineRule="exact"/>
        <w:rPr>
          <w:sz w:val="20"/>
          <w:szCs w:val="20"/>
          <w:color w:val="auto"/>
        </w:rPr>
      </w:pPr>
    </w:p>
    <w:p>
      <w:pPr>
        <w:ind w:left="80" w:right="20"/>
        <w:spacing w:after="0" w:line="221" w:lineRule="auto"/>
        <w:rPr>
          <w:sz w:val="20"/>
          <w:szCs w:val="20"/>
          <w:color w:val="auto"/>
        </w:rPr>
      </w:pPr>
      <w:r>
        <w:rPr>
          <w:rFonts w:ascii="Times New Roman" w:cs="Times New Roman" w:eastAsia="Times New Roman" w:hAnsi="Times New Roman"/>
          <w:sz w:val="20"/>
          <w:szCs w:val="20"/>
          <w:color w:val="auto"/>
        </w:rPr>
        <w:t>trading plan. While trading plans are subject to review and approval by the Company, the individual adopting the trading plan is ultimately responsible for compliance with Rule 10b5-1 and ensuring that the trading plan complies with this Policy.</w:t>
      </w:r>
    </w:p>
    <w:p>
      <w:pPr>
        <w:spacing w:after="0" w:line="1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Trading plans must (1) be submitted to the General Counsel for approval, and (2) comply with the requirements set forth in the</w:t>
      </w:r>
    </w:p>
    <w:p>
      <w:pPr>
        <w:ind w:left="80"/>
        <w:spacing w:after="0" w:line="204" w:lineRule="auto"/>
        <w:rPr>
          <w:sz w:val="20"/>
          <w:szCs w:val="20"/>
          <w:color w:val="auto"/>
        </w:rPr>
      </w:pPr>
      <w:r>
        <w:rPr>
          <w:rFonts w:ascii="Times New Roman" w:cs="Times New Roman" w:eastAsia="Times New Roman" w:hAnsi="Times New Roman"/>
          <w:sz w:val="20"/>
          <w:szCs w:val="20"/>
          <w:color w:val="auto"/>
        </w:rPr>
        <w:t>policy entitled “Requirements for Trading Plans” as established by the Company and as may be updated from time to time. If the General Counsel is the requester, then the Chief Financial Officer must approve the written 10b5-1 trading plan. The Company may</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publicly disclose information regarding trading plans that you may enter.</w:t>
      </w:r>
    </w:p>
    <w:p>
      <w:pPr>
        <w:spacing w:after="0" w:line="1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Receipt and vesting of stock options, restricted stock and stock appreciation rights</w:t>
      </w:r>
    </w:p>
    <w:p>
      <w:pPr>
        <w:spacing w:after="0" w:line="179" w:lineRule="exact"/>
        <w:rPr>
          <w:sz w:val="20"/>
          <w:szCs w:val="20"/>
          <w:color w:val="auto"/>
        </w:rPr>
      </w:pPr>
    </w:p>
    <w:p>
      <w:pPr>
        <w:jc w:val="both"/>
        <w:ind w:left="80" w:firstLine="324"/>
        <w:spacing w:after="0" w:line="222" w:lineRule="auto"/>
        <w:rPr>
          <w:sz w:val="20"/>
          <w:szCs w:val="20"/>
          <w:color w:val="auto"/>
        </w:rPr>
      </w:pPr>
      <w:r>
        <w:rPr>
          <w:rFonts w:ascii="Times New Roman" w:cs="Times New Roman" w:eastAsia="Times New Roman" w:hAnsi="Times New Roman"/>
          <w:sz w:val="20"/>
          <w:szCs w:val="20"/>
          <w:color w:val="auto"/>
        </w:rPr>
        <w:t>The trading restrictions under this Policy do not apply to the acceptance or purchase of stock options, restricted stock or stock appreciation rights issued or offered by the Company. The trading restrictions under this Policy also do not apply to the vesting,</w:t>
      </w:r>
    </w:p>
    <w:p>
      <w:pPr>
        <w:spacing w:after="0" w:line="2" w:lineRule="exact"/>
        <w:rPr>
          <w:sz w:val="20"/>
          <w:szCs w:val="20"/>
          <w:color w:val="auto"/>
        </w:rPr>
      </w:pPr>
    </w:p>
    <w:p>
      <w:pPr>
        <w:ind w:left="80"/>
        <w:spacing w:after="0" w:line="221" w:lineRule="auto"/>
        <w:rPr>
          <w:sz w:val="20"/>
          <w:szCs w:val="20"/>
          <w:color w:val="auto"/>
        </w:rPr>
      </w:pPr>
      <w:r>
        <w:rPr>
          <w:rFonts w:ascii="Times New Roman" w:cs="Times New Roman" w:eastAsia="Times New Roman" w:hAnsi="Times New Roman"/>
          <w:sz w:val="20"/>
          <w:szCs w:val="20"/>
          <w:color w:val="auto"/>
        </w:rPr>
        <w:t>cancellation or forfeiture of stock options, restricted stock or stock appreciation rights in accordance with applicable plans and agreements.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Qualys, Inc. – Insider Trading Policy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- 13 -</w:t>
            </w:r>
          </w:p>
        </w:tc>
      </w:tr>
    </w:tbl>
    <w:p>
      <w:pPr>
        <w:sectPr>
          <w:pgSz w:w="11900" w:h="16838" w:orient="portrait"/>
          <w:cols w:equalWidth="0" w:num="1">
            <w:col w:w="10800"/>
          </w:cols>
          <w:pgMar w:left="340" w:top="1440" w:right="759" w:bottom="1440" w:gutter="0" w:footer="0" w:header="0"/>
        </w:sectPr>
      </w:pPr>
    </w:p>
    <w:bookmarkStart w:id="116" w:name="page117"/>
    <w:bookmarkEnd w:id="116"/>
    <w:p>
      <w:pPr>
        <w:ind w:left="80"/>
        <w:spacing w:after="0"/>
        <w:rPr>
          <w:sz w:val="20"/>
          <w:szCs w:val="20"/>
          <w:color w:val="auto"/>
        </w:rPr>
      </w:pPr>
      <w:r>
        <w:rPr>
          <w:rFonts w:ascii="Times New Roman" w:cs="Times New Roman" w:eastAsia="Times New Roman" w:hAnsi="Times New Roman"/>
          <w:sz w:val="20"/>
          <w:szCs w:val="20"/>
          <w:b w:val="1"/>
          <w:bCs w:val="1"/>
          <w:color w:val="auto"/>
        </w:rPr>
        <w:t>Exercise of stock options for cash; net share withholding</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trading restrictions under this Policy do not apply to the exercise of stock options, where the purchase price of such stock</w:t>
      </w:r>
    </w:p>
    <w:p>
      <w:pPr>
        <w:ind w:left="80"/>
        <w:spacing w:after="0" w:line="215" w:lineRule="auto"/>
        <w:rPr>
          <w:sz w:val="20"/>
          <w:szCs w:val="20"/>
          <w:color w:val="auto"/>
        </w:rPr>
      </w:pPr>
      <w:r>
        <w:rPr>
          <w:rFonts w:ascii="Times New Roman" w:cs="Times New Roman" w:eastAsia="Times New Roman" w:hAnsi="Times New Roman"/>
          <w:sz w:val="19"/>
          <w:szCs w:val="19"/>
          <w:color w:val="auto"/>
        </w:rPr>
        <w:t>options is paid in cash or in a stock-for-stock exercise, and there is no other associated market activity. Likewise, the trading restrictions under this Policy do not apply to net share withholding to cover tax obligations in connection with an option exercise or an</w:t>
      </w:r>
    </w:p>
    <w:p>
      <w:pPr>
        <w:ind w:left="80"/>
        <w:spacing w:after="0" w:line="211" w:lineRule="auto"/>
        <w:rPr>
          <w:sz w:val="20"/>
          <w:szCs w:val="20"/>
          <w:color w:val="auto"/>
        </w:rPr>
      </w:pPr>
      <w:r>
        <w:rPr>
          <w:rFonts w:ascii="Times New Roman" w:cs="Times New Roman" w:eastAsia="Times New Roman" w:hAnsi="Times New Roman"/>
          <w:sz w:val="20"/>
          <w:szCs w:val="20"/>
          <w:color w:val="auto"/>
        </w:rPr>
        <w:t>RSU vesting event, (x) as required by either the Board of Directors (or a committee thereof) or the award agreement governing such</w:t>
      </w:r>
    </w:p>
    <w:p>
      <w:pPr>
        <w:ind w:left="80" w:right="20"/>
        <w:spacing w:after="0" w:line="204" w:lineRule="auto"/>
        <w:rPr>
          <w:sz w:val="20"/>
          <w:szCs w:val="20"/>
          <w:color w:val="auto"/>
        </w:rPr>
      </w:pPr>
      <w:r>
        <w:rPr>
          <w:rFonts w:ascii="Times New Roman" w:cs="Times New Roman" w:eastAsia="Times New Roman" w:hAnsi="Times New Roman"/>
          <w:sz w:val="20"/>
          <w:szCs w:val="20"/>
          <w:color w:val="auto"/>
        </w:rPr>
        <w:t>equity award or (y) as you elect, if permitted by the Company, so long as that election is irrevocable and made in writing at a time when a trading blackout is not in place and you are not in possession of material nonpublic information. However, the trading</w:t>
      </w:r>
    </w:p>
    <w:p>
      <w:pPr>
        <w:ind w:left="80"/>
        <w:spacing w:after="0" w:line="211" w:lineRule="auto"/>
        <w:rPr>
          <w:sz w:val="20"/>
          <w:szCs w:val="20"/>
          <w:color w:val="auto"/>
        </w:rPr>
      </w:pPr>
      <w:r>
        <w:rPr>
          <w:rFonts w:ascii="Times New Roman" w:cs="Times New Roman" w:eastAsia="Times New Roman" w:hAnsi="Times New Roman"/>
          <w:sz w:val="20"/>
          <w:szCs w:val="20"/>
          <w:color w:val="auto"/>
        </w:rPr>
        <w:t>restrictions under this Policy do apply to (i) the sale of any securities issued upon the exercise of a stock option or upon an RSU</w:t>
      </w:r>
    </w:p>
    <w:p>
      <w:pPr>
        <w:spacing w:after="0" w:line="1" w:lineRule="exact"/>
        <w:rPr>
          <w:sz w:val="20"/>
          <w:szCs w:val="20"/>
          <w:color w:val="auto"/>
        </w:rPr>
      </w:pPr>
    </w:p>
    <w:p>
      <w:pPr>
        <w:ind w:left="80"/>
        <w:spacing w:after="0" w:line="215" w:lineRule="auto"/>
        <w:rPr>
          <w:sz w:val="20"/>
          <w:szCs w:val="20"/>
          <w:color w:val="auto"/>
        </w:rPr>
      </w:pPr>
      <w:r>
        <w:rPr>
          <w:rFonts w:ascii="Times New Roman" w:cs="Times New Roman" w:eastAsia="Times New Roman" w:hAnsi="Times New Roman"/>
          <w:sz w:val="19"/>
          <w:szCs w:val="19"/>
          <w:color w:val="auto"/>
        </w:rPr>
        <w:t>vesting event, (ii) a cashless exercise of a stock option through a broker, since this involves selling a portion of the underlying shares to cover the costs of exercise, and (iii) any other market sale for the purpose of generating the cash needed to pay the exercise price of an</w:t>
      </w:r>
    </w:p>
    <w:p>
      <w:pPr>
        <w:ind w:left="80"/>
        <w:spacing w:after="0"/>
        <w:rPr>
          <w:sz w:val="20"/>
          <w:szCs w:val="20"/>
          <w:color w:val="auto"/>
        </w:rPr>
      </w:pPr>
      <w:r>
        <w:rPr>
          <w:rFonts w:ascii="Times New Roman" w:cs="Times New Roman" w:eastAsia="Times New Roman" w:hAnsi="Times New Roman"/>
          <w:sz w:val="20"/>
          <w:szCs w:val="20"/>
          <w:color w:val="auto"/>
        </w:rPr>
        <w:t>option.</w:t>
      </w:r>
    </w:p>
    <w:p>
      <w:pPr>
        <w:spacing w:after="0" w:line="1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Purchases from the employee stock purchase plan</w:t>
      </w:r>
    </w:p>
    <w:p>
      <w:pPr>
        <w:spacing w:after="0" w:line="193" w:lineRule="exact"/>
        <w:rPr>
          <w:sz w:val="20"/>
          <w:szCs w:val="20"/>
          <w:color w:val="auto"/>
        </w:rPr>
      </w:pPr>
    </w:p>
    <w:p>
      <w:pPr>
        <w:ind w:left="80" w:right="20" w:firstLine="324"/>
        <w:spacing w:after="0" w:line="227" w:lineRule="auto"/>
        <w:rPr>
          <w:sz w:val="20"/>
          <w:szCs w:val="20"/>
          <w:color w:val="auto"/>
        </w:rPr>
      </w:pPr>
      <w:r>
        <w:rPr>
          <w:rFonts w:ascii="Times New Roman" w:cs="Times New Roman" w:eastAsia="Times New Roman" w:hAnsi="Times New Roman"/>
          <w:sz w:val="19"/>
          <w:szCs w:val="19"/>
          <w:color w:val="auto"/>
        </w:rPr>
        <w:t>The trading restrictions in this Policy do not apply to elections with respect to participation in any employee stock purchase plan of the Company or to purchases of securities under any such plan. However, the trading restrictions do apply to any subsequent sales of</w:t>
      </w:r>
    </w:p>
    <w:p>
      <w:pPr>
        <w:ind w:left="80"/>
        <w:spacing w:after="0"/>
        <w:rPr>
          <w:sz w:val="20"/>
          <w:szCs w:val="20"/>
          <w:color w:val="auto"/>
        </w:rPr>
      </w:pPr>
      <w:r>
        <w:rPr>
          <w:rFonts w:ascii="Times New Roman" w:cs="Times New Roman" w:eastAsia="Times New Roman" w:hAnsi="Times New Roman"/>
          <w:sz w:val="20"/>
          <w:szCs w:val="20"/>
          <w:color w:val="auto"/>
        </w:rPr>
        <w:t>any such securities.</w:t>
      </w:r>
    </w:p>
    <w:p>
      <w:pPr>
        <w:spacing w:after="0" w:line="1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Stock splits, stock dividends and similar transactions</w:t>
      </w:r>
    </w:p>
    <w:p>
      <w:pPr>
        <w:spacing w:after="0" w:line="193" w:lineRule="exact"/>
        <w:rPr>
          <w:sz w:val="20"/>
          <w:szCs w:val="20"/>
          <w:color w:val="auto"/>
        </w:rPr>
      </w:pPr>
    </w:p>
    <w:p>
      <w:pPr>
        <w:ind w:left="80" w:firstLine="324"/>
        <w:spacing w:after="0"/>
        <w:rPr>
          <w:sz w:val="20"/>
          <w:szCs w:val="20"/>
          <w:color w:val="auto"/>
        </w:rPr>
      </w:pPr>
      <w:r>
        <w:rPr>
          <w:rFonts w:ascii="Times New Roman" w:cs="Times New Roman" w:eastAsia="Times New Roman" w:hAnsi="Times New Roman"/>
          <w:sz w:val="20"/>
          <w:szCs w:val="20"/>
          <w:color w:val="auto"/>
        </w:rPr>
        <w:t>The trading restrictions under this Policy do not apply to a change in the number of securities held as a result of a stock split or stock dividend applying equally to all securities of a class, or similar transactions.</w:t>
      </w:r>
    </w:p>
    <w:p>
      <w:pPr>
        <w:spacing w:after="0" w:line="1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Certain Transfers by Will and for Tax Planning Purposes</w:t>
      </w:r>
    </w:p>
    <w:p>
      <w:pPr>
        <w:spacing w:after="0" w:line="1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The trading restrictions in this Policy do not apply to transfers by will or the laws of descent or distribution and, provided that prior</w:t>
      </w:r>
    </w:p>
    <w:p>
      <w:pPr>
        <w:spacing w:after="0" w:line="6" w:lineRule="exact"/>
        <w:rPr>
          <w:sz w:val="20"/>
          <w:szCs w:val="20"/>
          <w:color w:val="auto"/>
        </w:rPr>
      </w:pPr>
    </w:p>
    <w:p>
      <w:pPr>
        <w:ind w:left="80" w:right="20"/>
        <w:spacing w:after="0" w:line="221" w:lineRule="auto"/>
        <w:rPr>
          <w:sz w:val="20"/>
          <w:szCs w:val="20"/>
          <w:color w:val="auto"/>
        </w:rPr>
      </w:pPr>
      <w:r>
        <w:rPr>
          <w:rFonts w:ascii="Times New Roman" w:cs="Times New Roman" w:eastAsia="Times New Roman" w:hAnsi="Times New Roman"/>
          <w:sz w:val="20"/>
          <w:szCs w:val="20"/>
          <w:color w:val="auto"/>
        </w:rPr>
        <w:t>written notice is provided to the General Counsel, distributions or transfers (such as certain tax planning or estate planning transfers) that effect only a change in the form of beneficial interest without changing your pecuniary interest in the Company’s securities.</w:t>
      </w:r>
    </w:p>
    <w:p>
      <w:pPr>
        <w:spacing w:after="0" w:line="1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Other exceptions</w:t>
      </w:r>
    </w:p>
    <w:p>
      <w:pPr>
        <w:spacing w:after="0" w:line="193" w:lineRule="exact"/>
        <w:rPr>
          <w:sz w:val="20"/>
          <w:szCs w:val="20"/>
          <w:color w:val="auto"/>
        </w:rPr>
      </w:pPr>
    </w:p>
    <w:p>
      <w:pPr>
        <w:ind w:left="80" w:right="20" w:firstLine="324"/>
        <w:spacing w:after="0" w:line="233" w:lineRule="auto"/>
        <w:rPr>
          <w:sz w:val="20"/>
          <w:szCs w:val="20"/>
          <w:color w:val="auto"/>
        </w:rPr>
      </w:pPr>
      <w:r>
        <w:rPr>
          <w:rFonts w:ascii="Times New Roman" w:cs="Times New Roman" w:eastAsia="Times New Roman" w:hAnsi="Times New Roman"/>
          <w:sz w:val="20"/>
          <w:szCs w:val="20"/>
          <w:color w:val="auto"/>
        </w:rPr>
        <w:t>Any other exception from this Policy must be approved by the General Counsel, in consultation with the Board of Directors or an independent committee of the Board of Directors.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Qualys, Inc. – Insider Trading Policy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- 14 -</w:t>
            </w:r>
          </w:p>
        </w:tc>
      </w:tr>
    </w:tbl>
    <w:p>
      <w:pPr>
        <w:sectPr>
          <w:pgSz w:w="11900" w:h="16838" w:orient="portrait"/>
          <w:cols w:equalWidth="0" w:num="1">
            <w:col w:w="10800"/>
          </w:cols>
          <w:pgMar w:left="340" w:top="1274" w:right="759" w:bottom="1440" w:gutter="0" w:footer="0" w:header="0"/>
        </w:sectPr>
      </w:pPr>
    </w:p>
    <w:bookmarkStart w:id="117" w:name="page118"/>
    <w:bookmarkEnd w:id="117"/>
    <w:p>
      <w:pPr>
        <w:spacing w:after="0" w:line="3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b w:val="1"/>
          <w:bCs w:val="1"/>
          <w:color w:val="auto"/>
        </w:rPr>
        <w:t>COMPLIANCE WITH SECTION 16 OF THE SECURITIES EXCHANGE ACT</w:t>
      </w:r>
    </w:p>
    <w:p>
      <w:pPr>
        <w:spacing w:after="0" w:line="1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Obligations under Section 16</w:t>
      </w:r>
    </w:p>
    <w:p>
      <w:pPr>
        <w:spacing w:after="0" w:line="1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Section 16 of the Securities Exchange Act of 1934, and the related rules and regulations, set forth</w:t>
      </w:r>
    </w:p>
    <w:p>
      <w:pPr>
        <w:spacing w:after="0" w:line="8" w:lineRule="exact"/>
        <w:rPr>
          <w:sz w:val="20"/>
          <w:szCs w:val="20"/>
          <w:color w:val="auto"/>
        </w:rPr>
      </w:pPr>
    </w:p>
    <w:p>
      <w:pPr>
        <w:jc w:val="both"/>
        <w:ind w:left="80" w:right="20" w:hanging="2"/>
        <w:spacing w:after="0" w:line="218" w:lineRule="auto"/>
        <w:tabs>
          <w:tab w:leader="none" w:pos="359"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reporting obligations, (ii) limitations on “short-swing” transactions and (iii) limitations on short sales and other transactions applicable to directors, officers, large shareholders and certain other persons. The Company has provided, or will provide, memoranda and other materials addressing these matters.</w:t>
      </w:r>
    </w:p>
    <w:p>
      <w:pPr>
        <w:spacing w:after="0" w:line="1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Company has determined those persons who are required to comply with Section 16 of the Securities Exchange Act of 1934,</w:t>
      </w:r>
    </w:p>
    <w:p>
      <w:pPr>
        <w:ind w:left="80" w:right="20"/>
        <w:spacing w:after="0" w:line="204" w:lineRule="auto"/>
        <w:rPr>
          <w:sz w:val="20"/>
          <w:szCs w:val="20"/>
          <w:color w:val="auto"/>
        </w:rPr>
      </w:pPr>
      <w:r>
        <w:rPr>
          <w:rFonts w:ascii="Times New Roman" w:cs="Times New Roman" w:eastAsia="Times New Roman" w:hAnsi="Times New Roman"/>
          <w:sz w:val="20"/>
          <w:szCs w:val="20"/>
          <w:color w:val="auto"/>
        </w:rPr>
        <w:t>and the related rules and regulations, because of their positions with the Company. The General Counsel maintains a Section 16 schedule and may amend it from time to time as appropriate to reflect the election of new officers or directors, any change in the</w:t>
      </w:r>
    </w:p>
    <w:p>
      <w:pPr>
        <w:spacing w:after="0" w:line="1" w:lineRule="exact"/>
        <w:rPr>
          <w:sz w:val="20"/>
          <w:szCs w:val="20"/>
          <w:color w:val="auto"/>
        </w:rPr>
      </w:pPr>
    </w:p>
    <w:p>
      <w:pPr>
        <w:ind w:left="80"/>
        <w:spacing w:after="0" w:line="228" w:lineRule="auto"/>
        <w:rPr>
          <w:sz w:val="20"/>
          <w:szCs w:val="20"/>
          <w:color w:val="auto"/>
        </w:rPr>
      </w:pPr>
      <w:r>
        <w:rPr>
          <w:rFonts w:ascii="Times New Roman" w:cs="Times New Roman" w:eastAsia="Times New Roman" w:hAnsi="Times New Roman"/>
          <w:sz w:val="20"/>
          <w:szCs w:val="20"/>
          <w:color w:val="auto"/>
        </w:rPr>
        <w:t>responsibilities of officers or other employees and any promotions, demotions, resignations or departures. Section 16 persons are informed of their status as such.</w:t>
      </w:r>
    </w:p>
    <w:p>
      <w:pPr>
        <w:spacing w:after="0" w:line="14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Notification requirements to facilitate Section 16 reporting</w:t>
      </w:r>
    </w:p>
    <w:p>
      <w:pPr>
        <w:spacing w:after="0" w:line="1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To facilitate timely reporting of transactions pursuant to Section 16 requirements, each person subject to Section 16 reporting</w:t>
      </w:r>
    </w:p>
    <w:p>
      <w:pPr>
        <w:jc w:val="both"/>
        <w:ind w:left="80" w:right="20"/>
        <w:spacing w:after="0" w:line="204" w:lineRule="auto"/>
        <w:rPr>
          <w:sz w:val="20"/>
          <w:szCs w:val="20"/>
          <w:color w:val="auto"/>
        </w:rPr>
      </w:pPr>
      <w:r>
        <w:rPr>
          <w:rFonts w:ascii="Times New Roman" w:cs="Times New Roman" w:eastAsia="Times New Roman" w:hAnsi="Times New Roman"/>
          <w:sz w:val="20"/>
          <w:szCs w:val="20"/>
          <w:color w:val="auto"/>
        </w:rPr>
        <w:t>requirements must provide, or must ensure that his or her broker provides, the Company with detailed information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xml:space="preserve"> trade date, number of shares, exact price, </w:t>
      </w:r>
      <w:r>
        <w:rPr>
          <w:rFonts w:ascii="Times New Roman" w:cs="Times New Roman" w:eastAsia="Times New Roman" w:hAnsi="Times New Roman"/>
          <w:sz w:val="20"/>
          <w:szCs w:val="20"/>
          <w:i w:val="1"/>
          <w:iCs w:val="1"/>
          <w:color w:val="auto"/>
        </w:rPr>
        <w:t>etc.</w:t>
      </w:r>
      <w:r>
        <w:rPr>
          <w:rFonts w:ascii="Times New Roman" w:cs="Times New Roman" w:eastAsia="Times New Roman" w:hAnsi="Times New Roman"/>
          <w:sz w:val="20"/>
          <w:szCs w:val="20"/>
          <w:color w:val="auto"/>
        </w:rPr>
        <w:t>) regarding his or her transactions involving the Company’s securities, including gifts, transfers,</w:t>
      </w:r>
    </w:p>
    <w:p>
      <w:pPr>
        <w:spacing w:after="0" w:line="1" w:lineRule="exact"/>
        <w:rPr>
          <w:sz w:val="20"/>
          <w:szCs w:val="20"/>
          <w:color w:val="auto"/>
        </w:rPr>
      </w:pPr>
    </w:p>
    <w:p>
      <w:pPr>
        <w:ind w:left="80" w:right="20"/>
        <w:spacing w:after="0" w:line="228" w:lineRule="auto"/>
        <w:rPr>
          <w:sz w:val="20"/>
          <w:szCs w:val="20"/>
          <w:color w:val="auto"/>
        </w:rPr>
      </w:pPr>
      <w:r>
        <w:rPr>
          <w:rFonts w:ascii="Times New Roman" w:cs="Times New Roman" w:eastAsia="Times New Roman" w:hAnsi="Times New Roman"/>
          <w:sz w:val="20"/>
          <w:szCs w:val="20"/>
          <w:color w:val="auto"/>
        </w:rPr>
        <w:t>pledges and transactions pursuant to a trading plan, both prior to (to confirm compliance with pre-clearance procedures, if applicable) and promptly following execution.</w:t>
      </w:r>
    </w:p>
    <w:p>
      <w:pPr>
        <w:spacing w:after="0" w:line="14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Personal responsibility</w:t>
      </w:r>
    </w:p>
    <w:p>
      <w:pPr>
        <w:spacing w:after="0" w:line="193" w:lineRule="exact"/>
        <w:rPr>
          <w:sz w:val="20"/>
          <w:szCs w:val="20"/>
          <w:color w:val="auto"/>
        </w:rPr>
      </w:pPr>
    </w:p>
    <w:p>
      <w:pPr>
        <w:ind w:left="80" w:right="20" w:firstLine="324"/>
        <w:spacing w:after="0"/>
        <w:rPr>
          <w:sz w:val="20"/>
          <w:szCs w:val="20"/>
          <w:color w:val="auto"/>
        </w:rPr>
      </w:pPr>
      <w:r>
        <w:rPr>
          <w:rFonts w:ascii="Times New Roman" w:cs="Times New Roman" w:eastAsia="Times New Roman" w:hAnsi="Times New Roman"/>
          <w:sz w:val="20"/>
          <w:szCs w:val="20"/>
          <w:color w:val="auto"/>
        </w:rPr>
        <w:t>The obligation to file Section 16 reports, and to otherwise comply with Section 16, is personal. The Company is not responsible for the failure to comply with Section 16 requirements.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Qualys, Inc. – Insider Trading Policy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- 15 -</w:t>
            </w:r>
          </w:p>
        </w:tc>
      </w:tr>
    </w:tbl>
    <w:p>
      <w:pPr>
        <w:sectPr>
          <w:pgSz w:w="11900" w:h="16838" w:orient="portrait"/>
          <w:cols w:equalWidth="0" w:num="1">
            <w:col w:w="10800"/>
          </w:cols>
          <w:pgMar w:left="340" w:top="1440" w:right="759" w:bottom="1440" w:gutter="0" w:footer="0" w:header="0"/>
        </w:sectPr>
      </w:pPr>
    </w:p>
    <w:bookmarkStart w:id="118" w:name="page119"/>
    <w:bookmarkEnd w:id="118"/>
    <w:p>
      <w:pPr>
        <w:spacing w:after="0" w:line="3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0"/>
          <w:szCs w:val="20"/>
          <w:b w:val="1"/>
          <w:bCs w:val="1"/>
          <w:color w:val="auto"/>
        </w:rPr>
        <w:t>ADDITIONAL INFORMATION</w:t>
      </w:r>
    </w:p>
    <w:p>
      <w:pPr>
        <w:spacing w:after="0" w:line="1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Delivery of Policy</w:t>
      </w:r>
    </w:p>
    <w:p>
      <w:pPr>
        <w:spacing w:after="0" w:line="179" w:lineRule="exact"/>
        <w:rPr>
          <w:sz w:val="20"/>
          <w:szCs w:val="20"/>
          <w:color w:val="auto"/>
        </w:rPr>
      </w:pPr>
    </w:p>
    <w:p>
      <w:pPr>
        <w:jc w:val="both"/>
        <w:ind w:left="80" w:right="20" w:firstLine="324"/>
        <w:spacing w:after="0" w:line="230" w:lineRule="auto"/>
        <w:rPr>
          <w:sz w:val="20"/>
          <w:szCs w:val="20"/>
          <w:color w:val="auto"/>
        </w:rPr>
      </w:pPr>
      <w:r>
        <w:rPr>
          <w:rFonts w:ascii="Times New Roman" w:cs="Times New Roman" w:eastAsia="Times New Roman" w:hAnsi="Times New Roman"/>
          <w:sz w:val="20"/>
          <w:szCs w:val="20"/>
          <w:color w:val="auto"/>
        </w:rPr>
        <w:t>This Policy will be delivered to all directors, officers, employees and advisors of the Company when they commence service with the Company. In addition, this Policy (or a summary of this Policy) will be circulated periodically. Each director, officer, employee and agent of the Company is required to acknowledge that he or she understands, and agrees to comply with, this Policy.</w:t>
      </w:r>
    </w:p>
    <w:p>
      <w:pPr>
        <w:spacing w:after="0" w:line="14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Protected Activity Not Prohibited</w:t>
      </w:r>
    </w:p>
    <w:p>
      <w:pPr>
        <w:spacing w:after="0" w:line="1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Nothing in this Policy, or any related guidelines or other documents or information provided in connection with this Policy, shall in</w:t>
      </w:r>
    </w:p>
    <w:p>
      <w:pPr>
        <w:spacing w:after="0" w:line="6" w:lineRule="exact"/>
        <w:rPr>
          <w:sz w:val="20"/>
          <w:szCs w:val="20"/>
          <w:color w:val="auto"/>
        </w:rPr>
      </w:pPr>
    </w:p>
    <w:p>
      <w:pPr>
        <w:jc w:val="both"/>
        <w:ind w:left="80"/>
        <w:spacing w:after="0" w:line="221" w:lineRule="auto"/>
        <w:rPr>
          <w:sz w:val="20"/>
          <w:szCs w:val="20"/>
          <w:color w:val="auto"/>
        </w:rPr>
      </w:pPr>
      <w:r>
        <w:rPr>
          <w:rFonts w:ascii="Times New Roman" w:cs="Times New Roman" w:eastAsia="Times New Roman" w:hAnsi="Times New Roman"/>
          <w:sz w:val="20"/>
          <w:szCs w:val="20"/>
          <w:color w:val="auto"/>
        </w:rPr>
        <w:t>any way limit or prohibit you from engaging in any of the protected activities set forth in the Company’s Whistleblower Policy, as amended from time to time.</w:t>
      </w:r>
    </w:p>
    <w:p>
      <w:pPr>
        <w:spacing w:after="0" w:line="1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Amendments</w:t>
      </w:r>
    </w:p>
    <w:p>
      <w:pPr>
        <w:spacing w:after="0" w:line="179" w:lineRule="exact"/>
        <w:rPr>
          <w:sz w:val="20"/>
          <w:szCs w:val="20"/>
          <w:color w:val="auto"/>
        </w:rPr>
      </w:pPr>
    </w:p>
    <w:p>
      <w:pPr>
        <w:jc w:val="both"/>
        <w:ind w:left="80" w:right="20" w:firstLine="324"/>
        <w:spacing w:after="0" w:line="234" w:lineRule="auto"/>
        <w:rPr>
          <w:sz w:val="20"/>
          <w:szCs w:val="20"/>
          <w:color w:val="auto"/>
        </w:rPr>
      </w:pPr>
      <w:r>
        <w:rPr>
          <w:rFonts w:ascii="Times New Roman" w:cs="Times New Roman" w:eastAsia="Times New Roman" w:hAnsi="Times New Roman"/>
          <w:sz w:val="19"/>
          <w:szCs w:val="19"/>
          <w:color w:val="auto"/>
        </w:rPr>
        <w:t>We are committed to continuously reviewing and updating our policies and procedures. The Company therefore reserves the right to amend, alter or terminate this Policy at any time and for any reason, subject to applicable law. Unless otherwise permitted by this</w:t>
      </w:r>
    </w:p>
    <w:p>
      <w:pPr>
        <w:spacing w:after="0" w:line="1" w:lineRule="exact"/>
        <w:rPr>
          <w:sz w:val="20"/>
          <w:szCs w:val="20"/>
          <w:color w:val="auto"/>
        </w:rPr>
      </w:pPr>
    </w:p>
    <w:p>
      <w:pPr>
        <w:jc w:val="both"/>
        <w:ind w:left="80" w:right="20"/>
        <w:spacing w:after="0" w:line="221" w:lineRule="auto"/>
        <w:rPr>
          <w:sz w:val="20"/>
          <w:szCs w:val="20"/>
          <w:color w:val="auto"/>
        </w:rPr>
      </w:pPr>
      <w:r>
        <w:rPr>
          <w:rFonts w:ascii="Times New Roman" w:cs="Times New Roman" w:eastAsia="Times New Roman" w:hAnsi="Times New Roman"/>
          <w:sz w:val="20"/>
          <w:szCs w:val="20"/>
          <w:color w:val="auto"/>
        </w:rPr>
        <w:t>Policy, any amendments must be approved by the Board of Directors. A current copy of the Company’s policies regarding insider trading may be obtained by contacting the General Counsel.</w:t>
      </w:r>
    </w:p>
    <w:p>
      <w:pPr>
        <w:spacing w:after="0" w:line="162" w:lineRule="exact"/>
        <w:rPr>
          <w:sz w:val="20"/>
          <w:szCs w:val="20"/>
          <w:color w:val="auto"/>
        </w:rPr>
      </w:pPr>
    </w:p>
    <w:p>
      <w:pPr>
        <w:jc w:val="center"/>
        <w:ind w:right="-419"/>
        <w:spacing w:after="0"/>
        <w:tabs>
          <w:tab w:leader="none" w:pos="180" w:val="left"/>
          <w:tab w:leader="none" w:pos="180" w:val="left"/>
        </w:tabs>
        <w:rPr>
          <w:sz w:val="20"/>
          <w:szCs w:val="20"/>
          <w:color w:val="auto"/>
        </w:rPr>
      </w:pPr>
      <w:r>
        <w:rPr>
          <w:rFonts w:ascii="Times New Roman" w:cs="Times New Roman" w:eastAsia="Times New Roman" w:hAnsi="Times New Roman"/>
          <w:sz w:val="20"/>
          <w:szCs w:val="20"/>
          <w:color w:val="auto"/>
        </w:rPr>
        <w:t>*</w:t>
        <w:tab/>
        <w:t>*</w:t>
        <w:tab/>
        <w:t>*</w:t>
      </w:r>
    </w:p>
    <w:p>
      <w:pPr>
        <w:spacing w:after="0" w:line="185" w:lineRule="exact"/>
        <w:rPr>
          <w:sz w:val="20"/>
          <w:szCs w:val="20"/>
          <w:color w:val="auto"/>
        </w:rPr>
      </w:pPr>
    </w:p>
    <w:p>
      <w:pPr>
        <w:jc w:val="both"/>
        <w:ind w:left="80" w:firstLine="324"/>
        <w:spacing w:after="0" w:line="217" w:lineRule="auto"/>
        <w:rPr>
          <w:sz w:val="20"/>
          <w:szCs w:val="20"/>
          <w:color w:val="auto"/>
        </w:rPr>
      </w:pPr>
      <w:r>
        <w:rPr>
          <w:rFonts w:ascii="Times New Roman" w:cs="Times New Roman" w:eastAsia="Times New Roman" w:hAnsi="Times New Roman"/>
          <w:sz w:val="20"/>
          <w:szCs w:val="20"/>
          <w:i w:val="1"/>
          <w:iCs w:val="1"/>
          <w:color w:val="auto"/>
        </w:rPr>
        <w:t>Nothing in this Insider Trading Policy creates or implies an employment contract or term of employment. Employment at the Company is employment at-will. Employment at-will may be terminated with or without cause and with or without notice at any time</w:t>
      </w:r>
    </w:p>
    <w:p>
      <w:pPr>
        <w:ind w:left="80"/>
        <w:spacing w:after="0" w:line="213" w:lineRule="auto"/>
        <w:rPr>
          <w:sz w:val="20"/>
          <w:szCs w:val="20"/>
          <w:color w:val="auto"/>
        </w:rPr>
      </w:pPr>
      <w:r>
        <w:rPr>
          <w:rFonts w:ascii="Times New Roman" w:cs="Times New Roman" w:eastAsia="Times New Roman" w:hAnsi="Times New Roman"/>
          <w:sz w:val="20"/>
          <w:szCs w:val="20"/>
          <w:i w:val="1"/>
          <w:iCs w:val="1"/>
          <w:color w:val="auto"/>
        </w:rPr>
        <w:t>by the employee or the Company. Nothing in this Insider Trading Policy shall limit the right to terminate employment at-will. No</w:t>
      </w:r>
    </w:p>
    <w:p>
      <w:pPr>
        <w:jc w:val="both"/>
        <w:ind w:left="80" w:right="20"/>
        <w:spacing w:after="0" w:line="215" w:lineRule="auto"/>
        <w:rPr>
          <w:sz w:val="20"/>
          <w:szCs w:val="20"/>
          <w:color w:val="auto"/>
        </w:rPr>
      </w:pPr>
      <w:r>
        <w:rPr>
          <w:rFonts w:ascii="Times New Roman" w:cs="Times New Roman" w:eastAsia="Times New Roman" w:hAnsi="Times New Roman"/>
          <w:sz w:val="19"/>
          <w:szCs w:val="19"/>
          <w:i w:val="1"/>
          <w:iCs w:val="1"/>
          <w:color w:val="auto"/>
        </w:rPr>
        <w:t>employee of the Company has any authority to enter into any agreement for employment for a specified period of time or to make any agreement or representation contrary to the Company’s policy of employment at-will. Only the Chief Executive Officer of the Company</w:t>
      </w:r>
    </w:p>
    <w:p>
      <w:pPr>
        <w:ind w:left="80"/>
        <w:spacing w:after="0"/>
        <w:rPr>
          <w:sz w:val="20"/>
          <w:szCs w:val="20"/>
          <w:color w:val="auto"/>
        </w:rPr>
      </w:pPr>
      <w:r>
        <w:rPr>
          <w:rFonts w:ascii="Times New Roman" w:cs="Times New Roman" w:eastAsia="Times New Roman" w:hAnsi="Times New Roman"/>
          <w:sz w:val="20"/>
          <w:szCs w:val="20"/>
          <w:i w:val="1"/>
          <w:iCs w:val="1"/>
          <w:color w:val="auto"/>
        </w:rPr>
        <w:t>has the authority to make any such agreement, which must be in writing.</w:t>
      </w:r>
    </w:p>
    <w:p>
      <w:pPr>
        <w:spacing w:after="0" w:line="163" w:lineRule="exact"/>
        <w:rPr>
          <w:sz w:val="20"/>
          <w:szCs w:val="20"/>
          <w:color w:val="auto"/>
        </w:rPr>
      </w:pPr>
    </w:p>
    <w:p>
      <w:pPr>
        <w:jc w:val="both"/>
        <w:ind w:left="80" w:right="20" w:firstLine="324"/>
        <w:spacing w:after="0" w:line="235" w:lineRule="auto"/>
        <w:rPr>
          <w:sz w:val="20"/>
          <w:szCs w:val="20"/>
          <w:color w:val="auto"/>
        </w:rPr>
      </w:pPr>
      <w:r>
        <w:rPr>
          <w:rFonts w:ascii="Times New Roman" w:cs="Times New Roman" w:eastAsia="Times New Roman" w:hAnsi="Times New Roman"/>
          <w:sz w:val="20"/>
          <w:szCs w:val="20"/>
          <w:i w:val="1"/>
          <w:iCs w:val="1"/>
          <w:color w:val="auto"/>
        </w:rPr>
        <w:t>The policies in this Insider Trading Policy do not constitute a complete list of Company policies or a complete list of the types of conduct that can result in discipline, up to and including discharge.</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Qualys, Inc. – Insider Trading Policy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- 16 -</w:t>
            </w:r>
          </w:p>
        </w:tc>
      </w:tr>
    </w:tbl>
    <w:p>
      <w:pPr>
        <w:sectPr>
          <w:pgSz w:w="11900" w:h="16838" w:orient="portrait"/>
          <w:cols w:equalWidth="0" w:num="1">
            <w:col w:w="10800"/>
          </w:cols>
          <w:pgMar w:left="340" w:top="1440" w:right="759" w:bottom="1440" w:gutter="0" w:footer="0" w:header="0"/>
        </w:sectPr>
      </w:pPr>
    </w:p>
    <w:bookmarkStart w:id="119" w:name="page120"/>
    <w:bookmarkEnd w:id="119"/>
    <w:p>
      <w:pPr>
        <w:ind w:left="4860"/>
        <w:spacing w:after="0"/>
        <w:rPr>
          <w:sz w:val="20"/>
          <w:szCs w:val="20"/>
          <w:color w:val="auto"/>
        </w:rPr>
      </w:pPr>
      <w:r>
        <w:rPr>
          <w:rFonts w:ascii="Times New Roman" w:cs="Times New Roman" w:eastAsia="Times New Roman" w:hAnsi="Times New Roman"/>
          <w:sz w:val="20"/>
          <w:szCs w:val="20"/>
          <w:b w:val="1"/>
          <w:bCs w:val="1"/>
          <w:color w:val="auto"/>
        </w:rPr>
        <w:t>QUALYS, INC.</w:t>
      </w:r>
    </w:p>
    <w:p>
      <w:pPr>
        <w:spacing w:after="0" w:line="1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REQUIREMENTS FOR TRADING PLANS</w:t>
      </w:r>
    </w:p>
    <w:p>
      <w:pPr>
        <w:jc w:val="center"/>
        <w:ind w:right="-19"/>
        <w:spacing w:after="0"/>
        <w:rPr>
          <w:sz w:val="20"/>
          <w:szCs w:val="20"/>
          <w:color w:val="auto"/>
        </w:rPr>
      </w:pPr>
      <w:r>
        <w:rPr>
          <w:rFonts w:ascii="Times New Roman" w:cs="Times New Roman" w:eastAsia="Times New Roman" w:hAnsi="Times New Roman"/>
          <w:sz w:val="20"/>
          <w:szCs w:val="20"/>
          <w:color w:val="auto"/>
        </w:rPr>
        <w:t>(Effective as of February 24, 2023)</w:t>
      </w:r>
    </w:p>
    <w:p>
      <w:pPr>
        <w:spacing w:after="0" w:line="167" w:lineRule="exact"/>
        <w:rPr>
          <w:sz w:val="20"/>
          <w:szCs w:val="20"/>
          <w:color w:val="auto"/>
        </w:rPr>
      </w:pPr>
    </w:p>
    <w:p>
      <w:pPr>
        <w:ind w:right="20" w:firstLine="324"/>
        <w:spacing w:after="0" w:line="215" w:lineRule="auto"/>
        <w:rPr>
          <w:sz w:val="20"/>
          <w:szCs w:val="20"/>
          <w:color w:val="auto"/>
        </w:rPr>
      </w:pPr>
      <w:r>
        <w:rPr>
          <w:rFonts w:ascii="Times New Roman" w:cs="Times New Roman" w:eastAsia="Times New Roman" w:hAnsi="Times New Roman"/>
          <w:sz w:val="20"/>
          <w:szCs w:val="20"/>
          <w:color w:val="auto"/>
        </w:rPr>
        <w:t>For transactions under a trading plan to be exempt from (i) the prohibitions in the company’s insider trading policy with respect to transactions made while aware of material nonpublic information and (ii) the pre-clearance procedures and blackout periods established</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under the insider trading policy, the trading plan must comply with the affirmative defense set forth in Exchange Act Rule 10b5-1 and must meet the following requirements:</w:t>
      </w:r>
    </w:p>
    <w:p>
      <w:pPr>
        <w:spacing w:after="0" w:line="149" w:lineRule="exact"/>
        <w:rPr>
          <w:sz w:val="20"/>
          <w:szCs w:val="20"/>
          <w:color w:val="auto"/>
        </w:rPr>
      </w:pPr>
    </w:p>
    <w:p>
      <w:pPr>
        <w:ind w:left="640" w:hanging="318"/>
        <w:spacing w:after="0"/>
        <w:tabs>
          <w:tab w:leader="none" w:pos="6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be in writing and signed by the person adopting the trading plan.</w:t>
      </w:r>
    </w:p>
    <w:p>
      <w:pPr>
        <w:spacing w:after="0" w:line="188" w:lineRule="exact"/>
        <w:rPr>
          <w:rFonts w:ascii="Times New Roman" w:cs="Times New Roman" w:eastAsia="Times New Roman" w:hAnsi="Times New Roman"/>
          <w:sz w:val="20"/>
          <w:szCs w:val="20"/>
          <w:color w:val="auto"/>
        </w:rPr>
      </w:pPr>
    </w:p>
    <w:p>
      <w:pPr>
        <w:ind w:left="640" w:hanging="318"/>
        <w:spacing w:after="0"/>
        <w:tabs>
          <w:tab w:leader="none" w:pos="6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be adopted at a time when:</w:t>
      </w:r>
    </w:p>
    <w:p>
      <w:pPr>
        <w:spacing w:after="0" w:line="80" w:lineRule="exact"/>
        <w:rPr>
          <w:rFonts w:ascii="Times New Roman" w:cs="Times New Roman" w:eastAsia="Times New Roman" w:hAnsi="Times New Roman"/>
          <w:sz w:val="20"/>
          <w:szCs w:val="20"/>
          <w:color w:val="auto"/>
        </w:rPr>
      </w:pPr>
    </w:p>
    <w:p>
      <w:pPr>
        <w:ind w:left="1280" w:hanging="310"/>
        <w:spacing w:after="0"/>
        <w:tabs>
          <w:tab w:leader="none" w:pos="128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adopting the trading plan is not aware of any material nonpublic information; and</w:t>
      </w:r>
    </w:p>
    <w:p>
      <w:pPr>
        <w:spacing w:after="0" w:line="67" w:lineRule="exact"/>
        <w:rPr>
          <w:rFonts w:ascii="Times New Roman" w:cs="Times New Roman" w:eastAsia="Times New Roman" w:hAnsi="Times New Roman"/>
          <w:sz w:val="20"/>
          <w:szCs w:val="20"/>
          <w:color w:val="auto"/>
        </w:rPr>
      </w:pPr>
    </w:p>
    <w:p>
      <w:pPr>
        <w:ind w:left="1280" w:hanging="310"/>
        <w:spacing w:after="0"/>
        <w:tabs>
          <w:tab w:leader="none" w:pos="128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quarterly, special or other trading blackout in effect with respect to the person adopting the plan.</w:t>
      </w:r>
    </w:p>
    <w:p>
      <w:pPr>
        <w:spacing w:after="0" w:line="188" w:lineRule="exact"/>
        <w:rPr>
          <w:rFonts w:ascii="Times New Roman" w:cs="Times New Roman" w:eastAsia="Times New Roman" w:hAnsi="Times New Roman"/>
          <w:sz w:val="20"/>
          <w:szCs w:val="20"/>
          <w:color w:val="auto"/>
        </w:rPr>
      </w:pPr>
    </w:p>
    <w:p>
      <w:pPr>
        <w:ind w:left="640" w:right="20" w:hanging="318"/>
        <w:spacing w:after="0" w:line="233" w:lineRule="auto"/>
        <w:tabs>
          <w:tab w:leader="none" w:pos="6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be entered in good faith and not as part of a plan or scheme to evade the prohibitions of Rule 10b5-1, and the person adopting the trading plan must act in good faith with respect to the trading plan.</w:t>
      </w:r>
    </w:p>
    <w:p>
      <w:pPr>
        <w:spacing w:after="0" w:line="160" w:lineRule="exact"/>
        <w:rPr>
          <w:rFonts w:ascii="Times New Roman" w:cs="Times New Roman" w:eastAsia="Times New Roman" w:hAnsi="Times New Roman"/>
          <w:sz w:val="20"/>
          <w:szCs w:val="20"/>
          <w:color w:val="auto"/>
        </w:rPr>
      </w:pPr>
    </w:p>
    <w:p>
      <w:pPr>
        <w:ind w:left="640" w:right="440" w:hanging="318"/>
        <w:spacing w:after="0"/>
        <w:tabs>
          <w:tab w:leader="none" w:pos="6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include representations that, on the date of adoption of the trading plan, the person adopting the trading plan:</w:t>
      </w:r>
    </w:p>
    <w:p>
      <w:pPr>
        <w:spacing w:after="0" w:line="39" w:lineRule="exact"/>
        <w:rPr>
          <w:rFonts w:ascii="Times New Roman" w:cs="Times New Roman" w:eastAsia="Times New Roman" w:hAnsi="Times New Roman"/>
          <w:sz w:val="20"/>
          <w:szCs w:val="20"/>
          <w:color w:val="auto"/>
        </w:rPr>
      </w:pPr>
    </w:p>
    <w:p>
      <w:pPr>
        <w:ind w:left="1280" w:hanging="310"/>
        <w:spacing w:after="0"/>
        <w:tabs>
          <w:tab w:leader="none" w:pos="128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not aware of material nonpublic information about the securities or the company; and</w:t>
      </w:r>
    </w:p>
    <w:p>
      <w:pPr>
        <w:spacing w:after="0" w:line="80" w:lineRule="exact"/>
        <w:rPr>
          <w:rFonts w:ascii="Times New Roman" w:cs="Times New Roman" w:eastAsia="Times New Roman" w:hAnsi="Times New Roman"/>
          <w:sz w:val="20"/>
          <w:szCs w:val="20"/>
          <w:color w:val="auto"/>
        </w:rPr>
      </w:pPr>
    </w:p>
    <w:p>
      <w:pPr>
        <w:ind w:left="1280" w:hanging="310"/>
        <w:spacing w:after="0"/>
        <w:tabs>
          <w:tab w:leader="none" w:pos="128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adopting the trading plan in good faith and not as part of a plan or scheme to evade the prohibitions of Rule 10b5-1.</w:t>
      </w:r>
    </w:p>
    <w:p>
      <w:pPr>
        <w:spacing w:after="0" w:line="188" w:lineRule="exact"/>
        <w:rPr>
          <w:rFonts w:ascii="Times New Roman" w:cs="Times New Roman" w:eastAsia="Times New Roman" w:hAnsi="Times New Roman"/>
          <w:sz w:val="20"/>
          <w:szCs w:val="20"/>
          <w:color w:val="auto"/>
        </w:rPr>
      </w:pPr>
    </w:p>
    <w:p>
      <w:pPr>
        <w:jc w:val="both"/>
        <w:ind w:left="640" w:hanging="318"/>
        <w:spacing w:after="0" w:line="226" w:lineRule="auto"/>
        <w:tabs>
          <w:tab w:leader="none" w:pos="6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adopting the trading plan may not have entered into or altered a corresponding or hedging transaction or position with respect to the securities subject to the trading plan and must agree not to enter into any such transaction while the trading plan is in effect.</w:t>
      </w:r>
    </w:p>
    <w:p>
      <w:pPr>
        <w:spacing w:after="0" w:line="160" w:lineRule="exact"/>
        <w:rPr>
          <w:rFonts w:ascii="Times New Roman" w:cs="Times New Roman" w:eastAsia="Times New Roman" w:hAnsi="Times New Roman"/>
          <w:sz w:val="20"/>
          <w:szCs w:val="20"/>
          <w:color w:val="auto"/>
        </w:rPr>
      </w:pPr>
    </w:p>
    <w:p>
      <w:pPr>
        <w:jc w:val="both"/>
        <w:ind w:left="640" w:hanging="318"/>
        <w:spacing w:after="0" w:line="222" w:lineRule="auto"/>
        <w:tabs>
          <w:tab w:leader="none" w:pos="6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first trade under the trading plan may not occur until the expiration of a cooling-off period consisting of the later of (a) 90 calendar days after the adoption of the trading plan and (b) two business days after the filing by the company of its financial results in a Form 10-Q or Form 10-K for the completed fiscal quarter in which the trading plan was adopted (but, in any event, this required cooling-off period is subject to a maximum of 120 days after adoption of the trading plan).</w:t>
      </w:r>
    </w:p>
    <w:p>
      <w:pPr>
        <w:spacing w:after="0" w:line="148" w:lineRule="exact"/>
        <w:rPr>
          <w:rFonts w:ascii="Times New Roman" w:cs="Times New Roman" w:eastAsia="Times New Roman" w:hAnsi="Times New Roman"/>
          <w:sz w:val="20"/>
          <w:szCs w:val="20"/>
          <w:color w:val="auto"/>
        </w:rPr>
      </w:pPr>
    </w:p>
    <w:p>
      <w:pPr>
        <w:ind w:left="640" w:hanging="318"/>
        <w:spacing w:after="0"/>
        <w:tabs>
          <w:tab w:leader="none" w:pos="6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have a minimum term of one year (starting from the date of adoption of the trading plan).</w:t>
      </w:r>
    </w:p>
    <w:p>
      <w:pPr>
        <w:spacing w:after="0" w:line="188" w:lineRule="exact"/>
        <w:rPr>
          <w:rFonts w:ascii="Times New Roman" w:cs="Times New Roman" w:eastAsia="Times New Roman" w:hAnsi="Times New Roman"/>
          <w:sz w:val="20"/>
          <w:szCs w:val="20"/>
          <w:color w:val="auto"/>
        </w:rPr>
      </w:pPr>
    </w:p>
    <w:p>
      <w:pPr>
        <w:jc w:val="both"/>
        <w:ind w:left="640" w:right="20" w:hanging="318"/>
        <w:spacing w:after="0" w:line="226" w:lineRule="auto"/>
        <w:tabs>
          <w:tab w:leader="none" w:pos="6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transactions during the term of the trading plan (except for the other “Limited Exceptions” identified in the company’s insider trading policy) must be conducted through the trading plan. In addition, the person adopting the trading plan may not have an outstanding (and may not subsequently enter into any additional) trading plan except as permitted by Rule 10b5-1.</w:t>
      </w:r>
    </w:p>
    <w:p>
      <w:pPr>
        <w:spacing w:after="0" w:line="160" w:lineRule="exact"/>
        <w:rPr>
          <w:rFonts w:ascii="Times New Roman" w:cs="Times New Roman" w:eastAsia="Times New Roman" w:hAnsi="Times New Roman"/>
          <w:sz w:val="20"/>
          <w:szCs w:val="20"/>
          <w:color w:val="auto"/>
        </w:rPr>
      </w:pPr>
    </w:p>
    <w:p>
      <w:pPr>
        <w:jc w:val="both"/>
        <w:ind w:left="640" w:hanging="318"/>
        <w:spacing w:after="0" w:line="226" w:lineRule="auto"/>
        <w:tabs>
          <w:tab w:leader="none" w:pos="6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modification or change to the amount, price or timing of transactions under the trading plan is deemed the termination of the trading plan, and the adoption of a new trading plan (a “</w:t>
      </w:r>
      <w:r>
        <w:rPr>
          <w:rFonts w:ascii="Times New Roman" w:cs="Times New Roman" w:eastAsia="Times New Roman" w:hAnsi="Times New Roman"/>
          <w:sz w:val="20"/>
          <w:szCs w:val="20"/>
          <w:b w:val="1"/>
          <w:bCs w:val="1"/>
          <w:i w:val="1"/>
          <w:iCs w:val="1"/>
          <w:color w:val="auto"/>
        </w:rPr>
        <w:t>Modification</w:t>
      </w:r>
      <w:r>
        <w:rPr>
          <w:rFonts w:ascii="Times New Roman" w:cs="Times New Roman" w:eastAsia="Times New Roman" w:hAnsi="Times New Roman"/>
          <w:sz w:val="20"/>
          <w:szCs w:val="20"/>
          <w:color w:val="auto"/>
        </w:rPr>
        <w:t>”). Therefore, a Modification is subject to the same conditions as a new trading plan as set forth in Sections 1 through 8 herein.</w:t>
      </w:r>
    </w:p>
    <w:p>
      <w:pPr>
        <w:sectPr>
          <w:pgSz w:w="11900" w:h="16838" w:orient="portrait"/>
          <w:cols w:equalWidth="0" w:num="1">
            <w:col w:w="11040"/>
          </w:cols>
          <w:pgMar w:left="420" w:top="1328" w:right="439" w:bottom="1440" w:gutter="0" w:footer="0" w:header="0"/>
        </w:sectPr>
      </w:pPr>
    </w:p>
    <w:bookmarkStart w:id="120" w:name="page121"/>
    <w:bookmarkEnd w:id="120"/>
    <w:p>
      <w:pPr>
        <w:ind w:left="720" w:hanging="318"/>
        <w:spacing w:after="0"/>
        <w:tabs>
          <w:tab w:leader="none" w:pos="711"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the one year period preceding the adoption or a Modification of a trading plan, a person may not have otherwise modified or adopted or had a Modification to a plan more than once.</w:t>
      </w:r>
    </w:p>
    <w:p>
      <w:pPr>
        <w:spacing w:after="0" w:line="161" w:lineRule="exact"/>
        <w:rPr>
          <w:rFonts w:ascii="Times New Roman" w:cs="Times New Roman" w:eastAsia="Times New Roman" w:hAnsi="Times New Roman"/>
          <w:sz w:val="20"/>
          <w:szCs w:val="20"/>
          <w:color w:val="auto"/>
        </w:rPr>
      </w:pPr>
    </w:p>
    <w:p>
      <w:pPr>
        <w:ind w:left="720" w:hanging="318"/>
        <w:spacing w:after="0" w:line="233" w:lineRule="auto"/>
        <w:tabs>
          <w:tab w:leader="none" w:pos="703"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may adopt a trading plan designed to cover a single trade only once in any consecutive 12- month period except as permitted by Rule 10b5-1.</w:t>
      </w:r>
    </w:p>
    <w:p>
      <w:pPr>
        <w:spacing w:after="0" w:line="160" w:lineRule="exact"/>
        <w:rPr>
          <w:rFonts w:ascii="Times New Roman" w:cs="Times New Roman" w:eastAsia="Times New Roman" w:hAnsi="Times New Roman"/>
          <w:sz w:val="20"/>
          <w:szCs w:val="20"/>
          <w:color w:val="auto"/>
        </w:rPr>
      </w:pPr>
    </w:p>
    <w:p>
      <w:pPr>
        <w:jc w:val="both"/>
        <w:ind w:left="720" w:hanging="318"/>
        <w:spacing w:after="0" w:line="231" w:lineRule="auto"/>
        <w:tabs>
          <w:tab w:leader="none" w:pos="711"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person that adopted the trading plan terminates the plan prior to its stated duration, he or she may not trade in the company’s securities until after the expiration of 30 calendar days following termination, subject to and in accordance with the company’s insider trading policy. Termination of the existing trading plan prior to its scheduled termination date may impact the timing of the first trade or the availability of the affirmative defense for a new trading plan; therefore, persons adopting a new trading plan are advised to exercise caution and consult with the General Counsel prior to the early termination of an existing trading plan.</w:t>
      </w:r>
    </w:p>
    <w:p>
      <w:pPr>
        <w:spacing w:after="0" w:line="163" w:lineRule="exact"/>
        <w:rPr>
          <w:rFonts w:ascii="Times New Roman" w:cs="Times New Roman" w:eastAsia="Times New Roman" w:hAnsi="Times New Roman"/>
          <w:sz w:val="19"/>
          <w:szCs w:val="19"/>
          <w:color w:val="auto"/>
        </w:rPr>
      </w:pPr>
    </w:p>
    <w:p>
      <w:pPr>
        <w:ind w:left="720" w:right="20" w:hanging="318"/>
        <w:spacing w:after="0" w:line="269" w:lineRule="auto"/>
        <w:tabs>
          <w:tab w:leader="none" w:pos="711"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must be promptly notified of any Modification or termination of the trading plan, including any suspension of trading under the trading plan.</w:t>
      </w:r>
    </w:p>
    <w:p>
      <w:pPr>
        <w:spacing w:after="0" w:line="145" w:lineRule="exact"/>
        <w:rPr>
          <w:rFonts w:ascii="Times New Roman" w:cs="Times New Roman" w:eastAsia="Times New Roman" w:hAnsi="Times New Roman"/>
          <w:sz w:val="20"/>
          <w:szCs w:val="20"/>
          <w:color w:val="auto"/>
        </w:rPr>
      </w:pPr>
    </w:p>
    <w:p>
      <w:pPr>
        <w:ind w:left="720" w:hanging="318"/>
        <w:spacing w:after="0"/>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must have authority to require the suspension or cancellation of the trading plan at any time.</w:t>
      </w:r>
    </w:p>
    <w:p>
      <w:pPr>
        <w:spacing w:after="0" w:line="188" w:lineRule="exact"/>
        <w:rPr>
          <w:rFonts w:ascii="Times New Roman" w:cs="Times New Roman" w:eastAsia="Times New Roman" w:hAnsi="Times New Roman"/>
          <w:sz w:val="20"/>
          <w:szCs w:val="20"/>
          <w:color w:val="auto"/>
        </w:rPr>
      </w:pPr>
    </w:p>
    <w:p>
      <w:pPr>
        <w:ind w:left="720" w:hanging="318"/>
        <w:spacing w:after="0"/>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trading plan grants discretion to a stockbroker or other person with respect to the execution of trades under the trading plan:</w:t>
      </w:r>
    </w:p>
    <w:p>
      <w:pPr>
        <w:spacing w:after="0" w:line="80" w:lineRule="exact"/>
        <w:rPr>
          <w:rFonts w:ascii="Times New Roman" w:cs="Times New Roman" w:eastAsia="Times New Roman" w:hAnsi="Times New Roman"/>
          <w:sz w:val="20"/>
          <w:szCs w:val="20"/>
          <w:color w:val="auto"/>
        </w:rPr>
      </w:pPr>
    </w:p>
    <w:p>
      <w:pPr>
        <w:ind w:left="1380" w:right="20" w:hanging="330"/>
        <w:spacing w:after="0" w:line="233" w:lineRule="auto"/>
        <w:tabs>
          <w:tab w:leader="none" w:pos="1368"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trades made under the trading plan must be executed by someone other than the stockbroker or other person that executes trades in other securities for the person adopting the trading plan;</w:t>
      </w:r>
    </w:p>
    <w:p>
      <w:pPr>
        <w:spacing w:after="0" w:line="52" w:lineRule="exact"/>
        <w:rPr>
          <w:rFonts w:ascii="Times New Roman" w:cs="Times New Roman" w:eastAsia="Times New Roman" w:hAnsi="Times New Roman"/>
          <w:sz w:val="20"/>
          <w:szCs w:val="20"/>
          <w:color w:val="auto"/>
        </w:rPr>
      </w:pPr>
    </w:p>
    <w:p>
      <w:pPr>
        <w:ind w:left="1380" w:hanging="330"/>
        <w:spacing w:after="0"/>
        <w:tabs>
          <w:tab w:leader="none" w:pos="1368"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adopting the trading plan may not confer with the person administering the trading plan regarding the company or its securities; and</w:t>
      </w:r>
    </w:p>
    <w:p>
      <w:pPr>
        <w:spacing w:after="0" w:line="39" w:lineRule="exact"/>
        <w:rPr>
          <w:rFonts w:ascii="Times New Roman" w:cs="Times New Roman" w:eastAsia="Times New Roman" w:hAnsi="Times New Roman"/>
          <w:sz w:val="20"/>
          <w:szCs w:val="20"/>
          <w:color w:val="auto"/>
        </w:rPr>
      </w:pPr>
    </w:p>
    <w:p>
      <w:pPr>
        <w:ind w:left="1380" w:right="20" w:hanging="330"/>
        <w:spacing w:after="0"/>
        <w:tabs>
          <w:tab w:leader="none" w:pos="1368"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administering the trading plan must provide prompt notice to the company of the execution of a transaction pursuant to the plan.</w:t>
      </w:r>
    </w:p>
    <w:p>
      <w:pPr>
        <w:spacing w:after="0" w:line="161" w:lineRule="exact"/>
        <w:rPr>
          <w:rFonts w:ascii="Times New Roman" w:cs="Times New Roman" w:eastAsia="Times New Roman" w:hAnsi="Times New Roman"/>
          <w:sz w:val="20"/>
          <w:szCs w:val="20"/>
          <w:color w:val="auto"/>
        </w:rPr>
      </w:pPr>
    </w:p>
    <w:p>
      <w:pPr>
        <w:ind w:left="720" w:hanging="318"/>
        <w:spacing w:after="0"/>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transactions under the trading plan must be in accordance with applicable law.</w:t>
      </w:r>
    </w:p>
    <w:p>
      <w:pPr>
        <w:spacing w:after="0" w:line="175" w:lineRule="exact"/>
        <w:rPr>
          <w:rFonts w:ascii="Times New Roman" w:cs="Times New Roman" w:eastAsia="Times New Roman" w:hAnsi="Times New Roman"/>
          <w:sz w:val="20"/>
          <w:szCs w:val="20"/>
          <w:color w:val="auto"/>
        </w:rPr>
      </w:pPr>
    </w:p>
    <w:p>
      <w:pPr>
        <w:ind w:left="720" w:hanging="318"/>
        <w:spacing w:after="0"/>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(including any Modification) must meet such other requirements as the Legal Department may determine.</w:t>
      </w:r>
    </w:p>
    <w:p>
      <w:pPr>
        <w:spacing w:after="0" w:line="184" w:lineRule="exact"/>
        <w:rPr>
          <w:rFonts w:ascii="Times New Roman" w:cs="Times New Roman" w:eastAsia="Times New Roman" w:hAnsi="Times New Roman"/>
          <w:sz w:val="20"/>
          <w:szCs w:val="20"/>
          <w:color w:val="auto"/>
        </w:rPr>
      </w:pPr>
    </w:p>
    <w:p>
      <w:pPr>
        <w:jc w:val="both"/>
        <w:ind w:left="720" w:hanging="318"/>
        <w:spacing w:after="0" w:line="227" w:lineRule="auto"/>
        <w:tabs>
          <w:tab w:leader="none" w:pos="711"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trading plans adopted or modified prior to February 27, 2023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are permitted to continue in place until all trades are executed thereunder or they expire by their terms (“</w:t>
      </w:r>
      <w:r>
        <w:rPr>
          <w:rFonts w:ascii="Times New Roman" w:cs="Times New Roman" w:eastAsia="Times New Roman" w:hAnsi="Times New Roman"/>
          <w:sz w:val="20"/>
          <w:szCs w:val="20"/>
          <w:b w:val="1"/>
          <w:bCs w:val="1"/>
          <w:i w:val="1"/>
          <w:iCs w:val="1"/>
          <w:color w:val="auto"/>
        </w:rPr>
        <w:t>Grandfathered Plans</w:t>
      </w:r>
      <w:r>
        <w:rPr>
          <w:rFonts w:ascii="Times New Roman" w:cs="Times New Roman" w:eastAsia="Times New Roman" w:hAnsi="Times New Roman"/>
          <w:sz w:val="20"/>
          <w:szCs w:val="20"/>
          <w:color w:val="auto"/>
        </w:rPr>
        <w:t>”). If the person undertakes a Modification of a Grandfathered Plan on or after the Effective Date, then the Modification must meet all of the requirements set forth herein.</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Qualys, Inc. – Requirements for Trading Plans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- 2 -</w:t>
            </w:r>
          </w:p>
        </w:tc>
      </w:tr>
    </w:tbl>
    <w:p>
      <w:pPr>
        <w:sectPr>
          <w:pgSz w:w="11900" w:h="16838" w:orient="portrait"/>
          <w:cols w:equalWidth="0" w:num="1">
            <w:col w:w="11120"/>
          </w:cols>
          <w:pgMar w:left="340" w:top="1386" w:right="439" w:bottom="1440" w:gutter="0" w:footer="0" w:header="0"/>
        </w:sectPr>
      </w:pPr>
    </w:p>
    <w:bookmarkStart w:id="121" w:name="page122"/>
    <w:bookmarkEnd w:id="121"/>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00" w:type="dxa"/>
            <w:vAlign w:val="bottom"/>
          </w:tcPr>
          <w:p>
            <w:pPr>
              <w:ind w:left="2380"/>
              <w:spacing w:after="0"/>
              <w:rPr>
                <w:sz w:val="20"/>
                <w:szCs w:val="20"/>
                <w:color w:val="auto"/>
              </w:rPr>
            </w:pPr>
            <w:r>
              <w:rPr>
                <w:rFonts w:ascii="Times New Roman" w:cs="Times New Roman" w:eastAsia="Times New Roman" w:hAnsi="Times New Roman"/>
                <w:sz w:val="18"/>
                <w:szCs w:val="18"/>
                <w:b w:val="1"/>
                <w:bCs w:val="1"/>
                <w:color w:val="auto"/>
                <w:w w:val="96"/>
              </w:rPr>
              <w:t>Exhibit 21.1</w:t>
            </w:r>
          </w:p>
        </w:tc>
        <w:tc>
          <w:tcPr>
            <w:tcW w:w="0" w:type="dxa"/>
            <w:vAlign w:val="bottom"/>
          </w:tcPr>
          <w:p>
            <w:pPr>
              <w:spacing w:after="0"/>
              <w:rPr>
                <w:sz w:val="1"/>
                <w:szCs w:val="1"/>
                <w:color w:val="auto"/>
              </w:rPr>
            </w:pPr>
          </w:p>
        </w:tc>
      </w:tr>
      <w:tr>
        <w:trPr>
          <w:trHeight w:val="459"/>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List of subsidiaries of Qualys, Inc.*</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Incorporation or</w:t>
            </w:r>
          </w:p>
        </w:tc>
        <w:tc>
          <w:tcPr>
            <w:tcW w:w="0" w:type="dxa"/>
            <w:vAlign w:val="bottom"/>
          </w:tcPr>
          <w:p>
            <w:pPr>
              <w:spacing w:after="0"/>
              <w:rPr>
                <w:sz w:val="1"/>
                <w:szCs w:val="1"/>
                <w:color w:val="auto"/>
              </w:rPr>
            </w:pPr>
          </w:p>
        </w:tc>
      </w:tr>
      <w:tr>
        <w:trPr>
          <w:trHeight w:val="243"/>
        </w:trPr>
        <w:tc>
          <w:tcPr>
            <w:tcW w:w="7940" w:type="dxa"/>
            <w:vAlign w:val="bottom"/>
            <w:gridSpan w:val="2"/>
            <w:vMerge w:val="continue"/>
          </w:tcPr>
          <w:p>
            <w:pPr>
              <w:spacing w:after="0"/>
              <w:rPr>
                <w:sz w:val="21"/>
                <w:szCs w:val="21"/>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Organization</w:t>
            </w:r>
          </w:p>
        </w:tc>
        <w:tc>
          <w:tcPr>
            <w:tcW w:w="0" w:type="dxa"/>
            <w:vAlign w:val="bottom"/>
          </w:tcPr>
          <w:p>
            <w:pPr>
              <w:spacing w:after="0"/>
              <w:rPr>
                <w:sz w:val="1"/>
                <w:szCs w:val="1"/>
                <w:color w:val="auto"/>
              </w:rPr>
            </w:pPr>
          </w:p>
        </w:tc>
      </w:tr>
      <w:tr>
        <w:trPr>
          <w:trHeight w:val="223"/>
        </w:trPr>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Qualys International, Inc.</w:t>
            </w:r>
          </w:p>
        </w:tc>
        <w:tc>
          <w:tcPr>
            <w:tcW w:w="80" w:type="dxa"/>
            <w:vAlign w:val="bottom"/>
            <w:tcBorders>
              <w:top w:val="single" w:sz="8" w:color="CCEEFF"/>
            </w:tcBorders>
            <w:shd w:val="clear" w:color="auto" w:fill="CCEEFF"/>
          </w:tcPr>
          <w:p>
            <w:pPr>
              <w:spacing w:after="0"/>
              <w:rPr>
                <w:sz w:val="19"/>
                <w:szCs w:val="19"/>
                <w:color w:val="auto"/>
              </w:rPr>
            </w:pPr>
          </w:p>
        </w:tc>
        <w:tc>
          <w:tcPr>
            <w:tcW w:w="3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Blue Jay Acquisition Sub, Inc.</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Qualys Brazil Desenvolvimento de Produtos e Consultoria de Tecnologias de Seguranca LTDA.</w:t>
            </w: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29"/>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Qualys Canada, Ltd.</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Qualys Technologies, S.A.</w:t>
            </w: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29"/>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Qualys Italy S.R.L.</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Qualys GmbH</w:t>
            </w: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29"/>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Qualys Hong Kong Limited</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22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Qualys Security TechServices Private Ltd.</w:t>
            </w: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230"/>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Qualys Japan K.K.</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2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Qualys Singapore Pte. Ltd.</w:t>
            </w: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229"/>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Qualys Middle East FZE</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Qualys Ltd.</w:t>
            </w: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9"/>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Qualys Australia Pty Ltd.</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Qualys Switzerland Sarl</w:t>
            </w: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0" w:type="dxa"/>
            <w:vAlign w:val="bottom"/>
          </w:tcPr>
          <w:p>
            <w:pPr>
              <w:spacing w:after="0"/>
              <w:rPr>
                <w:sz w:val="1"/>
                <w:szCs w:val="1"/>
                <w:color w:val="auto"/>
              </w:rPr>
            </w:pPr>
          </w:p>
        </w:tc>
      </w:tr>
      <w:tr>
        <w:trPr>
          <w:trHeight w:val="229"/>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Qualys Colombia S.A.S.</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Colombia</w:t>
            </w: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Qualys South Africa Proprietary Limited</w:t>
            </w: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Africa</w:t>
            </w:r>
          </w:p>
        </w:tc>
        <w:tc>
          <w:tcPr>
            <w:tcW w:w="0" w:type="dxa"/>
            <w:vAlign w:val="bottom"/>
          </w:tcPr>
          <w:p>
            <w:pPr>
              <w:spacing w:after="0"/>
              <w:rPr>
                <w:sz w:val="1"/>
                <w:szCs w:val="1"/>
                <w:color w:val="auto"/>
              </w:rPr>
            </w:pPr>
          </w:p>
        </w:tc>
      </w:tr>
      <w:tr>
        <w:trPr>
          <w:trHeight w:val="234"/>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Qualys Netherlands B.V.</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Netherlands</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firstLine="8"/>
        <w:spacing w:after="0" w:line="282" w:lineRule="auto"/>
        <w:tabs>
          <w:tab w:leader="none" w:pos="1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Inclusion on the list above is not an admission that any of the above entities, individually or in the aggregate, constitutes a significant subsidiary within the meaning of Rule 1-02(w) of Regulation S-X and Item 601(b)(21)(ii) of Regulation S-K.</w:t>
      </w:r>
    </w:p>
    <w:p>
      <w:pPr>
        <w:sectPr>
          <w:pgSz w:w="11900" w:h="16838" w:orient="portrait"/>
          <w:cols w:equalWidth="0" w:num="1">
            <w:col w:w="11240"/>
          </w:cols>
          <w:pgMar w:left="320" w:top="1440"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issued our reports dated February 21, 2025, with respect to the consolidated financial statements and internal control over financial reporting included in the Annual Report of Qualys, Inc. on Form 10-K for the year ended December 31, 2024. We consent to the incorporation by reference of said reports in the Registration Statements of Qualys, Inc. on Forms S-8 (File Nos. 333-184394, 333-193576, 333-202587, 333-209735, 333-216232, 333-223192, 333-229908, 333-236576, 333-253373, 333-257657, 333-262912 and 333-281316).</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2025</w:t>
      </w:r>
    </w:p>
    <w:p>
      <w:pPr>
        <w:sectPr>
          <w:pgSz w:w="11900" w:h="16838" w:orient="portrait"/>
          <w:cols w:equalWidth="0" w:num="1">
            <w:col w:w="11240"/>
          </w:cols>
          <w:pgMar w:left="320" w:top="1413"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Sumedh S. Thakar, certify that:</w:t>
      </w:r>
    </w:p>
    <w:p>
      <w:pPr>
        <w:spacing w:after="0" w:line="225" w:lineRule="exact"/>
        <w:rPr>
          <w:sz w:val="20"/>
          <w:szCs w:val="20"/>
          <w:color w:val="auto"/>
        </w:rPr>
      </w:pPr>
    </w:p>
    <w:p>
      <w:pPr>
        <w:ind w:left="500" w:hanging="492"/>
        <w:spacing w:after="0"/>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Qualys, Inc.;</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1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1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820" w:hanging="326"/>
        <w:spacing w:after="0" w:line="282" w:lineRule="auto"/>
        <w:tabs>
          <w:tab w:leader="none" w:pos="81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1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20" w:hanging="326"/>
        <w:spacing w:after="0" w:line="282" w:lineRule="auto"/>
        <w:tabs>
          <w:tab w:leader="none" w:pos="81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20" w:hanging="326"/>
        <w:spacing w:after="0" w:line="282" w:lineRule="auto"/>
        <w:tabs>
          <w:tab w:leader="none" w:pos="81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21, 2025</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SUMEDH S. THAKAR</w:t>
            </w:r>
          </w:p>
        </w:tc>
      </w:tr>
      <w:tr>
        <w:trPr>
          <w:trHeight w:val="218"/>
        </w:trPr>
        <w:tc>
          <w:tcPr>
            <w:tcW w:w="122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Sumedh S. Thakar</w:t>
            </w:r>
          </w:p>
        </w:tc>
      </w:tr>
      <w:tr>
        <w:trPr>
          <w:trHeight w:val="230"/>
        </w:trPr>
        <w:tc>
          <w:tcPr>
            <w:tcW w:w="122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29"/>
        </w:trPr>
        <w:tc>
          <w:tcPr>
            <w:tcW w:w="122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34"/>
        </w:trPr>
        <w:tc>
          <w:tcPr>
            <w:tcW w:w="122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Qualys, Inc.</w:t>
            </w:r>
          </w:p>
        </w:tc>
      </w:tr>
    </w:tbl>
    <w:p>
      <w:pPr>
        <w:sectPr>
          <w:pgSz w:w="11900" w:h="16838" w:orient="portrait"/>
          <w:cols w:equalWidth="0" w:num="1">
            <w:col w:w="11240"/>
          </w:cols>
          <w:pgMar w:left="320" w:top="981"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Joo Mi Kim, certify that:</w:t>
      </w:r>
    </w:p>
    <w:p>
      <w:pPr>
        <w:spacing w:after="0" w:line="225" w:lineRule="exact"/>
        <w:rPr>
          <w:sz w:val="20"/>
          <w:szCs w:val="20"/>
          <w:color w:val="auto"/>
        </w:rPr>
      </w:pPr>
    </w:p>
    <w:p>
      <w:pPr>
        <w:ind w:left="500" w:hanging="492"/>
        <w:spacing w:after="0"/>
        <w:tabs>
          <w:tab w:leader="none" w:pos="5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Qualys, Inc.;</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1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1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820" w:hanging="326"/>
        <w:spacing w:after="0" w:line="282" w:lineRule="auto"/>
        <w:tabs>
          <w:tab w:leader="none" w:pos="81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1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20" w:hanging="326"/>
        <w:spacing w:after="0" w:line="282" w:lineRule="auto"/>
        <w:tabs>
          <w:tab w:leader="none" w:pos="81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20" w:hanging="326"/>
        <w:spacing w:after="0" w:line="282" w:lineRule="auto"/>
        <w:tabs>
          <w:tab w:leader="none" w:pos="81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21, 2025</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JOO MI KIM</w:t>
            </w:r>
          </w:p>
        </w:tc>
      </w:tr>
      <w:tr>
        <w:trPr>
          <w:trHeight w:val="218"/>
        </w:trPr>
        <w:tc>
          <w:tcPr>
            <w:tcW w:w="122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Joo Mi Kim</w:t>
            </w:r>
          </w:p>
        </w:tc>
      </w:tr>
      <w:tr>
        <w:trPr>
          <w:trHeight w:val="230"/>
        </w:trPr>
        <w:tc>
          <w:tcPr>
            <w:tcW w:w="122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0"/>
        </w:trPr>
        <w:tc>
          <w:tcPr>
            <w:tcW w:w="122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234"/>
        </w:trPr>
        <w:tc>
          <w:tcPr>
            <w:tcW w:w="122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Qualys, Inc.</w:t>
            </w:r>
          </w:p>
        </w:tc>
      </w:tr>
    </w:tbl>
    <w:p>
      <w:pPr>
        <w:sectPr>
          <w:pgSz w:w="11900" w:h="16838" w:orient="portrait"/>
          <w:cols w:equalWidth="0" w:num="1">
            <w:col w:w="11240"/>
          </w:cols>
          <w:pgMar w:left="320" w:top="981"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13a-14(b) OR RULE 15d-14(b) OF THE SECURITIES EXCHANGE ACT OF 1934 AND 18 U.S.C. SECTION 1350</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Qualys, Inc. (the “Company”) on Form 10-K for the year ended December 31, 2024, as filed with the Securities and Exchange Commission on the date hereof (the “Report”), I, Sumedh S. Thakar, Chief Executive Officer of the Company, certify, pursuant to 18 U.S.C.</w:t>
      </w:r>
    </w:p>
    <w:p>
      <w:pPr>
        <w:ind w:left="140" w:hanging="132"/>
        <w:spacing w:after="0"/>
        <w:tabs>
          <w:tab w:leader="none" w:pos="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1350, as adopted pursuant to § 906 of the Sarbanes-Oxley Act of 2002, that, to the best of my knowledge:</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 w:lineRule="exact"/>
        <w:rPr>
          <w:rFonts w:ascii="Times New Roman" w:cs="Times New Roman" w:eastAsia="Times New Roman" w:hAnsi="Times New Roman"/>
          <w:sz w:val="18"/>
          <w:szCs w:val="18"/>
          <w:color w:val="auto"/>
        </w:rPr>
      </w:pPr>
    </w:p>
    <w:p>
      <w:pPr>
        <w:ind w:left="820" w:hanging="326"/>
        <w:spacing w:after="0" w:line="260" w:lineRule="auto"/>
        <w:tabs>
          <w:tab w:leader="none" w:pos="81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21, 2025</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SUMEDH S. THAKAR</w:t>
            </w:r>
          </w:p>
        </w:tc>
      </w:tr>
      <w:tr>
        <w:trPr>
          <w:trHeight w:val="218"/>
        </w:trPr>
        <w:tc>
          <w:tcPr>
            <w:tcW w:w="122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Sumedh S. Thakar</w:t>
            </w:r>
          </w:p>
        </w:tc>
      </w:tr>
      <w:tr>
        <w:trPr>
          <w:trHeight w:val="230"/>
        </w:trPr>
        <w:tc>
          <w:tcPr>
            <w:tcW w:w="122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29"/>
        </w:trPr>
        <w:tc>
          <w:tcPr>
            <w:tcW w:w="122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34"/>
        </w:trPr>
        <w:tc>
          <w:tcPr>
            <w:tcW w:w="122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Qualys, Inc.</w:t>
            </w:r>
          </w:p>
        </w:tc>
      </w:tr>
    </w:tbl>
    <w:p>
      <w:pPr>
        <w:sectPr>
          <w:pgSz w:w="11900" w:h="16838" w:orient="portrait"/>
          <w:cols w:equalWidth="0" w:num="1">
            <w:col w:w="11240"/>
          </w:cols>
          <w:pgMar w:left="320" w:top="1143" w:right="339" w:bottom="1440" w:gutter="0" w:footer="0" w:header="0"/>
        </w:sectPr>
      </w:pPr>
    </w:p>
    <w:bookmarkStart w:id="126" w:name="page127"/>
    <w:bookmarkEnd w:id="126"/>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13a-14(b) OR RULE 15d-14(b) OF THE SECURITIES EXCHANGE ACT OF 1934 AND 18 U.S.C. SECTION 1350</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connection with the Annual Report of Qualys, Inc. (the “Company”) on Form 10-K for the year ended December 31, 2024, as filed with the Securities and Exchange Commission on the date hereof (the “Report”), I, Joo Mi Kim, Chief Financial Officer of the Company, certify, pursuant to 18 U.S.C. § 1350, as adopted pursuant to § 906 of the Sarbanes-Oxley Act of 2002, that, to the best of my knowledge:</w:t>
      </w:r>
    </w:p>
    <w:p>
      <w:pPr>
        <w:spacing w:after="0" w:line="1" w:lineRule="exact"/>
        <w:rPr>
          <w:sz w:val="20"/>
          <w:szCs w:val="20"/>
          <w:color w:val="auto"/>
        </w:rPr>
      </w:pPr>
    </w:p>
    <w:p>
      <w:pPr>
        <w:ind w:left="820" w:hanging="326"/>
        <w:spacing w:after="0"/>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 w:lineRule="exact"/>
        <w:rPr>
          <w:rFonts w:ascii="Times New Roman" w:cs="Times New Roman" w:eastAsia="Times New Roman" w:hAnsi="Times New Roman"/>
          <w:sz w:val="18"/>
          <w:szCs w:val="18"/>
          <w:color w:val="auto"/>
        </w:rPr>
      </w:pPr>
    </w:p>
    <w:p>
      <w:pPr>
        <w:ind w:left="820" w:hanging="326"/>
        <w:spacing w:after="0" w:line="260" w:lineRule="auto"/>
        <w:tabs>
          <w:tab w:leader="none" w:pos="81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21, 2025</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JOO MI KIM</w:t>
            </w:r>
          </w:p>
        </w:tc>
      </w:tr>
      <w:tr>
        <w:trPr>
          <w:trHeight w:val="218"/>
        </w:trPr>
        <w:tc>
          <w:tcPr>
            <w:tcW w:w="122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Joo Mi Kim</w:t>
            </w:r>
          </w:p>
        </w:tc>
      </w:tr>
      <w:tr>
        <w:trPr>
          <w:trHeight w:val="230"/>
        </w:trPr>
        <w:tc>
          <w:tcPr>
            <w:tcW w:w="122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122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234"/>
        </w:trPr>
        <w:tc>
          <w:tcPr>
            <w:tcW w:w="122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Qualys, Inc.</w:t>
            </w:r>
          </w:p>
        </w:tc>
      </w:tr>
    </w:tbl>
    <w:p>
      <w:pPr>
        <w:spacing w:after="0" w:line="1" w:lineRule="exact"/>
        <w:rPr>
          <w:sz w:val="20"/>
          <w:szCs w:val="20"/>
          <w:color w:val="auto"/>
        </w:rPr>
      </w:pP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x"/>
      <w:numFmt w:val="bullet"/>
      <w:start w:val="1"/>
    </w:lvl>
  </w:abstractNum>
  <w:abstractNum w:abstractNumId="1">
    <w:nsid w:val="79838CB2"/>
    <w:multiLevelType w:val="hybridMultilevel"/>
    <w:lvl w:ilvl="0">
      <w:lvlJc w:val="left"/>
      <w:lvlText w:val="o"/>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1)"/>
      <w:numFmt w:val="decimal"/>
      <w:start w:val="1"/>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1)"/>
      <w:numFmt w:val="decimal"/>
      <w:start w:val="4"/>
    </w:lvl>
  </w:abstractNum>
  <w:abstractNum w:abstractNumId="29">
    <w:nsid w:val="5E884ADC"/>
    <w:multiLevelType w:val="hybridMultilevel"/>
    <w:lvl w:ilvl="0">
      <w:lvlJc w:val="left"/>
      <w:lvlText w:val="%1"/>
      <w:numFmt w:val="decimal"/>
      <w:start w:val="104"/>
    </w:lvl>
    <w:lvl w:ilvl="1">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lowerLetter"/>
      <w:start w:val="1"/>
    </w:lvl>
  </w:abstractNum>
  <w:abstractNum w:abstractNumId="34">
    <w:nsid w:val="3855585C"/>
    <w:multiLevelType w:val="hybridMultilevel"/>
    <w:lvl w:ilvl="0">
      <w:lvlJc w:val="left"/>
      <w:lvlText w:val="%1."/>
      <w:numFmt w:val="decimal"/>
      <w:start w:val="3"/>
    </w:lvl>
  </w:abstractNum>
  <w:abstractNum w:abstractNumId="35">
    <w:nsid w:val="70A64E2A"/>
    <w:multiLevelType w:val="hybridMultilevel"/>
    <w:lvl w:ilvl="0">
      <w:lvlJc w:val="left"/>
      <w:lvlText w:val="(%1)"/>
      <w:numFmt w:val="lowerLetter"/>
      <w:start w:val="2"/>
    </w:lvl>
  </w:abstractNum>
  <w:abstractNum w:abstractNumId="36">
    <w:nsid w:val="6A2342EC"/>
    <w:multiLevelType w:val="hybridMultilevel"/>
    <w:lvl w:ilvl="0">
      <w:lvlJc w:val="left"/>
      <w:lvlText w:val="(%1)"/>
      <w:numFmt w:val="lowerLetter"/>
      <w:start w:val="3"/>
    </w:lvl>
    <w:lvl w:ilvl="1">
      <w:lvlJc w:val="left"/>
      <w:lvlText w:val="(%2)"/>
      <w:numFmt w:val="decimal"/>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1)"/>
      <w:numFmt w:val="lowerRoman"/>
      <w:start w:val="1"/>
    </w:lvl>
  </w:abstractNum>
  <w:abstractNum w:abstractNumId="41">
    <w:nsid w:val="57E4CCAF"/>
    <w:multiLevelType w:val="hybridMultilevel"/>
    <w:lvl w:ilvl="0">
      <w:lvlJc w:val="left"/>
      <w:lvlText w:val="%1."/>
      <w:numFmt w:val="decimal"/>
      <w:start w:val="1"/>
    </w:lvl>
    <w:lvl w:ilvl="1">
      <w:lvlJc w:val="left"/>
      <w:lvlText w:val="•"/>
      <w:numFmt w:val="bullet"/>
      <w:start w:val="1"/>
    </w:lvl>
  </w:abstractNum>
  <w:abstractNum w:abstractNumId="42">
    <w:nsid w:val="7A6D8D3C"/>
    <w:multiLevelType w:val="hybridMultilevel"/>
    <w:lvl w:ilvl="0">
      <w:lvlJc w:val="left"/>
      <w:lvlText w:val="%1."/>
      <w:numFmt w:val="decimal"/>
      <w:start w:val="10"/>
    </w:lvl>
    <w:lvl w:ilvl="1">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
      <w:numFmt w:val="bullet"/>
      <w:start w:val="1"/>
    </w:lvl>
    <w:lvl w:ilvl="1">
      <w:lvlJc w:val="left"/>
      <w:lvlText w:val="(%2)"/>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34" Type="http://schemas.openxmlformats.org/officeDocument/2006/relationships/image" Target="media/image114.png"/><Relationship Id="rId138" Type="http://schemas.openxmlformats.org/officeDocument/2006/relationships/image" Target="media/image115.png"/><Relationship Id="rId140" Type="http://schemas.openxmlformats.org/officeDocument/2006/relationships/image" Target="media/image116.png"/><Relationship Id="rId141" Type="http://schemas.openxmlformats.org/officeDocument/2006/relationships/image" Target="media/image117.png"/><Relationship Id="rId142" Type="http://schemas.openxmlformats.org/officeDocument/2006/relationships/image" Target="media/image118.png"/><Relationship Id="rId143" Type="http://schemas.openxmlformats.org/officeDocument/2006/relationships/image" Target="media/image119.jpeg"/><Relationship Id="rId121" Type="http://schemas.openxmlformats.org/officeDocument/2006/relationships/hyperlink" Target="https://www.sec.gov/Archives/edgar/data/1107843/000119312512388433/d355355dex33.htm" TargetMode="External"/><Relationship Id="rId122" Type="http://schemas.openxmlformats.org/officeDocument/2006/relationships/hyperlink" Target="https://www.sec.gov/Archives/edgar/data/1107843/000119312522275854/d374785dex31.htm" TargetMode="External"/><Relationship Id="rId123" Type="http://schemas.openxmlformats.org/officeDocument/2006/relationships/hyperlink" Target="https://www.sec.gov/Archives/edgar/data/1107843/000119312512388433/d355355dex41.htm" TargetMode="External"/><Relationship Id="rId124" Type="http://schemas.openxmlformats.org/officeDocument/2006/relationships/hyperlink" Target="https://www.sec.gov/Archives/edgar/data/1107843/000162828020001963/qlys-201910kxexht42.htm" TargetMode="External"/><Relationship Id="rId125" Type="http://schemas.openxmlformats.org/officeDocument/2006/relationships/hyperlink" Target="https://www.sec.gov/Archives/edgar/data/1107843/000119312512265366/d355355dex101.htm" TargetMode="External"/><Relationship Id="rId126" Type="http://schemas.openxmlformats.org/officeDocument/2006/relationships/hyperlink" Target="https://www.sec.gov/Archives/edgar/data/1107843/000110784324000019/qlys-20240612xex101.htm" TargetMode="External"/><Relationship Id="rId127" Type="http://schemas.openxmlformats.org/officeDocument/2006/relationships/hyperlink" Target="https://www.sec.gov/Archives/edgar/data/0001107843/000119312521188846/d573211dex101.htm" TargetMode="External"/><Relationship Id="rId128" Type="http://schemas.openxmlformats.org/officeDocument/2006/relationships/hyperlink" Target="https://www.sec.gov/Archives/edgar/data/1107843/000119312512265366/d355355dex105.htm" TargetMode="External"/><Relationship Id="rId129" Type="http://schemas.openxmlformats.org/officeDocument/2006/relationships/hyperlink" Target="https://www.sec.gov/Archives/edgar/data/1107843/000119312520151509/d800805dex101.htm" TargetMode="External"/><Relationship Id="rId130" Type="http://schemas.openxmlformats.org/officeDocument/2006/relationships/hyperlink" Target="https://www.sec.gov/Archives/edgar/data/1107843/000119312512265366/d355355dex109.htm" TargetMode="External"/><Relationship Id="rId131" Type="http://schemas.openxmlformats.org/officeDocument/2006/relationships/hyperlink" Target="https://www.sec.gov/Archives/edgar/data/1107843/000110784324000028/qlys-20240630xex102.htm" TargetMode="External"/><Relationship Id="rId132" Type="http://schemas.openxmlformats.org/officeDocument/2006/relationships/hyperlink" Target="https://www.sec.gov/Archives/edgar/data/1107843/000110784324000028/qlys-20240630xex103.htm" TargetMode="External"/><Relationship Id="rId133" Type="http://schemas.openxmlformats.org/officeDocument/2006/relationships/hyperlink" Target="https://www.sec.gov/Archives/edgar/data/1107843/000143774922004075/ex_332987.htm" TargetMode="External"/><Relationship Id="rId135" Type="http://schemas.openxmlformats.org/officeDocument/2006/relationships/hyperlink" Target="https://www.sec.gov/Archives/edgar/data/1107843/000119312512350036/d355355dex1010.htm" TargetMode="External"/><Relationship Id="rId136" Type="http://schemas.openxmlformats.org/officeDocument/2006/relationships/hyperlink" Target="https://www.sec.gov/Archives/edgar/data/1107843/000119312516554340/d85159ddef14a.htm" TargetMode="External"/><Relationship Id="rId137" Type="http://schemas.openxmlformats.org/officeDocument/2006/relationships/hyperlink" Target="https://www.sec.gov/Archives/edgar/data/1107843/000119312516741827/d270006dex101.htm" TargetMode="External"/><Relationship Id="rId139" Type="http://schemas.openxmlformats.org/officeDocument/2006/relationships/hyperlink" Target="https://www.sec.gov/Archives/edgar/data/1107843/000110784324000008/qlys-20231231x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2025-02-21T16:16:57Z</dcterms:created>
  <dcterms:modified xsi:type="dcterms:W3CDTF">2025-02-21T16:16:57Z</dcterms:modified>
</cp:coreProperties>
</file>