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96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June 30, 2014</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July 31, 2014 was 32,986,683.</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260" w:type="dxa"/>
            <w:vAlign w:val="bottom"/>
            <w:tcBorders>
              <w:bottom w:val="single" w:sz="8" w:color="0000FF"/>
            </w:tcBorders>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Balance Sheets as of </w:t>
              </w:r>
            </w:hyperlink>
            <w:r>
              <w:rPr>
                <w:rFonts w:ascii="Arial" w:cs="Arial" w:eastAsia="Arial" w:hAnsi="Arial"/>
                <w:sz w:val="16"/>
                <w:szCs w:val="16"/>
                <w:color w:val="0000FF"/>
              </w:rPr>
              <w:t>June 30, 2014 and December 31, 2013</w:t>
            </w:r>
          </w:p>
        </w:tc>
        <w:tc>
          <w:tcPr>
            <w:tcW w:w="3440" w:type="dxa"/>
            <w:vAlign w:val="bottom"/>
            <w:gridSpan w:val="5"/>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Statements of Operations for the three </w:t>
              </w:r>
            </w:hyperlink>
            <w:r>
              <w:rPr>
                <w:rFonts w:ascii="Arial" w:cs="Arial" w:eastAsia="Arial" w:hAnsi="Arial"/>
                <w:sz w:val="16"/>
                <w:szCs w:val="16"/>
                <w:color w:val="0000FF"/>
              </w:rPr>
              <w:t>and six months ended June 30, 2014 and 2013</w:t>
            </w:r>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Condensed Consolidated Statements of Comprehensive Income for the three </w:t>
              </w:r>
            </w:hyperlink>
            <w:r>
              <w:rPr>
                <w:rFonts w:ascii="Arial" w:cs="Arial" w:eastAsia="Arial" w:hAnsi="Arial"/>
                <w:sz w:val="16"/>
                <w:szCs w:val="16"/>
                <w:color w:val="0000FF"/>
              </w:rPr>
              <w:t>and six months ended June 30, 2014 and 2013</w:t>
            </w:r>
          </w:p>
        </w:tc>
        <w:tc>
          <w:tcPr>
            <w:tcW w:w="80" w:type="dxa"/>
            <w:vAlign w:val="bottom"/>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38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Condensed Consolidated Statements of Cash Flows for the </w:t>
              </w:r>
            </w:hyperlink>
            <w:r>
              <w:rPr>
                <w:rFonts w:ascii="Arial" w:cs="Arial" w:eastAsia="Arial" w:hAnsi="Arial"/>
                <w:sz w:val="16"/>
                <w:szCs w:val="16"/>
                <w:color w:val="0000FF"/>
              </w:rPr>
              <w:t>six months ended June 30, 2014 and 2013</w:t>
            </w:r>
          </w:p>
        </w:tc>
        <w:tc>
          <w:tcPr>
            <w:tcW w:w="1580" w:type="dxa"/>
            <w:vAlign w:val="bottom"/>
            <w:tcBorders>
              <w:top w:val="single" w:sz="8" w:color="0000FF"/>
            </w:tcBorders>
            <w:gridSpan w:val="2"/>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Borders>
              <w:top w:val="single" w:sz="8" w:color="0000FF"/>
              <w:bottom w:val="single" w:sz="8" w:color="0000FF"/>
            </w:tcBorders>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22</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38</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60">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60</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60">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61</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83"/>
        </w:trPr>
        <w:tc>
          <w:tcPr>
            <w:tcW w:w="7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42,369</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67,673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54,827</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$431 and $389 at June 30, 2014 and December 31, 2013, respectively</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142,909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130,456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3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34,415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35,608</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23,075</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1,735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9,037</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Deferred revenues, current</w:t>
            </w:r>
          </w:p>
        </w:tc>
        <w:tc>
          <w:tcPr>
            <w:tcW w:w="3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71,853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67,505</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lease obligations, current</w:t>
            </w: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50"/>
        </w:trPr>
        <w:tc>
          <w:tcPr>
            <w:tcW w:w="76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82,247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79,277</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89,486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80"/>
              <w:spacing w:after="0"/>
              <w:rPr>
                <w:sz w:val="20"/>
                <w:szCs w:val="20"/>
                <w:color w:val="auto"/>
              </w:rPr>
            </w:pPr>
            <w:r>
              <w:rPr>
                <w:rFonts w:ascii="Arial" w:cs="Arial" w:eastAsia="Arial" w:hAnsi="Arial"/>
                <w:sz w:val="14"/>
                <w:szCs w:val="14"/>
                <w:color w:val="auto"/>
              </w:rPr>
              <w:t>2014 and December 31, 2013</w:t>
            </w:r>
          </w:p>
        </w:tc>
        <w:tc>
          <w:tcPr>
            <w:tcW w:w="30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32,975,245 and 32,375,299 shares issued and</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June 30, 2014 and December 31, 2013, respectively</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184,387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176,641</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(72,468)</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112,121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103,117</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204,572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32,302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51,174</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7,175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5,924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11,719</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48,637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39,455</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10,160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24,337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20,328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4,053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7,949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23,337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19,504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47,108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38,865</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32,818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31,777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32,668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31,636</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36,839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36,966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Change in foreign currency translation loss,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Change in net unrealized gain on investments, net of zero tax</w:t>
            </w:r>
          </w:p>
        </w:tc>
        <w:tc>
          <w:tcPr>
            <w:tcW w:w="8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zero tax</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50"/>
        </w:trPr>
        <w:tc>
          <w:tcPr>
            <w:tcW w:w="5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w:t>
            </w:r>
          </w:p>
        </w:tc>
        <w:tc>
          <w:tcPr>
            <w:tcW w:w="880" w:type="dxa"/>
            <w:vAlign w:val="bottom"/>
            <w:tcBorders>
              <w:bottom w:val="single" w:sz="8" w:color="231F20"/>
            </w:tcBorders>
            <w:shd w:val="clear" w:color="auto" w:fill="CCEEFF"/>
          </w:tcPr>
          <w:p>
            <w:pPr>
              <w:spacing w:after="0"/>
              <w:rPr>
                <w:sz w:val="21"/>
                <w:szCs w:val="21"/>
                <w:color w:val="auto"/>
              </w:rPr>
            </w:pPr>
          </w:p>
        </w:tc>
        <w:tc>
          <w:tcPr>
            <w:tcW w:w="5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231F20"/>
            </w:tcBorders>
            <w:shd w:val="clear" w:color="auto" w:fill="CCEEFF"/>
          </w:tcPr>
          <w:p>
            <w:pPr>
              <w:spacing w:after="0"/>
              <w:rPr>
                <w:sz w:val="21"/>
                <w:szCs w:val="21"/>
                <w:color w:val="auto"/>
              </w:rPr>
            </w:pPr>
          </w:p>
        </w:tc>
        <w:tc>
          <w:tcPr>
            <w:tcW w:w="4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231F20"/>
            </w:tcBorders>
            <w:shd w:val="clear" w:color="auto" w:fill="CCEEFF"/>
          </w:tcPr>
          <w:p>
            <w:pPr>
              <w:spacing w:after="0"/>
              <w:rPr>
                <w:sz w:val="21"/>
                <w:szCs w:val="21"/>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43"/>
        </w:trPr>
        <w:tc>
          <w:tcPr>
            <w:tcW w:w="56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084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270</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5,782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4,493</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Bad debt expense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Amortization of premiums on investments</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115</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Excess tax benefits from stock-based compensation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429</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Accrued liabilities</w:t>
            </w:r>
          </w:p>
        </w:tc>
        <w:tc>
          <w:tcPr>
            <w:tcW w:w="9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1,170</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revenues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2,545</w:t>
            </w:r>
          </w:p>
        </w:tc>
      </w:tr>
      <w:tr>
        <w:trPr>
          <w:trHeight w:val="264"/>
        </w:trPr>
        <w:tc>
          <w:tcPr>
            <w:tcW w:w="808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r>
      <w:tr>
        <w:trPr>
          <w:trHeight w:val="256"/>
        </w:trPr>
        <w:tc>
          <w:tcPr>
            <w:tcW w:w="8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15,175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12,870</w:t>
            </w:r>
          </w:p>
        </w:tc>
      </w:tr>
      <w:tr>
        <w:trPr>
          <w:trHeight w:val="258"/>
        </w:trPr>
        <w:tc>
          <w:tcPr>
            <w:tcW w:w="80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investments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(76,907)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(75,048)</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Sales and maturities of investments</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64,960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100,624</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(6,238)</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Release of restricted cash</w:t>
            </w:r>
          </w:p>
        </w:tc>
        <w:tc>
          <w:tcPr>
            <w:tcW w:w="9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114</w:t>
            </w:r>
          </w:p>
        </w:tc>
      </w:tr>
      <w:tr>
        <w:trPr>
          <w:trHeight w:val="256"/>
        </w:trPr>
        <w:tc>
          <w:tcPr>
            <w:tcW w:w="80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(18,442)</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19,452</w:t>
            </w:r>
          </w:p>
        </w:tc>
      </w:tr>
      <w:tr>
        <w:trPr>
          <w:trHeight w:val="258"/>
        </w:trPr>
        <w:tc>
          <w:tcPr>
            <w:tcW w:w="80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Excess tax benefits from stock-based compensation</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under capital lease obligations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r>
      <w:tr>
        <w:trPr>
          <w:trHeight w:val="250"/>
        </w:trPr>
        <w:tc>
          <w:tcPr>
            <w:tcW w:w="80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1,508</w:t>
            </w:r>
          </w:p>
        </w:tc>
      </w:tr>
      <w:tr>
        <w:trPr>
          <w:trHeight w:val="25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50"/>
        </w:trPr>
        <w:tc>
          <w:tcPr>
            <w:tcW w:w="80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9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33,734</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r>
      <w:tr>
        <w:trPr>
          <w:trHeight w:val="28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41,672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68,619</w:t>
            </w:r>
          </w:p>
        </w:tc>
      </w:tr>
      <w:tr>
        <w:trPr>
          <w:trHeight w:val="264"/>
        </w:trPr>
        <w:tc>
          <w:tcPr>
            <w:tcW w:w="8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08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 recorded in accrued liabilities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r>
      <w:tr>
        <w:trPr>
          <w:trHeight w:val="258"/>
        </w:trPr>
        <w:tc>
          <w:tcPr>
            <w:tcW w:w="8080" w:type="dxa"/>
            <w:vAlign w:val="bottom"/>
          </w:tcPr>
          <w:p>
            <w:pPr>
              <w:ind w:left="260"/>
              <w:spacing w:after="0"/>
              <w:rPr>
                <w:sz w:val="20"/>
                <w:szCs w:val="20"/>
                <w:color w:val="auto"/>
              </w:rPr>
            </w:pPr>
            <w:r>
              <w:rPr>
                <w:rFonts w:ascii="Arial" w:cs="Arial" w:eastAsia="Arial" w:hAnsi="Arial"/>
                <w:sz w:val="14"/>
                <w:szCs w:val="14"/>
                <w:color w:val="auto"/>
              </w:rPr>
              <w:t>Vesting of early exercised common stock options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144</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00"/>
          </w:cols>
          <w:pgMar w:left="240" w:top="1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41" w:right="25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2013</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2014 is not necessarily indicative of the results of operations expected for the entire year ending December 31, 2014 or for any other future annual or interim period. These condensed consolidated financial statements should be read in conjunction with the consolidated financial statements and related notes included in the Company’s Annual Report on Form 10-K for the year ended December 31, 2013 filed with the SEC on February 28, 2014.</w:t>
      </w:r>
    </w:p>
    <w:p>
      <w:pPr>
        <w:spacing w:after="0" w:line="21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from operations or net income.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valuation allowances associated with deferred tax assets.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Actual results could differ from those estimates and such differences may be material to the accompanying condensed consolidated financial statements.</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310"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June 30,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commercial paper and corporate bonds,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municipal bonds, asset-backed securities, certificates of deposit,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1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04"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from contracts with customers. The guidance is effective for annual and interim reporting periods beginning after December 15, 2016, with early adoption prohibited. The Company is currently evaluating the impact this ASU will have on its consolidated financial statements.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and liabilities include </w:t>
      </w:r>
      <w:r>
        <w:rPr>
          <w:rFonts w:ascii="Arial" w:cs="Arial" w:eastAsia="Arial" w:hAnsi="Arial"/>
          <w:sz w:val="18"/>
          <w:szCs w:val="18"/>
          <w:color w:val="000000"/>
        </w:rPr>
        <w:t>fixed-income U.S. government agency securities, commercial paper, corporate bonds, municipal bonds and asset</w:t>
      </w:r>
      <w:r>
        <w:rPr>
          <w:rFonts w:ascii="Arial" w:cs="Arial" w:eastAsia="Arial" w:hAnsi="Arial"/>
          <w:sz w:val="18"/>
          <w:szCs w:val="18"/>
          <w:color w:val="231F20"/>
        </w:rPr>
        <w:t xml:space="preserve"> </w:t>
      </w:r>
      <w:r>
        <w:rPr>
          <w:rFonts w:ascii="Arial" w:cs="Arial" w:eastAsia="Arial" w:hAnsi="Arial"/>
          <w:sz w:val="18"/>
          <w:szCs w:val="18"/>
          <w:color w:val="000000"/>
        </w:rPr>
        <w:t xml:space="preserve">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w:t>
      </w:r>
      <w:r>
        <w:rPr>
          <w:rFonts w:ascii="Arial" w:cs="Arial" w:eastAsia="Arial" w:hAnsi="Arial"/>
          <w:sz w:val="18"/>
          <w:szCs w:val="18"/>
          <w:color w:val="000000"/>
        </w:rPr>
        <w:t xml:space="preserve"> </w:t>
      </w:r>
      <w:r>
        <w:rPr>
          <w:rFonts w:ascii="Arial" w:cs="Arial" w:eastAsia="Arial" w:hAnsi="Arial"/>
          <w:sz w:val="18"/>
          <w:szCs w:val="18"/>
          <w:color w:val="231F20"/>
        </w:rPr>
        <w:t>currency forward contracts are valued usi</w:t>
      </w:r>
      <w:r>
        <w:rPr>
          <w:rFonts w:ascii="Arial" w:cs="Arial" w:eastAsia="Arial" w:hAnsi="Arial"/>
          <w:sz w:val="18"/>
          <w:szCs w:val="18"/>
          <w:color w:val="000000"/>
        </w:rPr>
        <w:t>ng observable inputs, such as quotations on forward foreign exchange points and foreign interest</w:t>
      </w:r>
      <w:r>
        <w:rPr>
          <w:rFonts w:ascii="Arial" w:cs="Arial" w:eastAsia="Arial" w:hAnsi="Arial"/>
          <w:sz w:val="18"/>
          <w:szCs w:val="18"/>
          <w:color w:val="231F20"/>
        </w:rPr>
        <w:t xml:space="preserve"> </w:t>
      </w:r>
      <w:r>
        <w:rPr>
          <w:rFonts w:ascii="Arial" w:cs="Arial" w:eastAsia="Arial" w:hAnsi="Arial"/>
          <w:sz w:val="18"/>
          <w:szCs w:val="18"/>
          <w:color w:val="000000"/>
        </w:rPr>
        <w:t>rates.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30, 2014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28,229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28,229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2,544</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10,899</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41,672</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27,179</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33,547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33,578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Certificate of Deposit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4,413</w:t>
            </w:r>
          </w:p>
        </w:tc>
      </w:tr>
      <w:tr>
        <w:trPr>
          <w:trHeight w:val="257"/>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67,673</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15,526</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34,384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34,415</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143,690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143,760</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27,488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42,369</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32,790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16,905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54,827</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15,274</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14,833</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35,608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 2014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38,078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38,078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18,889</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18,889</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49,104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49,104</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Certificate of deposit</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2,503</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4,413</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4,413</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112,987</w:t>
            </w:r>
          </w:p>
        </w:tc>
        <w:tc>
          <w:tcPr>
            <w:tcW w:w="100" w:type="dxa"/>
            <w:vAlign w:val="bottom"/>
          </w:tcPr>
          <w:p>
            <w:pPr>
              <w:spacing w:after="0"/>
              <w:rPr>
                <w:sz w:val="20"/>
                <w:szCs w:val="20"/>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112,987</w:t>
            </w:r>
          </w:p>
        </w:tc>
      </w:tr>
      <w:tr>
        <w:trPr>
          <w:trHeight w:val="20"/>
        </w:trPr>
        <w:tc>
          <w:tcPr>
            <w:tcW w:w="4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5,501</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32,179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18,837</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18,837</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105,133</w:t>
            </w:r>
          </w:p>
        </w:tc>
        <w:tc>
          <w:tcPr>
            <w:tcW w:w="100" w:type="dxa"/>
            <w:vAlign w:val="bottom"/>
          </w:tcPr>
          <w:p>
            <w:pPr>
              <w:spacing w:after="0"/>
              <w:rPr>
                <w:sz w:val="20"/>
                <w:szCs w:val="20"/>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June 30, 2014</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198"/>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2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After One Year through</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8"/>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7"/>
              </w:rPr>
              <w:t>Two Years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38,078</w:t>
            </w:r>
          </w:p>
        </w:tc>
      </w:tr>
      <w:tr>
        <w:trPr>
          <w:trHeight w:val="26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33,578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15,526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49,104</w:t>
            </w:r>
          </w:p>
        </w:tc>
      </w:tr>
      <w:tr>
        <w:trPr>
          <w:trHeight w:val="28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Certificate of deposit</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r>
      <w:tr>
        <w:trPr>
          <w:trHeight w:val="26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4,413</w:t>
            </w:r>
          </w:p>
        </w:tc>
      </w:tr>
      <w:tr>
        <w:trPr>
          <w:trHeight w:val="27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4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91,943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21,044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112,987</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4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 2013</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98"/>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2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After One Year through</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8"/>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7"/>
              </w:rPr>
              <w:t>Two Years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Municipal bonds</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8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8,719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18,837</w:t>
            </w:r>
          </w:p>
        </w:tc>
      </w:tr>
      <w:tr>
        <w:trPr>
          <w:trHeight w:val="27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7"/>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75,740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29,393</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The Company does not enter into derivative financial instruments for trading or speculative purposes.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22222"/>
        </w:rPr>
        <w:t>At June 30, 2014, the Company had two outstanding forward contrac</w:t>
      </w:r>
      <w:r>
        <w:rPr>
          <w:rFonts w:ascii="Arial" w:cs="Arial" w:eastAsia="Arial" w:hAnsi="Arial"/>
          <w:sz w:val="18"/>
          <w:szCs w:val="18"/>
          <w:color w:val="000000"/>
        </w:rPr>
        <w:t>ts with notional amounts of 4.6 million Euros and 2.3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both of which expired on July 31, 2014. </w:t>
      </w:r>
      <w:r>
        <w:rPr>
          <w:rFonts w:ascii="Arial" w:cs="Arial" w:eastAsia="Arial" w:hAnsi="Arial"/>
          <w:sz w:val="18"/>
          <w:szCs w:val="18"/>
          <w:color w:val="222222"/>
        </w:rPr>
        <w:t>At December 31, 2013, the Company had two outstanding forward contracts with notional</w:t>
      </w:r>
      <w:r>
        <w:rPr>
          <w:rFonts w:ascii="Arial" w:cs="Arial" w:eastAsia="Arial" w:hAnsi="Arial"/>
          <w:sz w:val="18"/>
          <w:szCs w:val="18"/>
          <w:color w:val="000000"/>
        </w:rPr>
        <w:t xml:space="preserve"> </w:t>
      </w:r>
      <w:r>
        <w:rPr>
          <w:rFonts w:ascii="Arial" w:cs="Arial" w:eastAsia="Arial" w:hAnsi="Arial"/>
          <w:sz w:val="18"/>
          <w:szCs w:val="18"/>
          <w:color w:val="222222"/>
        </w:rPr>
        <w:t xml:space="preserve">amounts of 6.3 million Euros and 2.0 million British Pounds, which expired on January 31, 2014. These </w:t>
      </w:r>
      <w:r>
        <w:rPr>
          <w:rFonts w:ascii="Arial" w:cs="Arial" w:eastAsia="Arial" w:hAnsi="Arial"/>
          <w:sz w:val="18"/>
          <w:szCs w:val="18"/>
          <w:color w:val="231F20"/>
        </w:rPr>
        <w:t>forward contracts were entered into at</w:t>
      </w:r>
      <w:r>
        <w:rPr>
          <w:rFonts w:ascii="Arial" w:cs="Arial" w:eastAsia="Arial" w:hAnsi="Arial"/>
          <w:sz w:val="18"/>
          <w:szCs w:val="18"/>
          <w:color w:val="222222"/>
        </w:rPr>
        <w:t xml:space="preserve"> </w:t>
      </w:r>
      <w:r>
        <w:rPr>
          <w:rFonts w:ascii="Arial" w:cs="Arial" w:eastAsia="Arial" w:hAnsi="Arial"/>
          <w:sz w:val="18"/>
          <w:szCs w:val="18"/>
          <w:color w:val="231F20"/>
        </w:rPr>
        <w:t xml:space="preserve">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2014</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2013</w:t>
      </w:r>
      <w:r>
        <w:rPr>
          <w:rFonts w:ascii="Arial" w:cs="Arial" w:eastAsia="Arial" w:hAnsi="Arial"/>
          <w:sz w:val="18"/>
          <w:szCs w:val="18"/>
          <w:color w:val="222222"/>
        </w:rPr>
        <w:t>.</w:t>
      </w:r>
      <w:r>
        <w:rPr>
          <w:rFonts w:ascii="Arial" w:cs="Arial" w:eastAsia="Arial" w:hAnsi="Arial"/>
          <w:sz w:val="18"/>
          <w:szCs w:val="18"/>
          <w:color w:val="231F20"/>
        </w:rPr>
        <w:t xml:space="preserve"> In the three months ended June 30, 2014 and 2013, the Company recorded a gain of $23,000 and a loss of $0.1 million from these contracts, respectively, which was partially offset by minimal foreign currency transaction gains and losses during these periods. In the six months ended June 30, 2014, the Company recorded a loss of $0.2 million from these contracts, partially offsetting other foreign currency transaction gains of $0.1 million. In the six months ended June 30, 2013, the Company recorded a loss of $0.2 million from these contracts, in addition to other foreign currency transaction losses of $0.2 million. These derivatives did not meet the criteria to be designated as hedges. These instruments were valued using Level 2 inputs.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47"/>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27,464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9,277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18,323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17,055</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63,976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57,927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24,012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June 30, 2014</w:t>
      </w:r>
      <w:r>
        <w:rPr>
          <w:rFonts w:ascii="Arial" w:cs="Arial" w:eastAsia="Arial" w:hAnsi="Arial"/>
          <w:sz w:val="18"/>
          <w:szCs w:val="18"/>
          <w:color w:val="231F20"/>
        </w:rPr>
        <w:t xml:space="preserve"> and December 31, 2013 totaled approximately </w:t>
      </w:r>
      <w:r>
        <w:rPr>
          <w:rFonts w:ascii="Arial" w:cs="Arial" w:eastAsia="Arial" w:hAnsi="Arial"/>
          <w:sz w:val="18"/>
          <w:szCs w:val="18"/>
          <w:color w:val="000000"/>
        </w:rPr>
        <w:t>$3.1</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June 30, 2014 </w:t>
      </w:r>
      <w:r>
        <w:rPr>
          <w:rFonts w:ascii="Arial" w:cs="Arial" w:eastAsia="Arial" w:hAnsi="Arial"/>
          <w:sz w:val="18"/>
          <w:szCs w:val="18"/>
          <w:color w:val="231F20"/>
        </w:rPr>
        <w:t>and December 31, 2013 totaled $1.4 million and</w:t>
      </w:r>
      <w:r>
        <w:rPr>
          <w:rFonts w:ascii="Arial" w:cs="Arial" w:eastAsia="Arial" w:hAnsi="Arial"/>
          <w:sz w:val="18"/>
          <w:szCs w:val="18"/>
          <w:color w:val="000000"/>
        </w:rPr>
        <w:t xml:space="preserve"> $1.2 million</w:t>
      </w:r>
      <w:r>
        <w:rPr>
          <w:rFonts w:ascii="Arial" w:cs="Arial" w:eastAsia="Arial" w:hAnsi="Arial"/>
          <w:sz w:val="18"/>
          <w:szCs w:val="18"/>
          <w:color w:val="231F20"/>
        </w:rPr>
        <w:t>, respectively. The</w:t>
      </w:r>
      <w:r>
        <w:rPr>
          <w:rFonts w:ascii="Arial" w:cs="Arial" w:eastAsia="Arial" w:hAnsi="Arial"/>
          <w:sz w:val="18"/>
          <w:szCs w:val="18"/>
          <w:color w:val="000000"/>
        </w:rPr>
        <w:t xml:space="preserve"> </w:t>
      </w:r>
      <w:r>
        <w:rPr>
          <w:rFonts w:ascii="Arial" w:cs="Arial" w:eastAsia="Arial" w:hAnsi="Arial"/>
          <w:sz w:val="18"/>
          <w:szCs w:val="18"/>
          <w:color w:val="231F20"/>
        </w:rPr>
        <w:t>capital lease obligations are secured by the related software.</w:t>
      </w:r>
    </w:p>
    <w:p>
      <w:pPr>
        <w:spacing w:after="0" w:line="25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$ 5.6</w:t>
      </w:r>
      <w:r>
        <w:rPr>
          <w:rFonts w:ascii="Arial" w:cs="Arial" w:eastAsia="Arial" w:hAnsi="Arial"/>
          <w:sz w:val="18"/>
          <w:szCs w:val="18"/>
          <w:color w:val="231F20"/>
        </w:rPr>
        <w:t xml:space="preserve"> million and </w:t>
      </w:r>
      <w:r>
        <w:rPr>
          <w:rFonts w:ascii="Arial" w:cs="Arial" w:eastAsia="Arial" w:hAnsi="Arial"/>
          <w:sz w:val="18"/>
          <w:szCs w:val="18"/>
          <w:color w:val="000000"/>
        </w:rPr>
        <w:t>$ 4.7</w:t>
      </w:r>
      <w:r>
        <w:rPr>
          <w:rFonts w:ascii="Arial" w:cs="Arial" w:eastAsia="Arial" w:hAnsi="Arial"/>
          <w:sz w:val="18"/>
          <w:szCs w:val="18"/>
          <w:color w:val="231F20"/>
        </w:rPr>
        <w:t xml:space="preserve"> million at </w:t>
      </w:r>
      <w:r>
        <w:rPr>
          <w:rFonts w:ascii="Arial" w:cs="Arial" w:eastAsia="Arial" w:hAnsi="Arial"/>
          <w:sz w:val="18"/>
          <w:szCs w:val="18"/>
          <w:color w:val="000000"/>
        </w:rPr>
        <w:t>June 30, 2014</w:t>
      </w:r>
      <w:r>
        <w:rPr>
          <w:rFonts w:ascii="Arial" w:cs="Arial" w:eastAsia="Arial" w:hAnsi="Arial"/>
          <w:sz w:val="18"/>
          <w:szCs w:val="18"/>
          <w:color w:val="231F20"/>
        </w:rPr>
        <w:t xml:space="preserve"> and December 31, 2013, respectively, including assets that have not been placed in service of </w:t>
      </w:r>
      <w:r>
        <w:rPr>
          <w:rFonts w:ascii="Arial" w:cs="Arial" w:eastAsia="Arial" w:hAnsi="Arial"/>
          <w:sz w:val="18"/>
          <w:szCs w:val="18"/>
          <w:color w:val="000000"/>
        </w:rPr>
        <w:t>$0.9</w:t>
      </w:r>
      <w:r>
        <w:rPr>
          <w:rFonts w:ascii="Arial" w:cs="Arial" w:eastAsia="Arial" w:hAnsi="Arial"/>
          <w:sz w:val="18"/>
          <w:szCs w:val="18"/>
          <w:color w:val="231F20"/>
        </w:rPr>
        <w:t xml:space="preserve"> million and </w:t>
      </w:r>
      <w:r>
        <w:rPr>
          <w:rFonts w:ascii="Arial" w:cs="Arial" w:eastAsia="Arial" w:hAnsi="Arial"/>
          <w:sz w:val="18"/>
          <w:szCs w:val="18"/>
          <w:color w:val="000000"/>
        </w:rPr>
        <w:t>$0.6</w:t>
      </w:r>
      <w:r>
        <w:rPr>
          <w:rFonts w:ascii="Arial" w:cs="Arial" w:eastAsia="Arial" w:hAnsi="Arial"/>
          <w:sz w:val="18"/>
          <w:szCs w:val="18"/>
          <w:color w:val="231F20"/>
        </w:rPr>
        <w:t xml:space="preserve"> million, respectively. Other fixed assets not placed in service at June 30, 2014 and December 31, 2013, included in computer equipment and leasehold improvements, relate to new information technology systems and tenant improvements of approximately </w:t>
      </w:r>
      <w:r>
        <w:rPr>
          <w:rFonts w:ascii="Arial" w:cs="Arial" w:eastAsia="Arial" w:hAnsi="Arial"/>
          <w:sz w:val="18"/>
          <w:szCs w:val="18"/>
          <w:color w:val="000000"/>
        </w:rPr>
        <w:t>$2.3</w:t>
      </w:r>
      <w:r>
        <w:rPr>
          <w:rFonts w:ascii="Arial" w:cs="Arial" w:eastAsia="Arial" w:hAnsi="Arial"/>
          <w:sz w:val="18"/>
          <w:szCs w:val="18"/>
          <w:color w:val="231F20"/>
        </w:rPr>
        <w:t xml:space="preserve"> million and $1.6 million, respectively. Depreciation and amortization expense relating to property and equipment, including capitalized leases, was $ 2.9 million and $ 2.3 million for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and 2013, respectively and $5.6 million and $4.3 million for the six months ended June 30, 2014 and 2013,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2013</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520" w:type="dxa"/>
            <w:vAlign w:val="bottom"/>
          </w:tcPr>
          <w:p>
            <w:pPr>
              <w:jc w:val="center"/>
              <w:ind w:right="8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1,903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2,099</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52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2,394</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and $0.2 million for the six months ended June 30, 2014 and 2013.</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2014</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2015</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June 30, 2014</w:t>
      </w:r>
      <w:r>
        <w:rPr>
          <w:rFonts w:ascii="Arial" w:cs="Arial" w:eastAsia="Arial" w:hAnsi="Arial"/>
          <w:sz w:val="18"/>
          <w:szCs w:val="18"/>
          <w:color w:val="231F20"/>
        </w:rPr>
        <w:t xml:space="preserve"> and December 31,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2018.</w:t>
      </w:r>
    </w:p>
    <w:p>
      <w:pPr>
        <w:spacing w:after="0" w:line="1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The capital lease obligation has an interest rate of 1.8% and is secured by the related computer software. In connection with this transaction, the Company also has minimum obligations for related maintenance and support, which were amended in June 2013. Minimum obligations were $0.3 million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were recorded in current liabilities in the accompanying condensed consolidated balance sheets at </w:t>
      </w:r>
      <w:r>
        <w:rPr>
          <w:rFonts w:ascii="Arial" w:cs="Arial" w:eastAsia="Arial" w:hAnsi="Arial"/>
          <w:sz w:val="18"/>
          <w:szCs w:val="18"/>
          <w:color w:val="000000"/>
        </w:rPr>
        <w:t>December 31, 2013</w:t>
      </w:r>
      <w:r>
        <w:rPr>
          <w:rFonts w:ascii="Arial" w:cs="Arial" w:eastAsia="Arial" w:hAnsi="Arial"/>
          <w:sz w:val="18"/>
          <w:szCs w:val="18"/>
          <w:color w:val="231F20"/>
        </w:rPr>
        <w:t>. There were no remaining obligations as of June 30, 2104.</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June 30, 2014</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r>
      <w:tr>
        <w:trPr>
          <w:trHeight w:val="247"/>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271</w:t>
            </w:r>
          </w:p>
        </w:tc>
      </w:tr>
      <w:tr>
        <w:trPr>
          <w:trHeight w:val="24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Present value of minimum payments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270</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Capital lease obligations, noncurrent</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Rent expense was $1.5 million and $1.4 million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respectively, and $3.0 million and $2.7 million for the six months ended June 30, 2014 and 2013,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 xml:space="preserve">June 30, 2014 </w:t>
      </w:r>
      <w:r>
        <w:rPr>
          <w:rFonts w:ascii="Arial" w:cs="Arial" w:eastAsia="Arial" w:hAnsi="Arial"/>
          <w:sz w:val="18"/>
          <w:szCs w:val="18"/>
          <w:color w:val="231F20"/>
        </w:rPr>
        <w:t>and</w:t>
      </w:r>
      <w:r>
        <w:rPr>
          <w:rFonts w:ascii="Arial" w:cs="Arial" w:eastAsia="Arial" w:hAnsi="Arial"/>
          <w:sz w:val="18"/>
          <w:szCs w:val="18"/>
          <w:color w:val="000000"/>
        </w:rPr>
        <w:t xml:space="preserve"> December 31, 2013</w:t>
      </w:r>
      <w:r>
        <w:rPr>
          <w:rFonts w:ascii="Arial" w:cs="Arial" w:eastAsia="Arial" w:hAnsi="Arial"/>
          <w:sz w:val="18"/>
          <w:szCs w:val="18"/>
          <w:color w:val="231F20"/>
        </w:rPr>
        <w:t>, the Company has accrued $0.6 million of deferred rent related to these agreements, which is reflected</w:t>
      </w:r>
      <w:r>
        <w:rPr>
          <w:rFonts w:ascii="Arial" w:cs="Arial" w:eastAsia="Arial" w:hAnsi="Arial"/>
          <w:sz w:val="18"/>
          <w:szCs w:val="18"/>
          <w:color w:val="000000"/>
        </w:rPr>
        <w:t xml:space="preserve"> </w:t>
      </w:r>
      <w:r>
        <w:rPr>
          <w:rFonts w:ascii="Arial" w:cs="Arial" w:eastAsia="Arial" w:hAnsi="Arial"/>
          <w:sz w:val="18"/>
          <w:szCs w:val="18"/>
          <w:color w:val="231F20"/>
        </w:rPr>
        <w:t>in other noncurrent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$ 0.5 million</w:t>
      </w:r>
      <w:r>
        <w:rPr>
          <w:rFonts w:ascii="Arial" w:cs="Arial" w:eastAsia="Arial" w:hAnsi="Arial"/>
          <w:sz w:val="18"/>
          <w:szCs w:val="18"/>
          <w:color w:val="231F20"/>
        </w:rPr>
        <w:t xml:space="preserve"> at </w:t>
      </w:r>
      <w:r>
        <w:rPr>
          <w:rFonts w:ascii="Arial" w:cs="Arial" w:eastAsia="Arial" w:hAnsi="Arial"/>
          <w:sz w:val="18"/>
          <w:szCs w:val="18"/>
          <w:color w:val="000000"/>
        </w:rPr>
        <w:t>June 30,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June 30, 2014</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June 30, 2014</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4,668,764 shares of common stock. Options may be granted with an exercise price that is at least equal to the fair market value of the Company's stock at the date of grant and are exercisable when vested. As of June 30, 2014, 1,791,713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ind w:left="86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792</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2,365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2014</w:t>
      </w:r>
      <w:r>
        <w:rPr>
          <w:rFonts w:ascii="Arial" w:cs="Arial" w:eastAsia="Arial" w:hAnsi="Arial"/>
          <w:sz w:val="18"/>
          <w:szCs w:val="18"/>
          <w:color w:val="231F20"/>
        </w:rPr>
        <w:t xml:space="preserve">, the Company had </w:t>
      </w:r>
      <w:r>
        <w:rPr>
          <w:rFonts w:ascii="Arial" w:cs="Arial" w:eastAsia="Arial" w:hAnsi="Arial"/>
          <w:sz w:val="18"/>
          <w:szCs w:val="18"/>
          <w:color w:val="000000"/>
        </w:rPr>
        <w:t>$19.7 million</w:t>
      </w:r>
      <w:r>
        <w:rPr>
          <w:rFonts w:ascii="Arial" w:cs="Arial" w:eastAsia="Arial" w:hAnsi="Arial"/>
          <w:sz w:val="18"/>
          <w:szCs w:val="18"/>
          <w:color w:val="231F20"/>
        </w:rPr>
        <w:t xml:space="preserve"> of total unrecognized employee compensation cost related to nonvested awards that it expects to recognize over a weighted-average period of </w:t>
      </w:r>
      <w:r>
        <w:rPr>
          <w:rFonts w:ascii="Arial" w:cs="Arial" w:eastAsia="Arial" w:hAnsi="Arial"/>
          <w:sz w:val="18"/>
          <w:szCs w:val="18"/>
          <w:color w:val="000000"/>
        </w:rPr>
        <w:t>2.5</w:t>
      </w:r>
      <w:r>
        <w:rPr>
          <w:rFonts w:ascii="Arial" w:cs="Arial" w:eastAsia="Arial" w:hAnsi="Arial"/>
          <w:sz w:val="18"/>
          <w:szCs w:val="18"/>
          <w:color w:val="231F20"/>
        </w:rPr>
        <w:t xml:space="preserve"> years.</w:t>
      </w:r>
    </w:p>
    <w:p>
      <w:pPr>
        <w:spacing w:after="0" w:line="23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Pr>
          <w:p>
            <w:pPr>
              <w:spacing w:after="0"/>
              <w:rPr>
                <w:sz w:val="18"/>
                <w:szCs w:val="18"/>
                <w:color w:val="auto"/>
              </w:rPr>
            </w:pPr>
          </w:p>
        </w:tc>
      </w:tr>
      <w:tr>
        <w:trPr>
          <w:trHeight w:val="283"/>
        </w:trPr>
        <w:tc>
          <w:tcPr>
            <w:tcW w:w="4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w w:val="99"/>
              </w:rPr>
              <w:t>June 30,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w w:val="96"/>
              </w:rPr>
              <w:t>June 30,</w:t>
            </w:r>
          </w:p>
        </w:tc>
        <w:tc>
          <w:tcPr>
            <w:tcW w:w="7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4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100" w:type="dxa"/>
            <w:vAlign w:val="bottom"/>
            <w:gridSpan w:val="4"/>
          </w:tcPr>
          <w:p>
            <w:pPr>
              <w:jc w:val="center"/>
              <w:ind w:lef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14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0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2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49% to</w:t>
            </w:r>
          </w:p>
        </w:tc>
        <w:tc>
          <w:tcPr>
            <w:tcW w:w="500" w:type="dxa"/>
            <w:vAlign w:val="bottom"/>
          </w:tcPr>
          <w:p>
            <w:pPr>
              <w:ind w:left="20"/>
              <w:spacing w:after="0"/>
              <w:rPr>
                <w:sz w:val="20"/>
                <w:szCs w:val="20"/>
                <w:color w:val="auto"/>
              </w:rPr>
            </w:pPr>
            <w:r>
              <w:rPr>
                <w:rFonts w:ascii="Arial" w:cs="Arial" w:eastAsia="Arial" w:hAnsi="Arial"/>
                <w:sz w:val="16"/>
                <w:szCs w:val="16"/>
                <w:color w:val="auto"/>
              </w:rPr>
              <w:t>50%</w:t>
            </w:r>
          </w:p>
        </w:tc>
        <w:tc>
          <w:tcPr>
            <w:tcW w:w="2100" w:type="dxa"/>
            <w:vAlign w:val="bottom"/>
            <w:gridSpan w:val="4"/>
          </w:tcPr>
          <w:p>
            <w:pPr>
              <w:jc w:val="center"/>
              <w:ind w:left="3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 to</w:t>
            </w:r>
          </w:p>
        </w:tc>
        <w:tc>
          <w:tcPr>
            <w:tcW w:w="480" w:type="dxa"/>
            <w:vAlign w:val="bottom"/>
          </w:tcPr>
          <w:p>
            <w:pPr>
              <w:ind w:left="20"/>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 to</w:t>
            </w:r>
          </w:p>
        </w:tc>
        <w:tc>
          <w:tcPr>
            <w:tcW w:w="760" w:type="dxa"/>
            <w:vAlign w:val="bottom"/>
          </w:tcPr>
          <w:p>
            <w:pPr>
              <w:ind w:left="20"/>
              <w:spacing w:after="0"/>
              <w:rPr>
                <w:sz w:val="20"/>
                <w:szCs w:val="20"/>
                <w:color w:val="auto"/>
              </w:rPr>
            </w:pPr>
            <w:r>
              <w:rPr>
                <w:rFonts w:ascii="Arial" w:cs="Arial" w:eastAsia="Arial" w:hAnsi="Arial"/>
                <w:sz w:val="16"/>
                <w:szCs w:val="16"/>
                <w:color w:val="auto"/>
              </w:rPr>
              <w:t>53%</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to</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1.67%</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to</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1.67%</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41"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$0.1 million</w:t>
      </w:r>
      <w:r>
        <w:rPr>
          <w:rFonts w:ascii="Arial" w:cs="Arial" w:eastAsia="Arial" w:hAnsi="Arial"/>
          <w:sz w:val="18"/>
          <w:szCs w:val="18"/>
          <w:color w:val="231F20"/>
        </w:rPr>
        <w:t xml:space="preserve"> and </w:t>
      </w:r>
      <w:r>
        <w:rPr>
          <w:rFonts w:ascii="Arial" w:cs="Arial" w:eastAsia="Arial" w:hAnsi="Arial"/>
          <w:sz w:val="18"/>
          <w:szCs w:val="18"/>
          <w:color w:val="000000"/>
        </w:rPr>
        <w:t>$0.3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and $0.3 million for the six months ended June 30, 2014 and 2013. Non-employee stock-based compensation is recognized 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7,039,093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112,312</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1,399,400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(529,268)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16.81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7,310,555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116,943</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6,802,381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112,981</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4,870,019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102,123</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204" w:lineRule="exact"/>
        <w:rPr>
          <w:sz w:val="20"/>
          <w:szCs w:val="20"/>
          <w:color w:val="auto"/>
        </w:rPr>
      </w:pPr>
    </w:p>
    <w:p>
      <w:pPr>
        <w:jc w:val="both"/>
        <w:ind w:right="120" w:firstLine="405"/>
        <w:spacing w:after="0" w:line="254" w:lineRule="auto"/>
        <w:rPr>
          <w:sz w:val="20"/>
          <w:szCs w:val="20"/>
          <w:color w:val="auto"/>
        </w:rPr>
      </w:pPr>
      <w:r>
        <w:rPr>
          <w:rFonts w:ascii="Arial" w:cs="Arial" w:eastAsia="Arial" w:hAnsi="Arial"/>
          <w:sz w:val="18"/>
          <w:szCs w:val="18"/>
          <w:color w:val="auto"/>
        </w:rPr>
        <w:t>During the three months ended June 30, 2014 and 2013, the Company granted 1,401 and 1,900 shares of restricted stock, respectively, which vested immediately and had no further restrictions or service period, and resulted in compensation expense of $27,000 and $20,000 for the three months ended June 30, 2014 and 2013, respectively. The Company did not issue restricted stock during the first quarters of 2014 or 2013.</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Accumulated Other Comprehensive Income (Loss)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presents the components of accumulated other comprehensive income (loss):</w:t>
      </w:r>
    </w:p>
    <w:p>
      <w:pPr>
        <w:spacing w:after="0" w:line="397"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37"/>
        </w:trPr>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60" w:type="dxa"/>
            <w:vAlign w:val="bottom"/>
          </w:tcPr>
          <w:p>
            <w:pPr>
              <w:ind w:left="40"/>
              <w:spacing w:after="0"/>
              <w:rPr>
                <w:sz w:val="20"/>
                <w:szCs w:val="20"/>
                <w:color w:val="auto"/>
              </w:rPr>
            </w:pPr>
            <w:r>
              <w:rPr>
                <w:rFonts w:ascii="Arial" w:cs="Arial" w:eastAsia="Arial" w:hAnsi="Arial"/>
                <w:sz w:val="16"/>
                <w:szCs w:val="16"/>
                <w:color w:val="auto"/>
              </w:rPr>
              <w:t>Foreign currency translation gain (loss), net of zero tax</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73"/>
        </w:trPr>
        <w:tc>
          <w:tcPr>
            <w:tcW w:w="7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unrealized gain on investments, net of zero tax</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40"/>
        </w:trPr>
        <w:tc>
          <w:tcPr>
            <w:tcW w:w="796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4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3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r>
      <w:tr>
        <w:trPr>
          <w:trHeight w:val="24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 xml:space="preserve">The provision for income taxes for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and 2013 primarily reflects foreign and state taxes, and certain discrete items.</w:t>
      </w:r>
    </w:p>
    <w:p>
      <w:pPr>
        <w:spacing w:after="0" w:line="196"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231F20"/>
        </w:rPr>
        <w:t xml:space="preserve">As of June 30, 2014 and December 31, 2013, the Company had unrecognized tax benefits of </w:t>
      </w:r>
      <w:r>
        <w:rPr>
          <w:rFonts w:ascii="Arial" w:cs="Arial" w:eastAsia="Arial" w:hAnsi="Arial"/>
          <w:sz w:val="18"/>
          <w:szCs w:val="18"/>
          <w:color w:val="000000"/>
        </w:rPr>
        <w:t>$ 3.3 million</w:t>
      </w:r>
      <w:r>
        <w:rPr>
          <w:rFonts w:ascii="Arial" w:cs="Arial" w:eastAsia="Arial" w:hAnsi="Arial"/>
          <w:sz w:val="18"/>
          <w:szCs w:val="18"/>
          <w:color w:val="231F20"/>
        </w:rPr>
        <w:t xml:space="preserve">, of which </w:t>
      </w:r>
      <w:r>
        <w:rPr>
          <w:rFonts w:ascii="Arial" w:cs="Arial" w:eastAsia="Arial" w:hAnsi="Arial"/>
          <w:sz w:val="18"/>
          <w:szCs w:val="18"/>
          <w:color w:val="000000"/>
        </w:rPr>
        <w:t>$1.0 million</w:t>
      </w:r>
      <w:r>
        <w:rPr>
          <w:rFonts w:ascii="Arial" w:cs="Arial" w:eastAsia="Arial" w:hAnsi="Arial"/>
          <w:sz w:val="18"/>
          <w:szCs w:val="18"/>
          <w:color w:val="231F20"/>
        </w:rPr>
        <w:t>, if recognized and in absence of a valuation allowance, would favorably impact the Company's effective tax rate.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2500" w:type="dxa"/>
            <w:vAlign w:val="bottom"/>
            <w:gridSpan w:val="4"/>
          </w:tcPr>
          <w:p>
            <w:pPr>
              <w:ind w:left="360"/>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47"/>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22,620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right="3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43,910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35,807</w:t>
            </w: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7,857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18,748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15,367</w:t>
            </w:r>
          </w:p>
        </w:tc>
      </w:tr>
      <w:tr>
        <w:trPr>
          <w:trHeight w:val="24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32,302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62,658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51,174</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19,909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3,166</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5"/>
          </w:tcPr>
          <w:p>
            <w:pPr>
              <w:ind w:left="4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6"/>
                <w:szCs w:val="16"/>
                <w:color w:val="auto"/>
              </w:rPr>
              <w:t>Net income attributable to participating securities</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common stockholders - basic</w:t>
            </w: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6"/>
                <w:szCs w:val="16"/>
                <w:color w:val="auto"/>
              </w:rPr>
              <w:t>Undistributed earnings reallocated to participating securities</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common stockholders - diluted</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32,818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32,668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31,636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Common stock options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36,839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35,393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36,966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35,353</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48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Three Months Ended</w:t>
            </w:r>
          </w:p>
        </w:tc>
        <w:tc>
          <w:tcPr>
            <w:tcW w:w="232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620" w:type="dxa"/>
            <w:vAlign w:val="bottom"/>
          </w:tcPr>
          <w:p>
            <w:pPr>
              <w:spacing w:after="0"/>
              <w:rPr>
                <w:sz w:val="24"/>
                <w:szCs w:val="24"/>
                <w:color w:val="auto"/>
              </w:rPr>
            </w:pPr>
          </w:p>
        </w:tc>
        <w:tc>
          <w:tcPr>
            <w:tcW w:w="188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b w:val="1"/>
                <w:bCs w:val="1"/>
                <w:color w:val="auto"/>
                <w:w w:val="99"/>
              </w:rPr>
              <w:t>June 30,</w:t>
            </w: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18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2014</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95"/>
              </w:rPr>
              <w:t>2014</w:t>
            </w: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5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00" w:type="dxa"/>
            <w:vAlign w:val="bottom"/>
            <w:gridSpan w:val="3"/>
          </w:tcPr>
          <w:p>
            <w:pPr>
              <w:ind w:left="480"/>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8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1,780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1,315</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2013, filed with the Securities and Exchange Commission, or SEC, on February 28, 2014.</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attain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and research and development;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 and</w:t>
      </w:r>
    </w:p>
    <w:p>
      <w:pPr>
        <w:spacing w:after="0" w:line="9" w:lineRule="exact"/>
        <w:rPr>
          <w:rFonts w:ascii="Arial" w:cs="Arial" w:eastAsia="Arial" w:hAnsi="Arial"/>
          <w:sz w:val="18"/>
          <w:szCs w:val="18"/>
          <w:i w:val="1"/>
          <w:iCs w:val="1"/>
          <w:color w:val="auto"/>
        </w:rPr>
      </w:pP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0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231F20"/>
        </w:rPr>
        <w:t>QualysGuard Cloud Platform to cost-effectively obtain a unified view of their security and compliance posture across globally-distributed IT infrastructures.</w:t>
      </w:r>
    </w:p>
    <w:p>
      <w:pPr>
        <w:spacing w:after="0" w:line="15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82% and 85% of total revenues for the six months ended June 30, 2014 and 2013,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a new </w:t>
      </w:r>
      <w:r>
        <w:rPr>
          <w:rFonts w:ascii="Arial" w:cs="Arial" w:eastAsia="Arial" w:hAnsi="Arial"/>
          <w:sz w:val="18"/>
          <w:szCs w:val="18"/>
          <w:color w:val="000000"/>
        </w:rPr>
        <w:t>Continuous Security Monitoring</w:t>
      </w:r>
      <w:r>
        <w:rPr>
          <w:rFonts w:ascii="Arial" w:cs="Arial" w:eastAsia="Arial" w:hAnsi="Arial"/>
          <w:sz w:val="18"/>
          <w:szCs w:val="18"/>
          <w:color w:val="231F20"/>
        </w:rPr>
        <w:t xml:space="preserve"> </w:t>
      </w:r>
      <w:r>
        <w:rPr>
          <w:rFonts w:ascii="Arial" w:cs="Arial" w:eastAsia="Arial" w:hAnsi="Arial"/>
          <w:sz w:val="18"/>
          <w:szCs w:val="18"/>
          <w:color w:val="000000"/>
        </w:rPr>
        <w:t>service for Internet-facing systems, which allows customers to continuously monitor their mission-critical assets and to be alerted to security vulnerabilities or misconfigurations that may make them susceptible to a cyber attack.</w:t>
      </w:r>
    </w:p>
    <w:p>
      <w:pPr>
        <w:spacing w:after="0" w:line="212"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jc w:val="both"/>
        <w:ind w:right="14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six month periods ended June 30, 2014 and </w:t>
      </w:r>
      <w:r>
        <w:rPr>
          <w:rFonts w:ascii="Arial" w:cs="Arial" w:eastAsia="Arial" w:hAnsi="Arial"/>
          <w:sz w:val="18"/>
          <w:szCs w:val="18"/>
          <w:color w:val="000000"/>
        </w:rPr>
        <w:t>2013</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We have had continued revenue growth 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compared to the same period in 2013. Our revenues increased to </w:t>
      </w:r>
      <w:r>
        <w:rPr>
          <w:rFonts w:ascii="Arial" w:cs="Arial" w:eastAsia="Arial" w:hAnsi="Arial"/>
          <w:sz w:val="18"/>
          <w:szCs w:val="18"/>
          <w:color w:val="000000"/>
        </w:rPr>
        <w:t>$32.3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from </w:t>
      </w:r>
      <w:r>
        <w:rPr>
          <w:rFonts w:ascii="Arial" w:cs="Arial" w:eastAsia="Arial" w:hAnsi="Arial"/>
          <w:sz w:val="18"/>
          <w:szCs w:val="18"/>
          <w:color w:val="000000"/>
        </w:rPr>
        <w:t>$26.3 million</w:t>
      </w:r>
      <w:r>
        <w:rPr>
          <w:rFonts w:ascii="Arial" w:cs="Arial" w:eastAsia="Arial" w:hAnsi="Arial"/>
          <w:sz w:val="18"/>
          <w:szCs w:val="18"/>
          <w:color w:val="231F20"/>
        </w:rPr>
        <w:t xml:space="preserve"> for the comparable period in 2013, representing an increase of </w:t>
      </w:r>
      <w:r>
        <w:rPr>
          <w:rFonts w:ascii="Arial" w:cs="Arial" w:eastAsia="Arial" w:hAnsi="Arial"/>
          <w:sz w:val="18"/>
          <w:szCs w:val="18"/>
          <w:color w:val="000000"/>
        </w:rPr>
        <w:t>$6.0 million</w:t>
      </w:r>
      <w:r>
        <w:rPr>
          <w:rFonts w:ascii="Arial" w:cs="Arial" w:eastAsia="Arial" w:hAnsi="Arial"/>
          <w:sz w:val="18"/>
          <w:szCs w:val="18"/>
          <w:color w:val="231F20"/>
        </w:rPr>
        <w:t xml:space="preserve"> or </w:t>
      </w:r>
      <w:r>
        <w:rPr>
          <w:rFonts w:ascii="Arial" w:cs="Arial" w:eastAsia="Arial" w:hAnsi="Arial"/>
          <w:sz w:val="18"/>
          <w:szCs w:val="18"/>
          <w:color w:val="000000"/>
        </w:rPr>
        <w:t>23%</w:t>
      </w:r>
      <w:r>
        <w:rPr>
          <w:rFonts w:ascii="Arial" w:cs="Arial" w:eastAsia="Arial" w:hAnsi="Arial"/>
          <w:sz w:val="18"/>
          <w:szCs w:val="18"/>
          <w:color w:val="231F20"/>
        </w:rPr>
        <w:t xml:space="preserve">. Revenues reached $62.7 million for the six months ended June 30, 2014, compared to $51.2 million for the six months ended June 30, 2013.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we had net income of $1.7 million and $0.9 million, respectively. For the six months ended June 30, 2014 and 2013, we had net income of $1.3 million and $0.3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0"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231F20"/>
        </w:rPr>
        <w:t>income taxes, (3) depreciation and amortization of property and equipment, (4) amortization of intangible assets and (5) stock-based compensation.</w:t>
      </w:r>
    </w:p>
    <w:p>
      <w:pPr>
        <w:spacing w:after="0" w:line="196"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 xml:space="preserve">The following unaudited table presents the reconciliation of net income to Adjusted EBITDA for the three and six months ended June 30, 2014 and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5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45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47"/>
        </w:trPr>
        <w:tc>
          <w:tcPr>
            <w:tcW w:w="4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percentages)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2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158</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112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2,879</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5,586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4,279</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w:t>
            </w: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2,480</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2,187</w:t>
            </w: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7,247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11,917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7,270</w:t>
            </w:r>
          </w:p>
        </w:tc>
      </w:tr>
      <w:tr>
        <w:trPr>
          <w:trHeight w:val="20"/>
        </w:trPr>
        <w:tc>
          <w:tcPr>
            <w:tcW w:w="4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0"/>
        </w:trPr>
        <w:tc>
          <w:tcPr>
            <w:tcW w:w="45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Adjusted EBITDA</w:t>
      </w:r>
    </w:p>
    <w:p>
      <w:pPr>
        <w:spacing w:after="0" w:line="19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231F20"/>
        </w:rPr>
        <w:t>Adjusted EBITDA, a non-GAAP financial measure, has limitations as an analytical tool, and should not be considered in isolation from or as a substitute for the measures presented in accordance with U.S. GAAP. Some of these limitations are:</w:t>
      </w:r>
    </w:p>
    <w:p>
      <w:pPr>
        <w:spacing w:after="0" w:line="48" w:lineRule="exact"/>
        <w:rPr>
          <w:sz w:val="20"/>
          <w:szCs w:val="20"/>
          <w:color w:val="auto"/>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right="2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Adjusted EBITDA differently or not at all, which reduces their usefulness as a comparative measure.</w:t>
      </w:r>
    </w:p>
    <w:p>
      <w:pPr>
        <w:spacing w:after="0" w:line="237"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231F20"/>
        </w:rPr>
        <w:t>Because of these limitations,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continue to invest in additional sales personnel and more marketing programs as we introduce new solutions to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and interest expense associated with our capital leases.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net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and also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41"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jc w:val="right"/>
              <w:ind w:right="361"/>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6"/>
          </w:tcPr>
          <w:p>
            <w:pPr>
              <w:jc w:val="right"/>
              <w:ind w:right="62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12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8"/>
          </w:tcPr>
          <w:p>
            <w:pPr>
              <w:jc w:val="right"/>
              <w:ind w:right="86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Pr>
          <w:p>
            <w:pPr>
              <w:jc w:val="right"/>
              <w:ind w:right="203"/>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231F20"/>
              </w:rPr>
              <w:t>32,302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231F20"/>
                <w:w w:val="89"/>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231F20"/>
              </w:rPr>
              <w:t>26,291</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62,658</w:t>
            </w:r>
          </w:p>
        </w:tc>
        <w:tc>
          <w:tcPr>
            <w:tcW w:w="12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51,174</w:t>
            </w: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40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7,175</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7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5,924</w:t>
            </w:r>
          </w:p>
        </w:tc>
        <w:tc>
          <w:tcPr>
            <w:tcW w:w="80" w:type="dxa"/>
            <w:vAlign w:val="bottom"/>
            <w:tcBorders>
              <w:bottom w:val="single" w:sz="8" w:color="231F20"/>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14,021</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11,719</w:t>
            </w:r>
          </w:p>
        </w:tc>
        <w:tc>
          <w:tcPr>
            <w:tcW w:w="0" w:type="dxa"/>
            <w:vAlign w:val="bottom"/>
          </w:tcPr>
          <w:p>
            <w:pPr>
              <w:spacing w:after="0"/>
              <w:rPr>
                <w:sz w:val="1"/>
                <w:szCs w:val="1"/>
                <w:color w:val="auto"/>
              </w:rPr>
            </w:pPr>
          </w:p>
        </w:tc>
      </w:tr>
      <w:tr>
        <w:trPr>
          <w:trHeight w:val="240"/>
        </w:trPr>
        <w:tc>
          <w:tcPr>
            <w:tcW w:w="582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25,127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48,637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39,455</w:t>
            </w:r>
          </w:p>
        </w:tc>
        <w:tc>
          <w:tcPr>
            <w:tcW w:w="0" w:type="dxa"/>
            <w:vAlign w:val="bottom"/>
          </w:tcPr>
          <w:p>
            <w:pPr>
              <w:spacing w:after="0"/>
              <w:rPr>
                <w:sz w:val="1"/>
                <w:szCs w:val="1"/>
                <w:color w:val="auto"/>
              </w:rPr>
            </w:pPr>
          </w:p>
        </w:tc>
      </w:tr>
      <w:tr>
        <w:trPr>
          <w:trHeight w:val="28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231F20"/>
              </w:rPr>
              <w:t>6,411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231F20"/>
              </w:rPr>
              <w:t>5,291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231F20"/>
              </w:rPr>
              <w:t>12,815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10,588</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11,845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10,160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24,337</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20,328</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40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5,081</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4,053</w:t>
            </w:r>
          </w:p>
        </w:tc>
        <w:tc>
          <w:tcPr>
            <w:tcW w:w="80" w:type="dxa"/>
            <w:vAlign w:val="bottom"/>
            <w:tcBorders>
              <w:bottom w:val="single" w:sz="8" w:color="231F20"/>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9,956</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7,949</w:t>
            </w:r>
          </w:p>
        </w:tc>
        <w:tc>
          <w:tcPr>
            <w:tcW w:w="0" w:type="dxa"/>
            <w:vAlign w:val="bottom"/>
          </w:tcPr>
          <w:p>
            <w:pPr>
              <w:spacing w:after="0"/>
              <w:rPr>
                <w:sz w:val="1"/>
                <w:szCs w:val="1"/>
                <w:color w:val="auto"/>
              </w:rPr>
            </w:pPr>
          </w:p>
        </w:tc>
      </w:tr>
      <w:tr>
        <w:trPr>
          <w:trHeight w:val="244"/>
        </w:trPr>
        <w:tc>
          <w:tcPr>
            <w:tcW w:w="5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23,337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47,108</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38,865</w:t>
            </w:r>
          </w:p>
        </w:tc>
        <w:tc>
          <w:tcPr>
            <w:tcW w:w="0" w:type="dxa"/>
            <w:vAlign w:val="bottom"/>
          </w:tcPr>
          <w:p>
            <w:pPr>
              <w:spacing w:after="0"/>
              <w:rPr>
                <w:sz w:val="1"/>
                <w:szCs w:val="1"/>
                <w:color w:val="auto"/>
              </w:rPr>
            </w:pPr>
          </w:p>
        </w:tc>
      </w:tr>
      <w:tr>
        <w:trPr>
          <w:trHeight w:val="260"/>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73"/>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47"/>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73"/>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174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7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92</w:t>
            </w:r>
          </w:p>
        </w:tc>
        <w:tc>
          <w:tcPr>
            <w:tcW w:w="80" w:type="dxa"/>
            <w:vAlign w:val="bottom"/>
            <w:tcBorders>
              <w:bottom w:val="single" w:sz="8" w:color="231F20"/>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356</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162</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873</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4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220" w:type="dxa"/>
            <w:vAlign w:val="bottom"/>
            <w:vMerge w:val="continue"/>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2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521"/>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307</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952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76"/>
        </w:trPr>
        <w:tc>
          <w:tcPr>
            <w:tcW w:w="1220" w:type="dxa"/>
            <w:vAlign w:val="bottom"/>
          </w:tcPr>
          <w:p>
            <w:pPr>
              <w:spacing w:after="0"/>
              <w:rPr>
                <w:sz w:val="24"/>
                <w:szCs w:val="24"/>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1,087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2,056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4,606</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0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57"/>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0"/>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r>
      <w:tr>
        <w:trPr>
          <w:trHeight w:val="260"/>
        </w:trPr>
        <w:tc>
          <w:tcPr>
            <w:tcW w:w="63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w:t>
            </w:r>
          </w:p>
        </w:tc>
      </w:tr>
      <w:tr>
        <w:trPr>
          <w:trHeight w:val="273"/>
        </w:trPr>
        <w:tc>
          <w:tcPr>
            <w:tcW w:w="5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50"/>
        </w:trPr>
        <w:tc>
          <w:tcPr>
            <w:tcW w:w="5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4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June 30, 2014</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2013</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32,302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6,011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$6.0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2013</w:t>
      </w:r>
      <w:r>
        <w:rPr>
          <w:rFonts w:ascii="Arial" w:cs="Arial" w:eastAsia="Arial" w:hAnsi="Arial"/>
          <w:sz w:val="18"/>
          <w:szCs w:val="18"/>
          <w:color w:val="231F20"/>
        </w:rPr>
        <w:t xml:space="preserve">, primarily due to new customer subscriptions entered into after June 30, 2013 and from an increase in the purchase of subscriptions from existing customers. Of the total increase of </w:t>
      </w:r>
      <w:r>
        <w:rPr>
          <w:rFonts w:ascii="Arial" w:cs="Arial" w:eastAsia="Arial" w:hAnsi="Arial"/>
          <w:sz w:val="18"/>
          <w:szCs w:val="18"/>
          <w:color w:val="000000"/>
        </w:rPr>
        <w:t>$6.0 million</w:t>
      </w:r>
      <w:r>
        <w:rPr>
          <w:rFonts w:ascii="Arial" w:cs="Arial" w:eastAsia="Arial" w:hAnsi="Arial"/>
          <w:sz w:val="18"/>
          <w:szCs w:val="18"/>
          <w:color w:val="231F20"/>
        </w:rPr>
        <w:t>, $4.2 million was from customers in the United States and the remaining $1.8 million was from customers in foreign countries. The growth in revenues reflects increased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7,175</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1,251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$1.3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2013</w:t>
      </w:r>
      <w:r>
        <w:rPr>
          <w:rFonts w:ascii="Arial" w:cs="Arial" w:eastAsia="Arial" w:hAnsi="Arial"/>
          <w:sz w:val="18"/>
          <w:szCs w:val="18"/>
          <w:color w:val="231F20"/>
        </w:rPr>
        <w:t>, primarily due to a $0.5 million increase in depreciation expenses related to additional computer hardware and software for our new and existing data centers; increased personnel expenses of $ 0.3 million, principally driven by the addition of employees in our operations staff and higher stock-based compensation; increased third-party software maintenance expense of $0.2 million; increased consulting expenses of $0.2 million as well as increased data center costs of $0.1 million, driven by expanded storage and other data center-related costs.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1,120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$1.1 million in the three months ended June 30, 2014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2013</w:t>
      </w:r>
      <w:r>
        <w:rPr>
          <w:rFonts w:ascii="Arial" w:cs="Arial" w:eastAsia="Arial" w:hAnsi="Arial"/>
          <w:sz w:val="18"/>
          <w:szCs w:val="18"/>
          <w:color w:val="231F20"/>
        </w:rPr>
        <w:t>, primarily due to an increase in personnel expenses of $0.9 million, including higher stock-based compensation,</w:t>
      </w:r>
      <w:r>
        <w:rPr>
          <w:rFonts w:ascii="Arial" w:cs="Arial" w:eastAsia="Arial" w:hAnsi="Arial"/>
          <w:sz w:val="18"/>
          <w:szCs w:val="18"/>
          <w:color w:val="000000"/>
        </w:rPr>
        <w:t xml:space="preserve"> </w:t>
      </w:r>
      <w:r>
        <w:rPr>
          <w:rFonts w:ascii="Arial" w:cs="Arial" w:eastAsia="Arial" w:hAnsi="Arial"/>
          <w:sz w:val="18"/>
          <w:szCs w:val="18"/>
          <w:color w:val="231F20"/>
        </w:rPr>
        <w:t>principally driven by the addition of employees as we continue to invest in enhancing our platform and developing new solutions; and $0.1 million in consulting and professional service expenses.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11,845</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1,685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$1.7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2013</w:t>
      </w:r>
      <w:r>
        <w:rPr>
          <w:rFonts w:ascii="Arial" w:cs="Arial" w:eastAsia="Arial" w:hAnsi="Arial"/>
          <w:sz w:val="18"/>
          <w:szCs w:val="18"/>
          <w:color w:val="231F20"/>
        </w:rPr>
        <w:t>, primarily due to an increase in personnel expenses of $1.8 million, including higher stock-based compensation, principally</w:t>
      </w:r>
      <w:r>
        <w:rPr>
          <w:rFonts w:ascii="Arial" w:cs="Arial" w:eastAsia="Arial" w:hAnsi="Arial"/>
          <w:sz w:val="18"/>
          <w:szCs w:val="18"/>
          <w:color w:val="000000"/>
        </w:rPr>
        <w:t xml:space="preserve"> </w:t>
      </w:r>
      <w:r>
        <w:rPr>
          <w:rFonts w:ascii="Arial" w:cs="Arial" w:eastAsia="Arial" w:hAnsi="Arial"/>
          <w:sz w:val="18"/>
          <w:szCs w:val="18"/>
          <w:color w:val="231F20"/>
        </w:rPr>
        <w:t>driven by the addition of employees as we continue to expand our domestic and international sales and marketing efforts, and higher sales commissions. We also incurred increased marketing expenses of $0.2 million, primarily related to increased marketing program activities. These increases were partially offset by lower consulting and professional service expenses of $0.2 million.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5,081</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1,028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$1.0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2013</w:t>
      </w:r>
      <w:r>
        <w:rPr>
          <w:rFonts w:ascii="Arial" w:cs="Arial" w:eastAsia="Arial" w:hAnsi="Arial"/>
          <w:sz w:val="18"/>
          <w:szCs w:val="18"/>
          <w:color w:val="231F20"/>
        </w:rPr>
        <w:t>, primarily driven by increased personnel expenses of $0.5 million, including higher employee stock-based compensation,</w:t>
      </w:r>
      <w:r>
        <w:rPr>
          <w:rFonts w:ascii="Arial" w:cs="Arial" w:eastAsia="Arial" w:hAnsi="Arial"/>
          <w:sz w:val="18"/>
          <w:szCs w:val="18"/>
          <w:color w:val="000000"/>
        </w:rPr>
        <w:t xml:space="preserve"> </w:t>
      </w:r>
      <w:r>
        <w:rPr>
          <w:rFonts w:ascii="Arial" w:cs="Arial" w:eastAsia="Arial" w:hAnsi="Arial"/>
          <w:sz w:val="18"/>
          <w:szCs w:val="18"/>
          <w:color w:val="231F20"/>
        </w:rPr>
        <w:t>principally due to the addition of employees to support the growth of our business; increased professional services of $0.2 million; and increased bad debt expense and other fees of $0.2 million relative to the same period a year ago.</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w w:val="99"/>
              </w:rPr>
              <w:t>June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Other income (expense), net remained relatively constant during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2013</w:t>
      </w:r>
      <w:r>
        <w:rPr>
          <w:rFonts w:ascii="Arial" w:cs="Arial" w:eastAsia="Arial" w:hAnsi="Arial"/>
          <w:sz w:val="18"/>
          <w:szCs w:val="18"/>
          <w:color w:val="231F20"/>
        </w:rPr>
        <w:t>. Other income (expense) during the</w:t>
      </w:r>
      <w:r>
        <w:rPr>
          <w:rFonts w:ascii="Arial" w:cs="Arial" w:eastAsia="Arial" w:hAnsi="Arial"/>
          <w:sz w:val="18"/>
          <w:szCs w:val="18"/>
          <w:color w:val="000000"/>
        </w:rPr>
        <w:t xml:space="preserve"> three months ended June 30, 2014 </w:t>
      </w:r>
      <w:r>
        <w:rPr>
          <w:rFonts w:ascii="Arial" w:cs="Arial" w:eastAsia="Arial" w:hAnsi="Arial"/>
          <w:sz w:val="18"/>
          <w:szCs w:val="18"/>
          <w:color w:val="231F20"/>
        </w:rPr>
        <w:t>consisted primarily of interest and investment</w:t>
      </w:r>
      <w:r>
        <w:rPr>
          <w:rFonts w:ascii="Arial" w:cs="Arial" w:eastAsia="Arial" w:hAnsi="Arial"/>
          <w:sz w:val="18"/>
          <w:szCs w:val="18"/>
          <w:color w:val="000000"/>
        </w:rPr>
        <w:t xml:space="preserve"> </w:t>
      </w:r>
      <w:r>
        <w:rPr>
          <w:rFonts w:ascii="Arial" w:cs="Arial" w:eastAsia="Arial" w:hAnsi="Arial"/>
          <w:sz w:val="18"/>
          <w:szCs w:val="18"/>
          <w:color w:val="231F20"/>
        </w:rPr>
        <w:t xml:space="preserve">income of $0.1 million, partially offset by minimal foreign exchange losses. Other income (expense) during the </w:t>
      </w:r>
      <w:r>
        <w:rPr>
          <w:rFonts w:ascii="Arial" w:cs="Arial" w:eastAsia="Arial" w:hAnsi="Arial"/>
          <w:sz w:val="18"/>
          <w:szCs w:val="18"/>
          <w:color w:val="000000"/>
        </w:rPr>
        <w:t>three months ended June 30,</w:t>
      </w:r>
      <w:r>
        <w:rPr>
          <w:rFonts w:ascii="Arial" w:cs="Arial" w:eastAsia="Arial" w:hAnsi="Arial"/>
          <w:sz w:val="18"/>
          <w:szCs w:val="18"/>
          <w:color w:val="231F20"/>
        </w:rPr>
        <w:t xml:space="preserve"> </w:t>
      </w:r>
      <w:r>
        <w:rPr>
          <w:rFonts w:ascii="Arial" w:cs="Arial" w:eastAsia="Arial" w:hAnsi="Arial"/>
          <w:sz w:val="18"/>
          <w:szCs w:val="18"/>
          <w:color w:val="000000"/>
        </w:rPr>
        <w:t xml:space="preserve">2013 </w:t>
      </w:r>
      <w:r>
        <w:rPr>
          <w:rFonts w:ascii="Arial" w:cs="Arial" w:eastAsia="Arial" w:hAnsi="Arial"/>
          <w:sz w:val="18"/>
          <w:szCs w:val="18"/>
          <w:color w:val="231F20"/>
        </w:rPr>
        <w:t>consisted primarily of proceeds of $0.2 million from a negotiated settlement, partially offset by foreign currency exchange losses of $0.1</w:t>
      </w:r>
      <w:r>
        <w:rPr>
          <w:rFonts w:ascii="Arial" w:cs="Arial" w:eastAsia="Arial" w:hAnsi="Arial"/>
          <w:sz w:val="18"/>
          <w:szCs w:val="18"/>
          <w:color w:val="000000"/>
        </w:rPr>
        <w:t xml:space="preserve"> </w:t>
      </w:r>
      <w:r>
        <w:rPr>
          <w:rFonts w:ascii="Arial" w:cs="Arial" w:eastAsia="Arial" w:hAnsi="Arial"/>
          <w:sz w:val="18"/>
          <w:szCs w:val="18"/>
          <w:color w:val="231F20"/>
        </w:rPr>
        <w:t>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174</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w:t>
      </w:r>
      <w:r>
        <w:rPr>
          <w:rFonts w:ascii="Arial" w:cs="Arial" w:eastAsia="Arial" w:hAnsi="Arial"/>
          <w:sz w:val="18"/>
          <w:szCs w:val="18"/>
          <w:color w:val="231F20"/>
        </w:rPr>
        <w:t xml:space="preserve"> </w:t>
      </w:r>
      <w:r>
        <w:rPr>
          <w:rFonts w:ascii="Arial" w:cs="Arial" w:eastAsia="Arial" w:hAnsi="Arial"/>
          <w:sz w:val="18"/>
          <w:szCs w:val="18"/>
          <w:color w:val="000000"/>
        </w:rPr>
        <w:t>30, 2013</w:t>
      </w:r>
      <w:r>
        <w:rPr>
          <w:rFonts w:ascii="Arial" w:cs="Arial" w:eastAsia="Arial" w:hAnsi="Arial"/>
          <w:sz w:val="18"/>
          <w:szCs w:val="18"/>
          <w:color w:val="231F20"/>
        </w:rPr>
        <w:t>. The provision for income taxes is primarily for taxes on income in foreign jurisdictions and state income taxes in the United States.</w:t>
      </w:r>
      <w:r>
        <w:rPr>
          <w:rFonts w:ascii="Arial" w:cs="Arial" w:eastAsia="Arial" w:hAnsi="Arial"/>
          <w:sz w:val="18"/>
          <w:szCs w:val="18"/>
          <w:color w:val="000000"/>
        </w:rPr>
        <w:t xml:space="preserve"> </w:t>
      </w:r>
      <w:r>
        <w:rPr>
          <w:rFonts w:ascii="Arial" w:cs="Arial" w:eastAsia="Arial" w:hAnsi="Arial"/>
          <w:sz w:val="18"/>
          <w:szCs w:val="18"/>
          <w:color w:val="231F20"/>
        </w:rPr>
        <w:t xml:space="preserve">The increase is </w:t>
      </w:r>
      <w:r>
        <w:rPr>
          <w:rFonts w:ascii="Arial" w:cs="Arial" w:eastAsia="Arial" w:hAnsi="Arial"/>
          <w:sz w:val="18"/>
          <w:szCs w:val="18"/>
          <w:color w:val="000000"/>
        </w:rPr>
        <w:t>due to higher taxable income in foreign and state jurisdictions, primarily resulting from higher non-deductible stock-based</w:t>
      </w:r>
      <w:r>
        <w:rPr>
          <w:rFonts w:ascii="Arial" w:cs="Arial" w:eastAsia="Arial" w:hAnsi="Arial"/>
          <w:sz w:val="18"/>
          <w:szCs w:val="18"/>
          <w:color w:val="231F20"/>
        </w:rPr>
        <w:t xml:space="preserve"> </w:t>
      </w:r>
      <w:r>
        <w:rPr>
          <w:rFonts w:ascii="Arial" w:cs="Arial" w:eastAsia="Arial" w:hAnsi="Arial"/>
          <w:sz w:val="18"/>
          <w:szCs w:val="18"/>
          <w:color w:val="000000"/>
        </w:rPr>
        <w:t>compensation in the three months ended June 30,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Six months ended June 30, 2014 and </w:t>
      </w:r>
      <w:r>
        <w:rPr>
          <w:rFonts w:ascii="Arial" w:cs="Arial" w:eastAsia="Arial" w:hAnsi="Arial"/>
          <w:sz w:val="18"/>
          <w:szCs w:val="18"/>
          <w:b w:val="1"/>
          <w:bCs w:val="1"/>
          <w:color w:val="000000"/>
        </w:rPr>
        <w:t>2013</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62,658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11,484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1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Revenues increased $11.5 million for the six months ended June 30, 2014 compared to the six months ended June 30, 2013, primarily due to new customer subscriptions entered into after June 30, 2013 and from an increase in the purchase of subscriptions from existing customers. Of the total increase of $11.5 million, $8.1 million was from customers in the United States and the remaining $3.4 million was from customers in foreign countries. The growth in revenues reflects increased demand for our solutions.</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14,021</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11,719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2,302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32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Cost of revenues increased $2.3 million for the six months ended June 30, 2014 compared to the six months ended June 30, 2013, primarily due to a $1.1 million increase in depreciation expenses related to additional computer hardware and software for our new and existing data centers; increased personnel expenses of $ 0.5 million, principally driven by the addition of employees in our operations staff and higher stock-based compensation; increased third-party software maintenance expense of $0.4 million; and increased consulting expenses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4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12,815</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2,227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43" w:lineRule="exact"/>
        <w:rPr>
          <w:sz w:val="20"/>
          <w:szCs w:val="20"/>
          <w:color w:val="auto"/>
        </w:rPr>
      </w:pPr>
    </w:p>
    <w:p>
      <w:pPr>
        <w:ind w:right="160" w:firstLine="486"/>
        <w:spacing w:after="0" w:line="274" w:lineRule="auto"/>
        <w:rPr>
          <w:sz w:val="20"/>
          <w:szCs w:val="20"/>
          <w:color w:val="auto"/>
        </w:rPr>
      </w:pPr>
      <w:r>
        <w:rPr>
          <w:rFonts w:ascii="Arial" w:cs="Arial" w:eastAsia="Arial" w:hAnsi="Arial"/>
          <w:sz w:val="17"/>
          <w:szCs w:val="17"/>
          <w:color w:val="231F20"/>
        </w:rPr>
        <w:t>Research and development expenses increased $ 2.2 million in the six months ended June 30, 2014 compared to the six months ended June 30, 2013, primarily due to an increase in personnel expenses of $1.6 million, including higher stock-based compensation, principally driven by the addition of employees as we continue to invest in enhancing our platform and developing new solutions; higher corporate overhead costs of $0.3 million, principally due to our expansion in India; and $0.2 million in consulting and professional service expenses.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24,337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20,328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4,009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Sales and marketing expenses increased $4.0 million for the six months ended June 30, 2014 compared to the six months ended June 30, 2013, primarily due to an increase in personnel expenses of $3.3 million, including higher stock-based compensation, principally driven by the addition of employees as we continue to expand our domestic and international sales and marketing efforts, and higher sales commissions. We also incurred increased marketing expenses of $0.6 million, primarily related to increased trade show and marketing program activities.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9,956</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2,007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231F20"/>
        </w:rPr>
        <w:t>General and administrative expenses increased $2.0 million for the six months ended June 30, 2014 compared to the six months ended June 30, 2013, primarily driven by increased personnel expenses of $1.2 million, including higher employee stock-based compensation, principally due to the addition of employees to support the growth of our business; increased professional services of $0.4 million; and increased bad debt expense and other fees of $0.2 million relative to the same period a year ago.</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42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w w:val="99"/>
              </w:rPr>
              <w:t>June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(158)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251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51"/>
        </w:trPr>
        <w:tc>
          <w:tcPr>
            <w:tcW w:w="544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increased $0.3 million for the six months ended June 30, 2014 compared to the six months ended June 30,</w:t>
      </w:r>
    </w:p>
    <w:p>
      <w:pPr>
        <w:spacing w:after="0" w:line="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231F20"/>
        </w:rPr>
        <w:t>2013. The increase is primarily due to lower foreign currency exchange losses of $0.3 million and higher interest and investment income, partially offsetting the decrease resulting from the proceeds of $0.2 million received from a negotiated settlement in 2013.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Six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6"/>
                <w:szCs w:val="16"/>
                <w:b w:val="1"/>
                <w:bCs w:val="1"/>
                <w:color w:val="auto"/>
                <w:w w:val="99"/>
              </w:rPr>
              <w:t>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356</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194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jc w:val="both"/>
        <w:ind w:right="220" w:firstLine="486"/>
        <w:spacing w:after="0" w:line="254" w:lineRule="auto"/>
        <w:rPr>
          <w:sz w:val="20"/>
          <w:szCs w:val="20"/>
          <w:color w:val="auto"/>
        </w:rPr>
      </w:pPr>
      <w:r>
        <w:rPr>
          <w:rFonts w:ascii="Arial" w:cs="Arial" w:eastAsia="Arial" w:hAnsi="Arial"/>
          <w:sz w:val="18"/>
          <w:szCs w:val="18"/>
          <w:color w:val="231F20"/>
        </w:rPr>
        <w:t xml:space="preserve">Provision for income taxes increased $0.2 million for the six months ended June 30, 2014 compared to the six months ended June 30, 2013. The provision for income taxes is primarily for taxes on income in foreign jurisdictions and state income taxes in the United States. The increase is </w:t>
      </w:r>
      <w:r>
        <w:rPr>
          <w:rFonts w:ascii="Arial" w:cs="Arial" w:eastAsia="Arial" w:hAnsi="Arial"/>
          <w:sz w:val="18"/>
          <w:szCs w:val="18"/>
          <w:color w:val="000000"/>
        </w:rPr>
        <w:t>due to higher taxable income in foreign and state jurisdictions, primarily resulting from higher non-deductible stock-based</w:t>
      </w:r>
      <w:r>
        <w:rPr>
          <w:rFonts w:ascii="Arial" w:cs="Arial" w:eastAsia="Arial" w:hAnsi="Arial"/>
          <w:sz w:val="18"/>
          <w:szCs w:val="18"/>
          <w:color w:val="231F20"/>
        </w:rPr>
        <w:t xml:space="preserve"> </w:t>
      </w:r>
      <w:r>
        <w:rPr>
          <w:rFonts w:ascii="Arial" w:cs="Arial" w:eastAsia="Arial" w:hAnsi="Arial"/>
          <w:sz w:val="18"/>
          <w:szCs w:val="18"/>
          <w:color w:val="000000"/>
        </w:rPr>
        <w:t xml:space="preserve">compensation in the </w:t>
      </w:r>
      <w:r>
        <w:rPr>
          <w:rFonts w:ascii="Arial" w:cs="Arial" w:eastAsia="Arial" w:hAnsi="Arial"/>
          <w:sz w:val="18"/>
          <w:szCs w:val="18"/>
          <w:color w:val="231F20"/>
        </w:rPr>
        <w:t>six months ended June 30, 2014.</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2014</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$143.8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$1.9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 xml:space="preserve">We have experienced positive cash flows from operations during the six months ended </w:t>
      </w:r>
      <w:r>
        <w:rPr>
          <w:rFonts w:ascii="Arial" w:cs="Arial" w:eastAsia="Arial" w:hAnsi="Arial"/>
          <w:sz w:val="18"/>
          <w:szCs w:val="18"/>
          <w:color w:val="000000"/>
        </w:rPr>
        <w:t>June 30, 2014</w:t>
      </w:r>
      <w:r>
        <w:rPr>
          <w:rFonts w:ascii="Arial" w:cs="Arial" w:eastAsia="Arial" w:hAnsi="Arial"/>
          <w:sz w:val="18"/>
          <w:szCs w:val="18"/>
          <w:color w:val="231F20"/>
        </w:rPr>
        <w:t xml:space="preserve"> and 2013.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15,175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12,870</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provided by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19,452</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33,734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$15.2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$1.3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$4.2 million,</w:t>
      </w:r>
      <w:r>
        <w:rPr>
          <w:rFonts w:ascii="Arial" w:cs="Arial" w:eastAsia="Arial" w:hAnsi="Arial"/>
          <w:sz w:val="18"/>
          <w:szCs w:val="18"/>
          <w:color w:val="231F20"/>
        </w:rPr>
        <w:t xml:space="preserve"> attributable to our continued growth. These working capital increases were further increased by non-cash items including depreciation and amortization expense of </w:t>
      </w:r>
      <w:r>
        <w:rPr>
          <w:rFonts w:ascii="Arial" w:cs="Arial" w:eastAsia="Arial" w:hAnsi="Arial"/>
          <w:sz w:val="18"/>
          <w:szCs w:val="18"/>
          <w:color w:val="000000"/>
        </w:rPr>
        <w:t>$5.8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$4.6 million</w:t>
      </w:r>
      <w:r>
        <w:rPr>
          <w:rFonts w:ascii="Arial" w:cs="Arial" w:eastAsia="Arial" w:hAnsi="Arial"/>
          <w:sz w:val="18"/>
          <w:szCs w:val="18"/>
          <w:color w:val="231F20"/>
        </w:rPr>
        <w:t>. These increases are partially offset by an increase in prepaid expenses and other assets of $0.8 million due to prepayment of certain maintenance contracts.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$12.9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$0.3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$2.5 million</w:t>
      </w:r>
      <w:r>
        <w:rPr>
          <w:rFonts w:ascii="Arial" w:cs="Arial" w:eastAsia="Arial" w:hAnsi="Arial"/>
          <w:sz w:val="18"/>
          <w:szCs w:val="18"/>
          <w:color w:val="231F20"/>
        </w:rPr>
        <w:t xml:space="preserve">, attributable to our continued growth; a decrease in accounts receivable of </w:t>
      </w:r>
      <w:r>
        <w:rPr>
          <w:rFonts w:ascii="Arial" w:cs="Arial" w:eastAsia="Arial" w:hAnsi="Arial"/>
          <w:sz w:val="18"/>
          <w:szCs w:val="18"/>
          <w:color w:val="000000"/>
        </w:rPr>
        <w:t>$1.5 million</w:t>
      </w:r>
      <w:r>
        <w:rPr>
          <w:rFonts w:ascii="Arial" w:cs="Arial" w:eastAsia="Arial" w:hAnsi="Arial"/>
          <w:sz w:val="18"/>
          <w:szCs w:val="18"/>
          <w:color w:val="231F20"/>
        </w:rPr>
        <w:t xml:space="preserve"> due to lower bookings in the three months ended June 30, 2013 compared to the three months ended December 31, 2012; and an increase in accrued liabilities of $1.2 million</w:t>
      </w:r>
      <w:r>
        <w:rPr>
          <w:rFonts w:ascii="Arial" w:cs="Arial" w:eastAsia="Arial" w:hAnsi="Arial"/>
          <w:sz w:val="18"/>
          <w:szCs w:val="18"/>
          <w:color w:val="000000"/>
        </w:rPr>
        <w:t>.</w:t>
      </w:r>
      <w:r>
        <w:rPr>
          <w:rFonts w:ascii="Arial" w:cs="Arial" w:eastAsia="Arial" w:hAnsi="Arial"/>
          <w:sz w:val="18"/>
          <w:szCs w:val="18"/>
          <w:color w:val="231F20"/>
        </w:rPr>
        <w:t xml:space="preserve"> These working capital increases are further increased by non-cash items including depreciation and amortization expense of </w:t>
      </w:r>
      <w:r>
        <w:rPr>
          <w:rFonts w:ascii="Arial" w:cs="Arial" w:eastAsia="Arial" w:hAnsi="Arial"/>
          <w:sz w:val="18"/>
          <w:szCs w:val="18"/>
          <w:color w:val="000000"/>
        </w:rPr>
        <w:t>$4.5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$2.2 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$ 18.4 million was primarily attributable to the use of $6.5</w:t>
      </w:r>
      <w:r>
        <w:rPr>
          <w:rFonts w:ascii="Arial" w:cs="Arial" w:eastAsia="Arial" w:hAnsi="Arial"/>
          <w:sz w:val="18"/>
          <w:szCs w:val="18"/>
          <w:color w:val="231F20"/>
        </w:rPr>
        <w:t xml:space="preserve"> </w:t>
      </w:r>
      <w:r>
        <w:rPr>
          <w:rFonts w:ascii="Arial" w:cs="Arial" w:eastAsia="Arial" w:hAnsi="Arial"/>
          <w:sz w:val="18"/>
          <w:szCs w:val="18"/>
          <w:color w:val="000000"/>
        </w:rPr>
        <w:t>million of cash for capital expenditures, including computer hardware and software for our data centers to support our growth and development, and to purchase physical scanner appliances and computer hardware provided to certain customers as part of their subscriptions; purchases of investments of $76.9 million, partially offset by the sales and maturities of investments of $65.0 million.</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investing activities provided $19.5 million. This increase is primarily attributable to the sales and maturities of investments of $100.6 million, partially offset by the purchase of investments of $75.0 million, and the use of </w:t>
      </w:r>
      <w:r>
        <w:rPr>
          <w:rFonts w:ascii="Arial" w:cs="Arial" w:eastAsia="Arial" w:hAnsi="Arial"/>
          <w:sz w:val="18"/>
          <w:szCs w:val="18"/>
          <w:color w:val="000000"/>
        </w:rPr>
        <w:t>$6.2 million of cash</w:t>
      </w:r>
      <w:r>
        <w:rPr>
          <w:rFonts w:ascii="Arial" w:cs="Arial" w:eastAsia="Arial" w:hAnsi="Arial"/>
          <w:sz w:val="18"/>
          <w:szCs w:val="18"/>
          <w:color w:val="231F20"/>
        </w:rPr>
        <w:t xml:space="preserve"> </w:t>
      </w:r>
      <w:r>
        <w:rPr>
          <w:rFonts w:ascii="Arial" w:cs="Arial" w:eastAsia="Arial" w:hAnsi="Arial"/>
          <w:sz w:val="18"/>
          <w:szCs w:val="18"/>
          <w:color w:val="000000"/>
        </w:rPr>
        <w:t>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$2.6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$3.1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$0.5 million</w:t>
      </w:r>
      <w:r>
        <w:rPr>
          <w:rFonts w:ascii="Arial" w:cs="Arial" w:eastAsia="Arial" w:hAnsi="Arial"/>
          <w:sz w:val="18"/>
          <w:szCs w:val="18"/>
          <w:color w:val="231F20"/>
        </w:rPr>
        <w:t>.</w:t>
      </w:r>
    </w:p>
    <w:p>
      <w:pPr>
        <w:spacing w:after="0" w:line="19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$2.2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$0.7 million</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and third-party data centers, and capital lease and third-party software maintenance obligations. The following table summarizes our contractual cash obligations, including future interest payments, at </w:t>
      </w:r>
      <w:r>
        <w:rPr>
          <w:rFonts w:ascii="Arial" w:cs="Arial" w:eastAsia="Arial" w:hAnsi="Arial"/>
          <w:sz w:val="18"/>
          <w:szCs w:val="18"/>
          <w:color w:val="000000"/>
        </w:rPr>
        <w:t>June 30, 2014</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Payment Due by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0"/>
        </w:trPr>
        <w:tc>
          <w:tcPr>
            <w:tcW w:w="56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1"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2015-2016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2017-2018</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0"/>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r>
      <w:tr>
        <w:trPr>
          <w:trHeight w:val="270"/>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right="80" w:hanging="332"/>
        <w:spacing w:after="0" w:line="261"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six</w:t>
      </w:r>
      <w:r>
        <w:rPr>
          <w:rFonts w:ascii="Arial" w:cs="Arial" w:eastAsia="Arial" w:hAnsi="Arial"/>
          <w:sz w:val="14"/>
          <w:szCs w:val="14"/>
          <w:color w:val="231F20"/>
        </w:rPr>
        <w:t xml:space="preserve"> </w:t>
      </w:r>
      <w:r>
        <w:rPr>
          <w:rFonts w:ascii="Arial" w:cs="Arial" w:eastAsia="Arial" w:hAnsi="Arial"/>
          <w:sz w:val="14"/>
          <w:szCs w:val="14"/>
          <w:color w:val="000000"/>
        </w:rPr>
        <w:t>months ended June 30, 2014</w:t>
      </w:r>
      <w:r>
        <w:rPr>
          <w:rFonts w:ascii="Arial" w:cs="Arial" w:eastAsia="Arial" w:hAnsi="Arial"/>
          <w:sz w:val="14"/>
          <w:szCs w:val="14"/>
          <w:color w:val="231F20"/>
        </w:rPr>
        <w:t>, we made regular payments on our operating lease obligations of $2.2 million.</w:t>
      </w:r>
    </w:p>
    <w:p>
      <w:pPr>
        <w:ind w:left="340" w:right="280" w:hanging="332"/>
        <w:spacing w:after="0" w:line="258"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software purchases. During the </w:t>
      </w:r>
      <w:r>
        <w:rPr>
          <w:rFonts w:ascii="Arial" w:cs="Arial" w:eastAsia="Arial" w:hAnsi="Arial"/>
          <w:sz w:val="14"/>
          <w:szCs w:val="14"/>
          <w:color w:val="000000"/>
        </w:rPr>
        <w:t>six months ended June 30, 2014</w:t>
      </w:r>
      <w:r>
        <w:rPr>
          <w:rFonts w:ascii="Arial" w:cs="Arial" w:eastAsia="Arial" w:hAnsi="Arial"/>
          <w:sz w:val="14"/>
          <w:szCs w:val="14"/>
          <w:color w:val="231F20"/>
        </w:rPr>
        <w:t xml:space="preserve">, we made regular payments on our capital lease obligations of </w:t>
      </w:r>
      <w:r>
        <w:rPr>
          <w:rFonts w:ascii="Arial" w:cs="Arial" w:eastAsia="Arial" w:hAnsi="Arial"/>
          <w:sz w:val="14"/>
          <w:szCs w:val="14"/>
          <w:color w:val="000000"/>
        </w:rPr>
        <w:t>$0.5 million</w:t>
      </w:r>
      <w:r>
        <w:rPr>
          <w:rFonts w:ascii="Arial" w:cs="Arial" w:eastAsia="Arial" w:hAnsi="Arial"/>
          <w:sz w:val="14"/>
          <w:szCs w:val="14"/>
          <w:color w:val="231F20"/>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2013, filed with the SEC on February 28, 2014,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231F20"/>
        </w:rPr>
        <w:t>We use foreign exchange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$143.8 million in cash, cash equivalents and short-term and long-term investments at June 30, 2014. Cash and cash equivalents include cash held in banks and highly liquid money market funds, corporate bonds and commercial paper. Investments consist of fixed-income U.S. government agency securities, corporate bonds, asset-backed securities, municipal bonds and commercial paper. All of these investments, excluding long-term investments, have maturities of less than one year from date of purchase. Long-term investments have maturities that extend more than one year from date of purchase.</w:t>
      </w:r>
    </w:p>
    <w:p>
      <w:pPr>
        <w:spacing w:after="0" w:line="165"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right="140" w:firstLine="486"/>
        <w:spacing w:after="0" w:line="265"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2014. The term “disclosure controls and procedures,” as defined in Rules 13a-15(e) and</w:t>
      </w:r>
    </w:p>
    <w:p>
      <w:pPr>
        <w:spacing w:after="0" w:line="251" w:lineRule="auto"/>
        <w:rPr>
          <w:sz w:val="20"/>
          <w:szCs w:val="20"/>
          <w:color w:val="auto"/>
        </w:rPr>
      </w:pPr>
      <w:r>
        <w:rPr>
          <w:rFonts w:ascii="Arial" w:cs="Arial" w:eastAsia="Arial" w:hAnsi="Arial"/>
          <w:sz w:val="18"/>
          <w:szCs w:val="18"/>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have been profitable in 2013, 2012 and 2011, we have had losses in certain quarters within these years. Additionally, our net income for the most recent year ended December 31, 2013 was lower than the prior year, primarily due to increased sales and marketing activities, as we continued to expand our worldwide customer base and focus on the promotion of our new solutions; increased investments to expand our data center infrastructure and to add capacity to deploy new solutions on our cloud platform; and increased personnel, professional services and other expenses to operate as a public company.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to ensure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budgets on these products and may not adopt our security and compliance solutions in addition to or as a replacement for such products.</w:t>
      </w:r>
    </w:p>
    <w:p>
      <w:pPr>
        <w:spacing w:after="0" w:line="22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41"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derived 82</w:t>
      </w:r>
      <w:r>
        <w:rPr>
          <w:rFonts w:ascii="Arial" w:cs="Arial" w:eastAsia="Arial" w:hAnsi="Arial"/>
          <w:sz w:val="18"/>
          <w:szCs w:val="18"/>
          <w:color w:val="000000"/>
        </w:rPr>
        <w:t>% and 85%</w:t>
      </w:r>
      <w:r>
        <w:rPr>
          <w:rFonts w:ascii="Arial" w:cs="Arial" w:eastAsia="Arial" w:hAnsi="Arial"/>
          <w:sz w:val="18"/>
          <w:szCs w:val="18"/>
          <w:color w:val="231F20"/>
        </w:rPr>
        <w:t xml:space="preserve"> of our revenues from subscriptions to our QualysGuard Vulnerability Management solution for the six months ended June 30, 2014 and </w:t>
      </w:r>
      <w:r>
        <w:rPr>
          <w:rFonts w:ascii="Arial" w:cs="Arial" w:eastAsia="Arial" w:hAnsi="Arial"/>
          <w:sz w:val="18"/>
          <w:szCs w:val="18"/>
          <w:color w:val="000000"/>
        </w:rPr>
        <w:t>2013</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added data center facilities in 2013 to provide additional capacity for our cloud platform and to enable disaster recovery. We are continuing to build out these facilities and anticipate they will be fully operational by the end of 2014. However, the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6"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2011</w:t>
      </w:r>
      <w:r>
        <w:rPr>
          <w:rFonts w:ascii="Arial" w:cs="Arial" w:eastAsia="Arial" w:hAnsi="Arial"/>
          <w:sz w:val="18"/>
          <w:szCs w:val="18"/>
          <w:color w:val="231F20"/>
        </w:rPr>
        <w:t xml:space="preserve"> to </w:t>
      </w:r>
      <w:r>
        <w:rPr>
          <w:rFonts w:ascii="Arial" w:cs="Arial" w:eastAsia="Arial" w:hAnsi="Arial"/>
          <w:sz w:val="18"/>
          <w:szCs w:val="18"/>
          <w:color w:val="000000"/>
        </w:rPr>
        <w:t>2013</w:t>
      </w:r>
      <w:r>
        <w:rPr>
          <w:rFonts w:ascii="Arial" w:cs="Arial" w:eastAsia="Arial" w:hAnsi="Arial"/>
          <w:sz w:val="18"/>
          <w:szCs w:val="18"/>
          <w:color w:val="231F20"/>
        </w:rPr>
        <w:t xml:space="preserve">, our revenues grew from </w:t>
      </w:r>
      <w:r>
        <w:rPr>
          <w:rFonts w:ascii="Arial" w:cs="Arial" w:eastAsia="Arial" w:hAnsi="Arial"/>
          <w:sz w:val="18"/>
          <w:szCs w:val="18"/>
          <w:color w:val="000000"/>
        </w:rPr>
        <w:t>$76.2 million</w:t>
      </w:r>
      <w:r>
        <w:rPr>
          <w:rFonts w:ascii="Arial" w:cs="Arial" w:eastAsia="Arial" w:hAnsi="Arial"/>
          <w:sz w:val="18"/>
          <w:szCs w:val="18"/>
          <w:color w:val="231F20"/>
        </w:rPr>
        <w:t xml:space="preserve"> to $108.0 million, and our headcount increased from 256 employees at the beginning of 2011 to 419 employees at June 30, 2014.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six months ended June 30, 2014 and </w:t>
      </w:r>
      <w:r>
        <w:rPr>
          <w:rFonts w:ascii="Arial" w:cs="Arial" w:eastAsia="Arial" w:hAnsi="Arial"/>
          <w:sz w:val="18"/>
          <w:szCs w:val="18"/>
          <w:color w:val="000000"/>
        </w:rPr>
        <w:t>2013</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37% and 39%</w:t>
      </w:r>
      <w:r>
        <w:rPr>
          <w:rFonts w:ascii="Arial" w:cs="Arial" w:eastAsia="Arial" w:hAnsi="Arial"/>
          <w:sz w:val="18"/>
          <w:szCs w:val="18"/>
          <w:color w:val="231F20"/>
        </w:rPr>
        <w:t xml:space="preserve"> of our revenues, respectively, from sales of subscriptions for our solutions through channel partners.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six months ended June 30, 2014, we incurred approximately </w:t>
      </w:r>
      <w:r>
        <w:rPr>
          <w:rFonts w:ascii="Arial" w:cs="Arial" w:eastAsia="Arial" w:hAnsi="Arial"/>
          <w:sz w:val="18"/>
          <w:szCs w:val="18"/>
          <w:color w:val="000000"/>
        </w:rPr>
        <w:t>22%</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six months ended June 30, 2014 approximately </w:t>
      </w:r>
      <w:r>
        <w:rPr>
          <w:rFonts w:ascii="Arial" w:cs="Arial" w:eastAsia="Arial" w:hAnsi="Arial"/>
          <w:sz w:val="18"/>
          <w:szCs w:val="18"/>
          <w:color w:val="000000"/>
        </w:rPr>
        <w:t>18%</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have three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June 30, 2014</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 xml:space="preserve">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41" w:right="27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common stock valuations and fair value measurement.</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$51.4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90"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increasing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mmand retain qualified people to serve on our board of directors and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2014</w:t>
      </w:r>
      <w:r>
        <w:rPr>
          <w:rFonts w:ascii="Arial" w:cs="Arial" w:eastAsia="Arial" w:hAnsi="Arial"/>
          <w:sz w:val="18"/>
          <w:szCs w:val="18"/>
          <w:color w:val="231F20"/>
        </w:rPr>
        <w:t>, our executive officers, directors and holders of 5% or more of our outstanding common stock beneficially own, in the aggregate, approximately 50%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2014, we had approximately 33.0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In addition, as of June 30, 2014, we had outstanding options to purchase approximately 7.3 million shares of common stock options that, if exercised, will result in these additional shares becoming available for sale. As of June 30, 2014, we had an aggregate of </w:t>
      </w:r>
      <w:r>
        <w:rPr>
          <w:rFonts w:ascii="Arial" w:cs="Arial" w:eastAsia="Arial" w:hAnsi="Arial"/>
          <w:sz w:val="18"/>
          <w:szCs w:val="18"/>
          <w:color w:val="000000"/>
        </w:rPr>
        <w:t>1.8 million</w:t>
      </w:r>
      <w:r>
        <w:rPr>
          <w:rFonts w:ascii="Arial" w:cs="Arial" w:eastAsia="Arial" w:hAnsi="Arial"/>
          <w:sz w:val="18"/>
          <w:szCs w:val="18"/>
          <w:color w:val="231F20"/>
        </w:rPr>
        <w:t xml:space="preserve">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532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141" w:right="49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August 7, 2014.</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1"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Agreement with Ann S. Johnson dated May 2, 2014 (incorporated by reference to Exhibit No. 10.1 to our</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10.1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Current Report on Form 8-K filed with the SEC on May 5, 2014, File No. 001-35662)</w:t>
            </w:r>
          </w:p>
        </w:tc>
      </w:tr>
      <w:tr>
        <w:trPr>
          <w:trHeight w:val="512"/>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20" w:hanging="492"/>
        <w:spacing w:after="0" w:line="253" w:lineRule="auto"/>
        <w:tabs>
          <w:tab w:leader="none" w:pos="5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hanging="492"/>
        <w:spacing w:after="0" w:line="302" w:lineRule="auto"/>
        <w:tabs>
          <w:tab w:leader="none" w:pos="500" w:val="left"/>
        </w:tabs>
        <w:numPr>
          <w:ilvl w:val="0"/>
          <w:numId w:val="15"/>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18" w:right="2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7,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7, 2014</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2014,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7,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2014,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2014</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2"/>
    </w:lvl>
  </w:abstractNum>
  <w:abstractNum w:abstractNumId="18">
    <w:nsid w:val="7C83E45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2019-12-06T23:27:40Z</dcterms:created>
  <dcterms:modified xsi:type="dcterms:W3CDTF">2019-12-06T23:27:40Z</dcterms:modified>
</cp:coreProperties>
</file>