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900" w:right="240" w:hanging="437"/>
        <w:spacing w:after="0" w:line="23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6"/>
        <w:spacing w:after="0" w:line="299"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-3760470</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-3383280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-2877185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-2499995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-2087880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-904875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-527050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-149860</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226695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372745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19" w:right="5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ind w:right="-39"/>
        <w:spacing w:after="0"/>
        <w:rPr>
          <w:sz w:val="20"/>
          <w:szCs w:val="20"/>
          <w:color w:val="auto"/>
        </w:rPr>
      </w:pPr>
      <w:r>
        <w:rPr>
          <w:rFonts w:ascii="Arial" w:cs="Arial" w:eastAsia="Arial" w:hAnsi="Arial"/>
          <w:sz w:val="18"/>
          <w:szCs w:val="18"/>
          <w:b w:val="1"/>
          <w:bCs w:val="1"/>
          <w:color w:val="auto"/>
        </w:rPr>
        <w:t>Foster City, California 94404</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To Be Held at 11:00 a.m. Pacific Daylight Time on Friday, June 7,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90" w:lineRule="exact"/>
        <w:rPr>
          <w:sz w:val="20"/>
          <w:szCs w:val="20"/>
          <w:color w:val="auto"/>
        </w:rPr>
      </w:pPr>
    </w:p>
    <w:p>
      <w:pPr>
        <w:ind w:right="120" w:firstLine="441"/>
        <w:spacing w:after="0" w:line="253"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Friday, June 7, 2019, at 11:00 a.m.</w:t>
      </w:r>
      <w:r>
        <w:rPr>
          <w:rFonts w:ascii="Arial" w:cs="Arial" w:eastAsia="Arial" w:hAnsi="Arial"/>
          <w:sz w:val="18"/>
          <w:szCs w:val="18"/>
          <w:color w:val="auto"/>
        </w:rPr>
        <w:t xml:space="preserve"> </w:t>
      </w:r>
      <w:r>
        <w:rPr>
          <w:rFonts w:ascii="Arial" w:cs="Arial" w:eastAsia="Arial" w:hAnsi="Arial"/>
          <w:sz w:val="18"/>
          <w:szCs w:val="18"/>
          <w:b w:val="1"/>
          <w:bCs w:val="1"/>
          <w:color w:val="auto"/>
        </w:rPr>
        <w:t>Pacific Daylight Time</w:t>
      </w:r>
      <w:r>
        <w:rPr>
          <w:rFonts w:ascii="Arial" w:cs="Arial" w:eastAsia="Arial" w:hAnsi="Arial"/>
          <w:sz w:val="18"/>
          <w:szCs w:val="18"/>
          <w:color w:val="auto"/>
        </w:rPr>
        <w:t>, at Qualys’s corporate headquarters, 919 East Hillsdale Boulevard, 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Foster City, California 94404,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purposes as more fully described in the accompanying proxy statement:</w:t>
      </w:r>
    </w:p>
    <w:p>
      <w:pPr>
        <w:spacing w:after="0" w:line="97" w:lineRule="exact"/>
        <w:rPr>
          <w:sz w:val="20"/>
          <w:szCs w:val="20"/>
          <w:color w:val="auto"/>
        </w:rPr>
      </w:pPr>
    </w:p>
    <w:p>
      <w:pPr>
        <w:ind w:left="860" w:right="220" w:hanging="424"/>
        <w:spacing w:after="0" w:line="246"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2022 annual meeting of stockholders or until their successors are duly elected and qualified;</w:t>
      </w:r>
    </w:p>
    <w:p>
      <w:pPr>
        <w:spacing w:after="0" w:line="102" w:lineRule="exact"/>
        <w:rPr>
          <w:rFonts w:ascii="Arial" w:cs="Arial" w:eastAsia="Arial" w:hAnsi="Arial"/>
          <w:sz w:val="18"/>
          <w:szCs w:val="18"/>
          <w:color w:val="auto"/>
        </w:rPr>
      </w:pPr>
    </w:p>
    <w:p>
      <w:pPr>
        <w:ind w:left="860" w:right="60" w:hanging="424"/>
        <w:spacing w:after="0" w:line="246"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2019;</w:t>
      </w:r>
    </w:p>
    <w:p>
      <w:pPr>
        <w:spacing w:after="0" w:line="102" w:lineRule="exact"/>
        <w:rPr>
          <w:rFonts w:ascii="Arial" w:cs="Arial" w:eastAsia="Arial" w:hAnsi="Arial"/>
          <w:sz w:val="18"/>
          <w:szCs w:val="18"/>
          <w:color w:val="auto"/>
        </w:rPr>
      </w:pPr>
    </w:p>
    <w:p>
      <w:pPr>
        <w:ind w:left="860" w:hanging="424"/>
        <w:spacing w:after="0" w:line="246"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this proxy statement; and</w:t>
      </w:r>
    </w:p>
    <w:p>
      <w:pPr>
        <w:spacing w:after="0" w:line="102"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212" w:lineRule="exact"/>
        <w:rPr>
          <w:sz w:val="20"/>
          <w:szCs w:val="20"/>
          <w:color w:val="auto"/>
        </w:rPr>
      </w:pPr>
    </w:p>
    <w:p>
      <w:pPr>
        <w:jc w:val="both"/>
        <w:ind w:right="560" w:firstLine="441"/>
        <w:spacing w:after="0"/>
        <w:rPr>
          <w:sz w:val="20"/>
          <w:szCs w:val="20"/>
          <w:color w:val="auto"/>
        </w:rPr>
      </w:pPr>
      <w:r>
        <w:rPr>
          <w:rFonts w:ascii="Arial" w:cs="Arial" w:eastAsia="Arial" w:hAnsi="Arial"/>
          <w:sz w:val="18"/>
          <w:szCs w:val="18"/>
          <w:color w:val="auto"/>
        </w:rPr>
        <w:t>The board of directors of Qualys, Inc. has fixed the close of business on April 8, 2019 as the record date for the meeting. Only stockholders of record of our common stock on April 8, 2019 are entitled to notice of and to vote at the meeting. Further information regarding voting rights and the matters to be voted upon is presented in our proxy statement.</w:t>
      </w:r>
    </w:p>
    <w:p>
      <w:pPr>
        <w:spacing w:after="0" w:line="203" w:lineRule="exact"/>
        <w:rPr>
          <w:sz w:val="20"/>
          <w:szCs w:val="20"/>
          <w:color w:val="auto"/>
        </w:rPr>
      </w:pPr>
    </w:p>
    <w:p>
      <w:pPr>
        <w:ind w:right="20" w:firstLine="441"/>
        <w:spacing w:after="0" w:line="238" w:lineRule="auto"/>
        <w:rPr>
          <w:sz w:val="20"/>
          <w:szCs w:val="20"/>
          <w:color w:val="auto"/>
        </w:rPr>
      </w:pPr>
      <w:r>
        <w:rPr>
          <w:rFonts w:ascii="Arial" w:cs="Arial" w:eastAsia="Arial" w:hAnsi="Arial"/>
          <w:sz w:val="18"/>
          <w:szCs w:val="18"/>
          <w:color w:val="auto"/>
        </w:rPr>
        <w:t xml:space="preserve">On or about April 22, 2019, we expect to mail to our stockholders a Notice of Internet Availability of Proxy Materials (the “Notice”) containing instructions on how to access our proxy statement for our annual meeting and our annual report to stockholders. The Notice provides instructions on how to vote online or by telephone and includes instructions on how to receive a paper copy of proxy materials by mail. This proxy statement and our 2018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81" w:lineRule="exact"/>
        <w:rPr>
          <w:sz w:val="20"/>
          <w:szCs w:val="20"/>
          <w:color w:val="auto"/>
        </w:rPr>
      </w:pPr>
    </w:p>
    <w:p>
      <w:pPr>
        <w:ind w:right="80" w:firstLine="441"/>
        <w:spacing w:after="0" w:line="271"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76" w:lineRule="exact"/>
        <w:rPr>
          <w:sz w:val="20"/>
          <w:szCs w:val="20"/>
          <w:color w:val="auto"/>
        </w:rPr>
      </w:pPr>
    </w:p>
    <w:p>
      <w:pPr>
        <w:ind w:right="160" w:firstLine="441"/>
        <w:spacing w:after="0" w:line="246"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Philippe F. Courtot</w:t>
      </w:r>
    </w:p>
    <w:p>
      <w:pPr>
        <w:spacing w:after="0" w:line="20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Philippe F. Courtot</w:t>
      </w:r>
    </w:p>
    <w:p>
      <w:pPr>
        <w:ind w:left="5860"/>
        <w:spacing w:after="0" w:line="234" w:lineRule="auto"/>
        <w:rPr>
          <w:sz w:val="20"/>
          <w:szCs w:val="20"/>
          <w:color w:val="auto"/>
        </w:rPr>
      </w:pPr>
      <w:r>
        <w:rPr>
          <w:rFonts w:ascii="Arial" w:cs="Arial" w:eastAsia="Arial" w:hAnsi="Arial"/>
          <w:sz w:val="18"/>
          <w:szCs w:val="18"/>
          <w:color w:val="auto"/>
        </w:rPr>
        <w:t>Chairman, President and Chief Executive Officer</w:t>
      </w:r>
    </w:p>
    <w:p>
      <w:pPr>
        <w:ind w:left="5860"/>
        <w:spacing w:after="0" w:line="235" w:lineRule="auto"/>
        <w:rPr>
          <w:sz w:val="20"/>
          <w:szCs w:val="20"/>
          <w:color w:val="auto"/>
        </w:rPr>
      </w:pPr>
      <w:r>
        <w:rPr>
          <w:rFonts w:ascii="Arial" w:cs="Arial" w:eastAsia="Arial" w:hAnsi="Arial"/>
          <w:sz w:val="18"/>
          <w:szCs w:val="18"/>
          <w:color w:val="auto"/>
        </w:rPr>
        <w:t>Foster City, California</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April 22, 2019</w:t>
      </w:r>
    </w:p>
    <w:p>
      <w:pPr>
        <w:sectPr>
          <w:pgSz w:w="11900" w:h="16838" w:orient="portrait"/>
          <w:cols w:equalWidth="0" w:num="1">
            <w:col w:w="11000"/>
          </w:cols>
          <w:pgMar w:left="440" w:top="265"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Foster City, California 94404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2019 ANNUAL MEETING OF STOCKHOLDERS</w:t>
      </w:r>
    </w:p>
    <w:p>
      <w:pPr>
        <w:jc w:val="center"/>
        <w:spacing w:after="0"/>
        <w:rPr>
          <w:sz w:val="20"/>
          <w:szCs w:val="20"/>
          <w:color w:val="auto"/>
        </w:rPr>
      </w:pPr>
      <w:r>
        <w:rPr>
          <w:rFonts w:ascii="Arial" w:cs="Arial" w:eastAsia="Arial" w:hAnsi="Arial"/>
          <w:sz w:val="18"/>
          <w:szCs w:val="18"/>
          <w:b w:val="1"/>
          <w:bCs w:val="1"/>
          <w:color w:val="auto"/>
        </w:rPr>
        <w:t>to be held on Friday, June 7, 2019 at 11:00 a.m. Pacific Daylight Time</w:t>
      </w:r>
    </w:p>
    <w:p>
      <w:pPr>
        <w:spacing w:after="0" w:line="212"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annual meeting of stockholders (the “Annual Meeting”) to be held on June 7, 2019, and any postponements, adjournments or continuations thereof. The Annual Meeting will be held at Qualys’s corporate headquarters,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on June 7, 2019 at 11:00 a.m. Pacific Daylight Time. On or about April 22, 2019, we expect to mail to our stockholders a Notice of Internet Availability of Proxy Materials containing instructions on how to access our proxy statement for our Annual Meeting and our annual report to stockholders.</w:t>
      </w:r>
    </w:p>
    <w:p>
      <w:pPr>
        <w:spacing w:after="0" w:line="205" w:lineRule="exact"/>
        <w:rPr>
          <w:sz w:val="20"/>
          <w:szCs w:val="20"/>
          <w:color w:val="auto"/>
        </w:rPr>
      </w:pPr>
    </w:p>
    <w:p>
      <w:pPr>
        <w:ind w:right="340" w:firstLine="441"/>
        <w:spacing w:after="0" w:line="246"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860" w:right="360" w:hanging="316"/>
        <w:spacing w:after="0" w:line="24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 directors to hold office until the 2022 annual meeting of stockholders or until their successors are duly elected and qualified;</w:t>
      </w:r>
    </w:p>
    <w:p>
      <w:pPr>
        <w:spacing w:after="0" w:line="102" w:lineRule="exact"/>
        <w:rPr>
          <w:rFonts w:ascii="Arial" w:cs="Arial" w:eastAsia="Arial" w:hAnsi="Arial"/>
          <w:sz w:val="18"/>
          <w:szCs w:val="18"/>
          <w:color w:val="auto"/>
        </w:rPr>
      </w:pPr>
    </w:p>
    <w:p>
      <w:pPr>
        <w:ind w:left="860" w:right="240" w:hanging="316"/>
        <w:spacing w:after="0" w:line="24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2019;</w:t>
      </w:r>
    </w:p>
    <w:p>
      <w:pPr>
        <w:spacing w:after="0" w:line="102" w:lineRule="exact"/>
        <w:rPr>
          <w:rFonts w:ascii="Arial" w:cs="Arial" w:eastAsia="Arial" w:hAnsi="Arial"/>
          <w:sz w:val="18"/>
          <w:szCs w:val="18"/>
          <w:color w:val="auto"/>
        </w:rPr>
      </w:pPr>
    </w:p>
    <w:p>
      <w:pPr>
        <w:ind w:left="860" w:hanging="316"/>
        <w:spacing w:after="0" w:line="24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 and</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a vote:</w:t>
      </w:r>
    </w:p>
    <w:p>
      <w:pPr>
        <w:spacing w:after="0" w:line="117" w:lineRule="exact"/>
        <w:rPr>
          <w:sz w:val="20"/>
          <w:szCs w:val="20"/>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nominees for election as Class I directors;</w:t>
      </w:r>
    </w:p>
    <w:p>
      <w:pPr>
        <w:spacing w:after="0" w:line="117" w:lineRule="exact"/>
        <w:rPr>
          <w:rFonts w:ascii="Arial" w:cs="Arial" w:eastAsia="Arial" w:hAnsi="Arial"/>
          <w:sz w:val="18"/>
          <w:szCs w:val="18"/>
          <w:color w:val="auto"/>
        </w:rPr>
      </w:pPr>
    </w:p>
    <w:p>
      <w:pPr>
        <w:ind w:left="860" w:right="420" w:hanging="316"/>
        <w:spacing w:after="0" w:line="24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2019; and</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compensation of our named executive officers as described in this proxy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6" w:lineRule="exact"/>
        <w:rPr>
          <w:sz w:val="20"/>
          <w:szCs w:val="20"/>
          <w:color w:val="auto"/>
        </w:rPr>
      </w:pPr>
    </w:p>
    <w:p>
      <w:pPr>
        <w:jc w:val="both"/>
        <w:ind w:firstLine="441"/>
        <w:spacing w:after="0" w:line="239" w:lineRule="auto"/>
        <w:rPr>
          <w:sz w:val="20"/>
          <w:szCs w:val="20"/>
          <w:color w:val="auto"/>
        </w:rPr>
      </w:pPr>
      <w:r>
        <w:rPr>
          <w:rFonts w:ascii="Arial" w:cs="Arial" w:eastAsia="Arial" w:hAnsi="Arial"/>
          <w:sz w:val="18"/>
          <w:szCs w:val="18"/>
          <w:color w:val="auto"/>
        </w:rPr>
        <w:t>Holders of our common stock as of the close of business on April 8, 2019, the record date, may vote at the Annual Meeting. As of the record date, we had 39,151,573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56" w:right="439" w:bottom="1440" w:gutter="0" w:footer="0" w:header="0"/>
        </w:sectPr>
      </w:pPr>
    </w:p>
    <w:bookmarkStart w:id="3" w:name="page4"/>
    <w:bookmarkEnd w:id="3"/>
    <w:p>
      <w:pPr>
        <w:ind w:right="300" w:firstLine="441"/>
        <w:spacing w:after="0" w:line="251"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Registered Stockholders</w:t>
      </w:r>
      <w:r>
        <w:rPr>
          <w:rFonts w:ascii="Arial" w:cs="Arial" w:eastAsia="Arial" w:hAnsi="Arial"/>
          <w:sz w:val="18"/>
          <w:szCs w:val="18"/>
          <w:color w:val="auto"/>
        </w:rPr>
        <w:t>. If your shares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74" w:lineRule="exact"/>
        <w:rPr>
          <w:sz w:val="20"/>
          <w:szCs w:val="20"/>
          <w:color w:val="auto"/>
        </w:rPr>
      </w:pPr>
    </w:p>
    <w:p>
      <w:pPr>
        <w:ind w:right="20" w:firstLine="441"/>
        <w:spacing w:after="0"/>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stock brokerage account or by a bank or other nominee, you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the 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four ways to vote:</w:t>
      </w:r>
    </w:p>
    <w:p>
      <w:pPr>
        <w:spacing w:after="0" w:line="117" w:lineRule="exact"/>
        <w:rPr>
          <w:sz w:val="20"/>
          <w:szCs w:val="20"/>
          <w:color w:val="auto"/>
        </w:rPr>
      </w:pPr>
    </w:p>
    <w:p>
      <w:pPr>
        <w:ind w:left="860" w:right="360" w:hanging="316"/>
        <w:spacing w:after="0" w:line="246"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Eastern time on June 6, 2019 (have your proxy card in hand when you visit the website);</w:t>
      </w:r>
    </w:p>
    <w:p>
      <w:pPr>
        <w:spacing w:after="0" w:line="102" w:lineRule="exact"/>
        <w:rPr>
          <w:rFonts w:ascii="Arial" w:cs="Arial" w:eastAsia="Arial" w:hAnsi="Arial"/>
          <w:sz w:val="18"/>
          <w:szCs w:val="18"/>
          <w:color w:val="auto"/>
        </w:rPr>
      </w:pPr>
    </w:p>
    <w:p>
      <w:pPr>
        <w:ind w:left="860" w:right="300" w:hanging="316"/>
        <w:spacing w:after="0" w:line="246"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at 1-800-690-6903, until 11:59 p.m. Eastern time on June 6, 2019 (have your proxy card in hand when you call);</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117" w:lineRule="exact"/>
        <w:rPr>
          <w:sz w:val="20"/>
          <w:szCs w:val="20"/>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69"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did I receive a notice regarding the availability of proxy materials on the Internet instead of a full set of proxy materials?</w:t>
      </w:r>
    </w:p>
    <w:p>
      <w:pPr>
        <w:spacing w:after="0" w:line="126"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stockholders, primarily via the Internet. On or about April 22, 2019,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26"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21" w:lineRule="exact"/>
        <w:rPr>
          <w:sz w:val="20"/>
          <w:szCs w:val="20"/>
          <w:color w:val="auto"/>
        </w:rPr>
      </w:pPr>
    </w:p>
    <w:p>
      <w:pPr>
        <w:ind w:left="860" w:hanging="316"/>
        <w:spacing w:after="0" w:line="242"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90" w:lineRule="exact"/>
        <w:rPr>
          <w:rFonts w:ascii="Arial" w:cs="Arial" w:eastAsia="Arial" w:hAnsi="Arial"/>
          <w:sz w:val="18"/>
          <w:szCs w:val="18"/>
          <w:color w:val="auto"/>
        </w:rPr>
      </w:pPr>
    </w:p>
    <w:p>
      <w:pPr>
        <w:ind w:left="860" w:right="120" w:hanging="316"/>
        <w:spacing w:after="0" w:line="24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86" w:lineRule="exact"/>
        <w:rPr>
          <w:rFonts w:ascii="Arial" w:cs="Arial" w:eastAsia="Arial" w:hAnsi="Arial"/>
          <w:sz w:val="18"/>
          <w:szCs w:val="18"/>
          <w:color w:val="auto"/>
        </w:rPr>
      </w:pPr>
    </w:p>
    <w:p>
      <w:pPr>
        <w:ind w:left="860" w:right="40" w:hanging="316"/>
        <w:spacing w:after="0" w:line="241"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 of our named executive officers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proxy statement must receive the affirmative vote of a majority of the shares present in person or by proxy at the meeting and entitled to vote thereon to be approved. You may vote “for,” “against” or “abstain” on this proposal. 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26" w:lineRule="exact"/>
        <w:rPr>
          <w:sz w:val="20"/>
          <w:szCs w:val="20"/>
          <w:color w:val="auto"/>
        </w:rPr>
      </w:pPr>
    </w:p>
    <w:p>
      <w:pPr>
        <w:ind w:right="160" w:firstLine="441"/>
        <w:spacing w:after="0" w:line="246"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that they incur in sending these proxy materials to you if a broker or other nominee holds your shares.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126"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or the proposal to approve executive compensation, absent direction from you.</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26" w:lineRule="exact"/>
        <w:rPr>
          <w:sz w:val="20"/>
          <w:szCs w:val="20"/>
          <w:color w:val="auto"/>
        </w:rPr>
      </w:pPr>
    </w:p>
    <w:p>
      <w:pPr>
        <w:jc w:val="both"/>
        <w:ind w:right="340" w:firstLine="441"/>
        <w:spacing w:after="0"/>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6" w:lineRule="exact"/>
        <w:rPr>
          <w:sz w:val="20"/>
          <w:szCs w:val="20"/>
          <w:color w:val="auto"/>
        </w:rPr>
      </w:pPr>
    </w:p>
    <w:p>
      <w:pPr>
        <w:jc w:val="both"/>
        <w:ind w:right="80" w:firstLine="441"/>
        <w:spacing w:after="0" w:line="23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8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68" w:lineRule="exact"/>
        <w:rPr>
          <w:sz w:val="20"/>
          <w:szCs w:val="20"/>
          <w:color w:val="auto"/>
        </w:rPr>
      </w:pPr>
    </w:p>
    <w:p>
      <w:pPr>
        <w:ind w:right="180" w:firstLine="441"/>
        <w:spacing w:after="0" w:line="237"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Qualys, Inc.</w:t>
      </w:r>
    </w:p>
    <w:p>
      <w:pPr>
        <w:jc w:val="center"/>
        <w:spacing w:after="0" w:line="231" w:lineRule="auto"/>
        <w:rPr>
          <w:sz w:val="20"/>
          <w:szCs w:val="20"/>
          <w:color w:val="auto"/>
        </w:rPr>
      </w:pPr>
      <w:r>
        <w:rPr>
          <w:rFonts w:ascii="Arial" w:cs="Arial" w:eastAsia="Arial" w:hAnsi="Arial"/>
          <w:sz w:val="18"/>
          <w:szCs w:val="18"/>
          <w:color w:val="auto"/>
        </w:rPr>
        <w:t>Attention: Investor Relations</w:t>
      </w:r>
    </w:p>
    <w:p>
      <w:pPr>
        <w:jc w:val="center"/>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spacing w:after="0" w:line="235" w:lineRule="auto"/>
        <w:rPr>
          <w:sz w:val="20"/>
          <w:szCs w:val="20"/>
          <w:color w:val="auto"/>
        </w:rPr>
      </w:pPr>
      <w:r>
        <w:rPr>
          <w:rFonts w:ascii="Arial" w:cs="Arial" w:eastAsia="Arial" w:hAnsi="Arial"/>
          <w:sz w:val="18"/>
          <w:szCs w:val="18"/>
          <w:color w:val="auto"/>
        </w:rPr>
        <w:t>Foster City, California 94404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right="220" w:firstLine="441"/>
        <w:spacing w:after="0" w:line="246"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87" w:right="439" w:bottom="1440" w:gutter="0" w:footer="0" w:header="0"/>
        </w:sectPr>
      </w:pPr>
    </w:p>
    <w:bookmarkStart w:id="6" w:name="page7"/>
    <w:bookmarkEnd w:id="6"/>
    <w:p>
      <w:pPr>
        <w:ind w:right="82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is the deadline to propose actions for consideration at next year’s annual meeting of stockholders or to nominate individuals to serve as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122"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2020 annual meeting of stockholders, our Corporate Secretary must receive the written proposal at our principal executive offices not later than December 24, 2019. In addition, stockholder proposals must comply with the requirements of Rule 14a-8 regarding the inclusion of stockholder proposals in company-sponsored proxy materials. Proposals should be addressed to: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Qualys, Inc.</w:t>
      </w:r>
    </w:p>
    <w:p>
      <w:pPr>
        <w:jc w:val="center"/>
        <w:ind w:right="-19"/>
        <w:spacing w:after="0" w:line="231" w:lineRule="auto"/>
        <w:rPr>
          <w:sz w:val="20"/>
          <w:szCs w:val="20"/>
          <w:color w:val="auto"/>
        </w:rPr>
      </w:pPr>
      <w:r>
        <w:rPr>
          <w:rFonts w:ascii="Arial" w:cs="Arial" w:eastAsia="Arial" w:hAnsi="Arial"/>
          <w:sz w:val="18"/>
          <w:szCs w:val="18"/>
          <w:color w:val="auto"/>
        </w:rPr>
        <w:t>Attention: Corporate Secretary</w:t>
      </w:r>
    </w:p>
    <w:p>
      <w:pPr>
        <w:jc w:val="center"/>
        <w:ind w:right="-19"/>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19"/>
        <w:spacing w:after="0" w:line="235" w:lineRule="auto"/>
        <w:rPr>
          <w:sz w:val="20"/>
          <w:szCs w:val="20"/>
          <w:color w:val="auto"/>
        </w:rPr>
      </w:pPr>
      <w:r>
        <w:rPr>
          <w:rFonts w:ascii="Arial" w:cs="Arial" w:eastAsia="Arial" w:hAnsi="Arial"/>
          <w:sz w:val="18"/>
          <w:szCs w:val="18"/>
          <w:color w:val="auto"/>
        </w:rPr>
        <w:t>Foster City, California 94404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2020 annual meeting of stockholders, our Corporate Secretary must receive the written notice at our principal executive offices:</w:t>
      </w:r>
    </w:p>
    <w:p>
      <w:pPr>
        <w:spacing w:after="0" w:line="109" w:lineRule="exact"/>
        <w:rPr>
          <w:sz w:val="20"/>
          <w:szCs w:val="20"/>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7, 2020; and</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6, 2020.</w:t>
      </w:r>
    </w:p>
    <w:p>
      <w:pPr>
        <w:spacing w:after="0" w:line="212"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In the event that we hold our 2020 annual meeting of stockholders more than 30 days before or more than 60 days after the one-year anniversary date of the 2019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07" w:lineRule="exact"/>
        <w:rPr>
          <w:sz w:val="20"/>
          <w:szCs w:val="20"/>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12"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22" w:lineRule="exact"/>
        <w:rPr>
          <w:sz w:val="20"/>
          <w:szCs w:val="20"/>
          <w:color w:val="auto"/>
        </w:rPr>
      </w:pPr>
    </w:p>
    <w:p>
      <w:pPr>
        <w:jc w:val="both"/>
        <w:ind w:right="180" w:firstLine="441"/>
        <w:spacing w:after="0" w:line="261" w:lineRule="auto"/>
        <w:rPr>
          <w:sz w:val="20"/>
          <w:szCs w:val="20"/>
          <w:color w:val="auto"/>
        </w:rPr>
      </w:pPr>
      <w:r>
        <w:rPr>
          <w:rFonts w:ascii="Arial" w:cs="Arial" w:eastAsia="Arial" w:hAnsi="Arial"/>
          <w:sz w:val="17"/>
          <w:szCs w:val="17"/>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5" w:right="459" w:bottom="1440" w:gutter="0" w:footer="0" w:header="0"/>
        </w:sectPr>
      </w:pPr>
    </w:p>
    <w:bookmarkStart w:id="7" w:name="page8"/>
    <w:bookmarkEnd w:id="7"/>
    <w:p>
      <w:pPr>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director candidates, see “Board of Directors and Corporate Governance—Stockholder Recommendations for Nominations to the Board of Directors.”</w:t>
      </w:r>
    </w:p>
    <w:p>
      <w:pPr>
        <w:spacing w:after="0" w:line="197"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122" w:lineRule="exact"/>
        <w:rPr>
          <w:sz w:val="20"/>
          <w:szCs w:val="20"/>
          <w:color w:val="auto"/>
        </w:rPr>
      </w:pPr>
    </w:p>
    <w:p>
      <w:pPr>
        <w:ind w:right="160" w:firstLine="441"/>
        <w:spacing w:after="0"/>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87"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12" w:lineRule="exact"/>
        <w:rPr>
          <w:sz w:val="20"/>
          <w:szCs w:val="20"/>
          <w:color w:val="auto"/>
        </w:rPr>
      </w:pPr>
    </w:p>
    <w:p>
      <w:pPr>
        <w:jc w:val="both"/>
        <w:ind w:right="60" w:firstLine="441"/>
        <w:spacing w:after="0" w:line="23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202" w:lineRule="exact"/>
        <w:rPr>
          <w:sz w:val="20"/>
          <w:szCs w:val="20"/>
          <w:color w:val="auto"/>
        </w:rPr>
      </w:pPr>
    </w:p>
    <w:p>
      <w:pPr>
        <w:jc w:val="both"/>
        <w:ind w:right="200" w:firstLine="441"/>
        <w:spacing w:after="0" w:line="239" w:lineRule="auto"/>
        <w:rPr>
          <w:sz w:val="20"/>
          <w:szCs w:val="20"/>
          <w:color w:val="auto"/>
        </w:rPr>
      </w:pPr>
      <w:r>
        <w:rPr>
          <w:rFonts w:ascii="Arial" w:cs="Arial" w:eastAsia="Arial" w:hAnsi="Arial"/>
          <w:sz w:val="18"/>
          <w:szCs w:val="18"/>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02"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gridSpan w:val="2"/>
          </w:tcPr>
          <w:p>
            <w:pPr>
              <w:ind w:left="640"/>
              <w:spacing w:after="0"/>
              <w:rPr>
                <w:sz w:val="20"/>
                <w:szCs w:val="20"/>
                <w:color w:val="auto"/>
              </w:rPr>
            </w:pPr>
            <w:r>
              <w:rPr>
                <w:rFonts w:ascii="Arial" w:cs="Arial" w:eastAsia="Arial" w:hAnsi="Arial"/>
                <w:sz w:val="14"/>
                <w:szCs w:val="14"/>
                <w:b w:val="1"/>
                <w:bCs w:val="1"/>
                <w:color w:val="auto"/>
              </w:rPr>
              <w:t>Class</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17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Since</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Expires</w:t>
            </w:r>
          </w:p>
        </w:tc>
        <w:tc>
          <w:tcPr>
            <w:tcW w:w="10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6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020" w:type="dxa"/>
            <w:vAlign w:val="bottom"/>
            <w:gridSpan w:val="3"/>
          </w:tcPr>
          <w:p>
            <w:pPr>
              <w:spacing w:after="0" w:line="189" w:lineRule="exact"/>
              <w:rPr>
                <w:sz w:val="20"/>
                <w:szCs w:val="20"/>
                <w:color w:val="auto"/>
              </w:rPr>
            </w:pPr>
            <w:r>
              <w:rPr>
                <w:rFonts w:ascii="Arial" w:cs="Arial" w:eastAsia="Arial" w:hAnsi="Arial"/>
                <w:sz w:val="18"/>
                <w:szCs w:val="18"/>
                <w:color w:val="auto"/>
              </w:rPr>
              <w:t>Sandra E. Bergeron (1) (2) (3)</w:t>
            </w:r>
          </w:p>
        </w:tc>
        <w:tc>
          <w:tcPr>
            <w:tcW w:w="640" w:type="dxa"/>
            <w:vAlign w:val="bottom"/>
          </w:tcPr>
          <w:p>
            <w:pPr>
              <w:spacing w:after="0"/>
              <w:rPr>
                <w:sz w:val="16"/>
                <w:szCs w:val="16"/>
                <w:color w:val="auto"/>
              </w:rPr>
            </w:pPr>
          </w:p>
        </w:tc>
        <w:tc>
          <w:tcPr>
            <w:tcW w:w="400" w:type="dxa"/>
            <w:vAlign w:val="bottom"/>
          </w:tcPr>
          <w:p>
            <w:pPr>
              <w:jc w:val="center"/>
              <w:spacing w:after="0" w:line="189" w:lineRule="exact"/>
              <w:rPr>
                <w:sz w:val="20"/>
                <w:szCs w:val="20"/>
                <w:color w:val="auto"/>
              </w:rPr>
            </w:pPr>
            <w:r>
              <w:rPr>
                <w:rFonts w:ascii="Arial" w:cs="Arial" w:eastAsia="Arial" w:hAnsi="Arial"/>
                <w:sz w:val="18"/>
                <w:szCs w:val="18"/>
                <w:color w:val="auto"/>
                <w:w w:val="78"/>
              </w:rPr>
              <w:t>I</w:t>
            </w:r>
          </w:p>
        </w:tc>
        <w:tc>
          <w:tcPr>
            <w:tcW w:w="5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60</w:t>
            </w:r>
          </w:p>
        </w:tc>
        <w:tc>
          <w:tcPr>
            <w:tcW w:w="3200" w:type="dxa"/>
            <w:vAlign w:val="bottom"/>
            <w:gridSpan w:val="3"/>
          </w:tcPr>
          <w:p>
            <w:pPr>
              <w:ind w:left="240"/>
              <w:spacing w:after="0" w:line="189" w:lineRule="exact"/>
              <w:rPr>
                <w:sz w:val="20"/>
                <w:szCs w:val="20"/>
                <w:color w:val="auto"/>
              </w:rPr>
            </w:pPr>
            <w:r>
              <w:rPr>
                <w:rFonts w:ascii="Arial" w:cs="Arial" w:eastAsia="Arial" w:hAnsi="Arial"/>
                <w:sz w:val="18"/>
                <w:szCs w:val="18"/>
                <w:color w:val="auto"/>
              </w:rPr>
              <w:t>Lead Independent Director</w:t>
            </w:r>
          </w:p>
        </w:tc>
        <w:tc>
          <w:tcPr>
            <w:tcW w:w="1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2006</w:t>
            </w: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2019</w:t>
            </w:r>
          </w:p>
        </w:tc>
        <w:tc>
          <w:tcPr>
            <w:tcW w:w="1000" w:type="dxa"/>
            <w:vAlign w:val="bottom"/>
            <w:gridSpan w:val="2"/>
          </w:tcPr>
          <w:p>
            <w:pPr>
              <w:jc w:val="center"/>
              <w:ind w:left="496"/>
              <w:spacing w:after="0" w:line="189" w:lineRule="exact"/>
              <w:rPr>
                <w:sz w:val="20"/>
                <w:szCs w:val="20"/>
                <w:color w:val="auto"/>
              </w:rPr>
            </w:pPr>
            <w:r>
              <w:rPr>
                <w:rFonts w:ascii="Arial" w:cs="Arial" w:eastAsia="Arial" w:hAnsi="Arial"/>
                <w:sz w:val="18"/>
                <w:szCs w:val="18"/>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Kristi M. Rogers (3)</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8"/>
              </w:rPr>
              <w:t>I</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320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Director</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2013</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center"/>
              <w:ind w:left="496"/>
              <w:spacing w:after="0" w:line="202" w:lineRule="exact"/>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Continuing Directors</w:t>
            </w: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Patricia Hatter (2) (3)</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II</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tcPr>
          <w:p>
            <w:pPr>
              <w:spacing w:after="0" w:line="202" w:lineRule="exact"/>
              <w:rPr>
                <w:sz w:val="20"/>
                <w:szCs w:val="20"/>
                <w:color w:val="auto"/>
              </w:rPr>
            </w:pPr>
            <w:r>
              <w:rPr>
                <w:rFonts w:ascii="Arial" w:cs="Arial" w:eastAsia="Arial" w:hAnsi="Arial"/>
                <w:sz w:val="18"/>
                <w:szCs w:val="18"/>
                <w:color w:val="auto"/>
              </w:rPr>
              <w:t>General Peter Pace (2) (3)</w:t>
            </w:r>
          </w:p>
        </w:tc>
        <w:tc>
          <w:tcPr>
            <w:tcW w:w="640" w:type="dxa"/>
            <w:vAlign w:val="bottom"/>
          </w:tcPr>
          <w:p>
            <w:pPr>
              <w:spacing w:after="0"/>
              <w:rPr>
                <w:sz w:val="17"/>
                <w:szCs w:val="17"/>
                <w:color w:val="auto"/>
              </w:rPr>
            </w:pPr>
          </w:p>
        </w:tc>
        <w:tc>
          <w:tcPr>
            <w:tcW w:w="40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II</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w:t>
            </w:r>
          </w:p>
        </w:tc>
        <w:tc>
          <w:tcPr>
            <w:tcW w:w="320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Director</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2009</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2020</w:t>
            </w:r>
          </w:p>
        </w:tc>
        <w:tc>
          <w:tcPr>
            <w:tcW w:w="240" w:type="dxa"/>
            <w:vAlign w:val="bottom"/>
          </w:tcPr>
          <w:p>
            <w:pPr>
              <w:spacing w:after="0"/>
              <w:rPr>
                <w:sz w:val="17"/>
                <w:szCs w:val="17"/>
                <w:color w:val="auto"/>
              </w:rPr>
            </w:pPr>
          </w:p>
        </w:tc>
        <w:tc>
          <w:tcPr>
            <w:tcW w:w="820" w:type="dxa"/>
            <w:vAlign w:val="bottom"/>
            <w:gridSpan w:val="2"/>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Jason Ream (1)</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II</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320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Director</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gridSpan w:val="3"/>
          </w:tcPr>
          <w:p>
            <w:pPr>
              <w:spacing w:after="0" w:line="201" w:lineRule="exact"/>
              <w:rPr>
                <w:sz w:val="20"/>
                <w:szCs w:val="20"/>
                <w:color w:val="auto"/>
              </w:rPr>
            </w:pPr>
            <w:r>
              <w:rPr>
                <w:rFonts w:ascii="Arial" w:cs="Arial" w:eastAsia="Arial" w:hAnsi="Arial"/>
                <w:sz w:val="18"/>
                <w:szCs w:val="18"/>
                <w:color w:val="auto"/>
              </w:rPr>
              <w:t>Philippe F. Courtot</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Chairman, President and</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III</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20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820" w:type="dxa"/>
            <w:vAlign w:val="bottom"/>
            <w:gridSpan w:val="2"/>
          </w:tcPr>
          <w:p>
            <w:pPr>
              <w:jc w:val="center"/>
              <w:ind w:left="2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P. Hank (1)</w:t>
            </w: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III</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200" w:type="dxa"/>
            <w:vAlign w:val="bottom"/>
            <w:gridSpan w:val="3"/>
            <w:shd w:val="clear" w:color="auto" w:fill="CCEEFF"/>
          </w:tcPr>
          <w:p>
            <w:pPr>
              <w:ind w:left="240"/>
              <w:spacing w:after="0" w:line="202" w:lineRule="exact"/>
              <w:rPr>
                <w:sz w:val="20"/>
                <w:szCs w:val="20"/>
                <w:color w:val="auto"/>
              </w:rPr>
            </w:pPr>
            <w:r>
              <w:rPr>
                <w:rFonts w:ascii="Arial" w:cs="Arial" w:eastAsia="Arial" w:hAnsi="Arial"/>
                <w:sz w:val="18"/>
                <w:szCs w:val="18"/>
                <w:color w:val="auto"/>
              </w:rPr>
              <w:t>Director</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40" w:hanging="436"/>
        <w:spacing w:after="0" w:line="23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40" w:hanging="43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6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Experience Matrix</w:t>
      </w:r>
    </w:p>
    <w:p>
      <w:pPr>
        <w:spacing w:after="0" w:line="126" w:lineRule="exact"/>
        <w:rPr>
          <w:sz w:val="20"/>
          <w:szCs w:val="20"/>
          <w:color w:val="auto"/>
        </w:rPr>
      </w:pPr>
    </w:p>
    <w:p>
      <w:pPr>
        <w:ind w:right="720" w:firstLine="441"/>
        <w:spacing w:after="0" w:line="246" w:lineRule="auto"/>
        <w:rPr>
          <w:sz w:val="20"/>
          <w:szCs w:val="20"/>
          <w:color w:val="auto"/>
        </w:rPr>
      </w:pPr>
      <w:r>
        <w:rPr>
          <w:rFonts w:ascii="Arial" w:cs="Arial" w:eastAsia="Arial" w:hAnsi="Arial"/>
          <w:sz w:val="18"/>
          <w:szCs w:val="18"/>
          <w:color w:val="auto"/>
        </w:rPr>
        <w:t>The following graphic shows the number of director nominees that have experience in the areas that our Board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142875</wp:posOffset>
            </wp:positionV>
            <wp:extent cx="62687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6872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gridSpan w:val="5"/>
          </w:tcPr>
          <w:p>
            <w:pPr>
              <w:jc w:val="center"/>
              <w:ind w:right="390"/>
              <w:spacing w:after="0"/>
              <w:rPr>
                <w:sz w:val="20"/>
                <w:szCs w:val="20"/>
                <w:color w:val="auto"/>
              </w:rPr>
            </w:pPr>
            <w:r>
              <w:rPr>
                <w:rFonts w:ascii="Arial" w:cs="Arial" w:eastAsia="Arial" w:hAnsi="Arial"/>
                <w:sz w:val="18"/>
                <w:szCs w:val="18"/>
                <w:b w:val="1"/>
                <w:bCs w:val="1"/>
                <w:color w:val="auto"/>
              </w:rPr>
              <w:t xml:space="preserve">Strategic Planning. </w:t>
            </w:r>
            <w:r>
              <w:rPr>
                <w:rFonts w:ascii="Arial" w:cs="Arial" w:eastAsia="Arial" w:hAnsi="Arial"/>
                <w:sz w:val="18"/>
                <w:szCs w:val="18"/>
                <w:color w:val="auto"/>
              </w:rPr>
              <w:t>For oversight of</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4"/>
          </w:tcPr>
          <w:p>
            <w:pPr>
              <w:jc w:val="center"/>
              <w:ind w:right="350"/>
              <w:spacing w:after="0"/>
              <w:rPr>
                <w:sz w:val="20"/>
                <w:szCs w:val="20"/>
                <w:color w:val="auto"/>
              </w:rPr>
            </w:pPr>
            <w:r>
              <w:rPr>
                <w:rFonts w:ascii="Arial" w:cs="Arial" w:eastAsia="Arial" w:hAnsi="Arial"/>
                <w:sz w:val="18"/>
                <w:szCs w:val="18"/>
                <w:b w:val="1"/>
                <w:bCs w:val="1"/>
                <w:color w:val="auto"/>
                <w:w w:val="98"/>
              </w:rPr>
              <w:t>Cybersecurity, Technology, and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6"/>
              </w:rPr>
              <w:t xml:space="preserve">Software Industry Experience. </w:t>
            </w:r>
            <w:r>
              <w:rPr>
                <w:rFonts w:ascii="Arial" w:cs="Arial" w:eastAsia="Arial" w:hAnsi="Arial"/>
                <w:sz w:val="18"/>
                <w:szCs w:val="18"/>
                <w:color w:val="auto"/>
                <w:w w:val="96"/>
              </w:rPr>
              <w:t>For</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20" w:type="dxa"/>
            <w:vAlign w:val="bottom"/>
            <w:gridSpan w:val="5"/>
          </w:tcPr>
          <w:p>
            <w:pPr>
              <w:jc w:val="center"/>
              <w:ind w:right="370"/>
              <w:spacing w:after="0" w:line="182" w:lineRule="exact"/>
              <w:rPr>
                <w:sz w:val="20"/>
                <w:szCs w:val="20"/>
                <w:color w:val="auto"/>
              </w:rPr>
            </w:pPr>
            <w:r>
              <w:rPr>
                <w:rFonts w:ascii="Arial" w:cs="Arial" w:eastAsia="Arial" w:hAnsi="Arial"/>
                <w:sz w:val="18"/>
                <w:szCs w:val="18"/>
                <w:color w:val="auto"/>
                <w:w w:val="99"/>
              </w:rPr>
              <w:t>management’s development and</w:t>
            </w:r>
          </w:p>
        </w:tc>
        <w:tc>
          <w:tcPr>
            <w:tcW w:w="3160" w:type="dxa"/>
            <w:vAlign w:val="bottom"/>
            <w:gridSpan w:val="5"/>
          </w:tcPr>
          <w:p>
            <w:pPr>
              <w:ind w:left="140"/>
              <w:spacing w:after="0" w:line="182" w:lineRule="exact"/>
              <w:rPr>
                <w:sz w:val="20"/>
                <w:szCs w:val="20"/>
                <w:color w:val="auto"/>
              </w:rPr>
            </w:pPr>
            <w:r>
              <w:rPr>
                <w:rFonts w:ascii="Arial" w:cs="Arial" w:eastAsia="Arial" w:hAnsi="Arial"/>
                <w:sz w:val="18"/>
                <w:szCs w:val="18"/>
                <w:b w:val="1"/>
                <w:bCs w:val="1"/>
                <w:color w:val="auto"/>
                <w:w w:val="98"/>
              </w:rPr>
              <w:t xml:space="preserve">Information Security. </w:t>
            </w:r>
            <w:r>
              <w:rPr>
                <w:rFonts w:ascii="Arial" w:cs="Arial" w:eastAsia="Arial" w:hAnsi="Arial"/>
                <w:sz w:val="18"/>
                <w:szCs w:val="18"/>
                <w:color w:val="auto"/>
                <w:w w:val="98"/>
              </w:rPr>
              <w:t>For insight into</w:t>
            </w:r>
          </w:p>
        </w:tc>
        <w:tc>
          <w:tcPr>
            <w:tcW w:w="440" w:type="dxa"/>
            <w:vAlign w:val="bottom"/>
          </w:tcPr>
          <w:p>
            <w:pPr>
              <w:ind w:left="40"/>
              <w:spacing w:after="0" w:line="182" w:lineRule="exact"/>
              <w:rPr>
                <w:sz w:val="20"/>
                <w:szCs w:val="20"/>
                <w:color w:val="auto"/>
              </w:rPr>
            </w:pPr>
            <w:r>
              <w:rPr>
                <w:rFonts w:ascii="Arial" w:cs="Arial" w:eastAsia="Arial" w:hAnsi="Arial"/>
                <w:sz w:val="18"/>
                <w:szCs w:val="18"/>
                <w:color w:val="auto"/>
              </w:rPr>
              <w:t>key</w:t>
            </w:r>
          </w:p>
        </w:tc>
        <w:tc>
          <w:tcPr>
            <w:tcW w:w="100" w:type="dxa"/>
            <w:vAlign w:val="bottom"/>
          </w:tcPr>
          <w:p>
            <w:pPr>
              <w:spacing w:after="0"/>
              <w:rPr>
                <w:sz w:val="15"/>
                <w:szCs w:val="15"/>
                <w:color w:val="auto"/>
              </w:rPr>
            </w:pPr>
          </w:p>
        </w:tc>
        <w:tc>
          <w:tcPr>
            <w:tcW w:w="3480" w:type="dxa"/>
            <w:vAlign w:val="bottom"/>
            <w:gridSpan w:val="7"/>
          </w:tcPr>
          <w:p>
            <w:pPr>
              <w:jc w:val="center"/>
              <w:spacing w:after="0" w:line="182" w:lineRule="exact"/>
              <w:rPr>
                <w:sz w:val="20"/>
                <w:szCs w:val="20"/>
                <w:color w:val="auto"/>
              </w:rPr>
            </w:pPr>
            <w:r>
              <w:rPr>
                <w:rFonts w:ascii="Arial" w:cs="Arial" w:eastAsia="Arial" w:hAnsi="Arial"/>
                <w:sz w:val="18"/>
                <w:szCs w:val="18"/>
                <w:color w:val="auto"/>
              </w:rPr>
              <w:t>experience with similar operational and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gridSpan w:val="6"/>
          </w:tcPr>
          <w:p>
            <w:pPr>
              <w:jc w:val="center"/>
              <w:ind w:right="350"/>
              <w:spacing w:after="0"/>
              <w:rPr>
                <w:sz w:val="20"/>
                <w:szCs w:val="20"/>
                <w:color w:val="auto"/>
              </w:rPr>
            </w:pPr>
            <w:r>
              <w:rPr>
                <w:rFonts w:ascii="Arial" w:cs="Arial" w:eastAsia="Arial" w:hAnsi="Arial"/>
                <w:sz w:val="18"/>
                <w:szCs w:val="18"/>
                <w:color w:val="auto"/>
              </w:rPr>
              <w:t>implementation of strategic priorities.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40" w:type="dxa"/>
            <w:vAlign w:val="bottom"/>
            <w:gridSpan w:val="4"/>
          </w:tcPr>
          <w:p>
            <w:pPr>
              <w:jc w:val="center"/>
              <w:ind w:right="350"/>
              <w:spacing w:after="0"/>
              <w:rPr>
                <w:sz w:val="20"/>
                <w:szCs w:val="20"/>
                <w:color w:val="auto"/>
              </w:rPr>
            </w:pPr>
            <w:r>
              <w:rPr>
                <w:rFonts w:ascii="Arial" w:cs="Arial" w:eastAsia="Arial" w:hAnsi="Arial"/>
                <w:sz w:val="18"/>
                <w:szCs w:val="18"/>
                <w:color w:val="auto"/>
                <w:w w:val="99"/>
              </w:rPr>
              <w:t>issues affecting our company.</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80" w:type="dxa"/>
            <w:vAlign w:val="bottom"/>
            <w:gridSpan w:val="6"/>
          </w:tcPr>
          <w:p>
            <w:pPr>
              <w:jc w:val="center"/>
              <w:ind w:right="290"/>
              <w:spacing w:after="0"/>
              <w:rPr>
                <w:sz w:val="20"/>
                <w:szCs w:val="20"/>
                <w:color w:val="auto"/>
              </w:rPr>
            </w:pPr>
            <w:r>
              <w:rPr>
                <w:rFonts w:ascii="Arial" w:cs="Arial" w:eastAsia="Arial" w:hAnsi="Arial"/>
                <w:sz w:val="18"/>
                <w:szCs w:val="18"/>
                <w:color w:val="auto"/>
                <w:w w:val="99"/>
              </w:rPr>
              <w:t>financial models.</w:t>
            </w: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366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8"/>
              </w:rPr>
              <w:t xml:space="preserve">Audit/Financial Reporting. </w:t>
            </w:r>
            <w:r>
              <w:rPr>
                <w:rFonts w:ascii="Arial" w:cs="Arial" w:eastAsia="Arial" w:hAnsi="Arial"/>
                <w:sz w:val="18"/>
                <w:szCs w:val="18"/>
                <w:color w:val="auto"/>
                <w:w w:val="98"/>
              </w:rPr>
              <w:t>For oversight of</w:t>
            </w:r>
          </w:p>
        </w:tc>
        <w:tc>
          <w:tcPr>
            <w:tcW w:w="200" w:type="dxa"/>
            <w:vAlign w:val="bottom"/>
          </w:tcPr>
          <w:p>
            <w:pPr>
              <w:spacing w:after="0"/>
              <w:rPr>
                <w:sz w:val="24"/>
                <w:szCs w:val="24"/>
                <w:color w:val="auto"/>
              </w:rPr>
            </w:pPr>
          </w:p>
        </w:tc>
        <w:tc>
          <w:tcPr>
            <w:tcW w:w="340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9"/>
              </w:rPr>
              <w:t xml:space="preserve">Global Perspective. </w:t>
            </w:r>
            <w:r>
              <w:rPr>
                <w:rFonts w:ascii="Arial" w:cs="Arial" w:eastAsia="Arial" w:hAnsi="Arial"/>
                <w:sz w:val="18"/>
                <w:szCs w:val="18"/>
                <w:color w:val="auto"/>
                <w:w w:val="99"/>
              </w:rPr>
              <w:t>For insight into the</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6"/>
          </w:tcPr>
          <w:p>
            <w:pPr>
              <w:jc w:val="center"/>
              <w:ind w:right="310"/>
              <w:spacing w:after="0"/>
              <w:rPr>
                <w:sz w:val="20"/>
                <w:szCs w:val="20"/>
                <w:color w:val="auto"/>
              </w:rPr>
            </w:pPr>
            <w:r>
              <w:rPr>
                <w:rFonts w:ascii="Arial" w:cs="Arial" w:eastAsia="Arial" w:hAnsi="Arial"/>
                <w:sz w:val="18"/>
                <w:szCs w:val="18"/>
                <w:b w:val="1"/>
                <w:bCs w:val="1"/>
                <w:color w:val="auto"/>
                <w:w w:val="99"/>
              </w:rPr>
              <w:t>Government, Public Policy, and</w:t>
            </w: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key</w:t>
            </w:r>
          </w:p>
        </w:tc>
        <w:tc>
          <w:tcPr>
            <w:tcW w:w="0" w:type="dxa"/>
            <w:vAlign w:val="bottom"/>
          </w:tcPr>
          <w:p>
            <w:pPr>
              <w:spacing w:after="0" w:line="20" w:lineRule="exact"/>
              <w:rPr>
                <w:sz w:val="1"/>
                <w:szCs w:val="1"/>
                <w:color w:val="auto"/>
              </w:rPr>
            </w:pPr>
          </w:p>
        </w:tc>
      </w:tr>
      <w:tr>
        <w:trPr>
          <w:trHeight w:val="183"/>
        </w:trPr>
        <w:tc>
          <w:tcPr>
            <w:tcW w:w="3740" w:type="dxa"/>
            <w:vAlign w:val="bottom"/>
            <w:gridSpan w:val="8"/>
          </w:tcPr>
          <w:p>
            <w:pPr>
              <w:jc w:val="center"/>
              <w:ind w:right="50"/>
              <w:spacing w:after="0" w:line="182" w:lineRule="exact"/>
              <w:rPr>
                <w:sz w:val="20"/>
                <w:szCs w:val="20"/>
                <w:color w:val="auto"/>
              </w:rPr>
            </w:pPr>
            <w:r>
              <w:rPr>
                <w:rFonts w:ascii="Arial" w:cs="Arial" w:eastAsia="Arial" w:hAnsi="Arial"/>
                <w:sz w:val="18"/>
                <w:szCs w:val="18"/>
                <w:color w:val="auto"/>
                <w:w w:val="99"/>
              </w:rPr>
              <w:t>our company’s audit function and preparation</w:t>
            </w:r>
          </w:p>
        </w:tc>
        <w:tc>
          <w:tcPr>
            <w:tcW w:w="200" w:type="dxa"/>
            <w:vAlign w:val="bottom"/>
          </w:tcPr>
          <w:p>
            <w:pPr>
              <w:spacing w:after="0"/>
              <w:rPr>
                <w:sz w:val="15"/>
                <w:szCs w:val="15"/>
                <w:color w:val="auto"/>
              </w:rPr>
            </w:pPr>
          </w:p>
        </w:tc>
        <w:tc>
          <w:tcPr>
            <w:tcW w:w="3400" w:type="dxa"/>
            <w:vAlign w:val="bottom"/>
            <w:gridSpan w:val="5"/>
          </w:tcPr>
          <w:p>
            <w:pPr>
              <w:jc w:val="center"/>
              <w:ind w:right="90"/>
              <w:spacing w:after="0" w:line="182" w:lineRule="exact"/>
              <w:rPr>
                <w:sz w:val="20"/>
                <w:szCs w:val="20"/>
                <w:color w:val="auto"/>
              </w:rPr>
            </w:pPr>
            <w:r>
              <w:rPr>
                <w:rFonts w:ascii="Arial" w:cs="Arial" w:eastAsia="Arial" w:hAnsi="Arial"/>
                <w:sz w:val="18"/>
                <w:szCs w:val="18"/>
                <w:color w:val="auto"/>
                <w:w w:val="99"/>
              </w:rPr>
              <w:t>many factors involved in overseeing</w:t>
            </w:r>
          </w:p>
        </w:tc>
        <w:tc>
          <w:tcPr>
            <w:tcW w:w="100" w:type="dxa"/>
            <w:vAlign w:val="bottom"/>
          </w:tcPr>
          <w:p>
            <w:pPr>
              <w:spacing w:after="0"/>
              <w:rPr>
                <w:sz w:val="15"/>
                <w:szCs w:val="15"/>
                <w:color w:val="auto"/>
              </w:rPr>
            </w:pPr>
          </w:p>
        </w:tc>
        <w:tc>
          <w:tcPr>
            <w:tcW w:w="308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7"/>
              </w:rPr>
              <w:t xml:space="preserve">Regulatory Affairs. </w:t>
            </w:r>
            <w:r>
              <w:rPr>
                <w:rFonts w:ascii="Arial" w:cs="Arial" w:eastAsia="Arial" w:hAnsi="Arial"/>
                <w:sz w:val="18"/>
                <w:szCs w:val="18"/>
                <w:color w:val="auto"/>
                <w:w w:val="97"/>
              </w:rPr>
              <w:t>For insight into the</w:t>
            </w:r>
          </w:p>
        </w:tc>
        <w:tc>
          <w:tcPr>
            <w:tcW w:w="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20" w:type="dxa"/>
            <w:vAlign w:val="bottom"/>
            <w:gridSpan w:val="5"/>
          </w:tcPr>
          <w:p>
            <w:pPr>
              <w:jc w:val="center"/>
              <w:ind w:right="370"/>
              <w:spacing w:after="0"/>
              <w:rPr>
                <w:sz w:val="20"/>
                <w:szCs w:val="20"/>
                <w:color w:val="auto"/>
              </w:rPr>
            </w:pPr>
            <w:r>
              <w:rPr>
                <w:rFonts w:ascii="Arial" w:cs="Arial" w:eastAsia="Arial" w:hAnsi="Arial"/>
                <w:sz w:val="18"/>
                <w:szCs w:val="18"/>
                <w:color w:val="auto"/>
                <w:w w:val="99"/>
              </w:rPr>
              <w:t>of financial statements.</w:t>
            </w:r>
          </w:p>
        </w:tc>
        <w:tc>
          <w:tcPr>
            <w:tcW w:w="200" w:type="dxa"/>
            <w:vAlign w:val="bottom"/>
          </w:tcPr>
          <w:p>
            <w:pPr>
              <w:spacing w:after="0"/>
              <w:rPr>
                <w:sz w:val="18"/>
                <w:szCs w:val="18"/>
                <w:color w:val="auto"/>
              </w:rPr>
            </w:pPr>
          </w:p>
        </w:tc>
        <w:tc>
          <w:tcPr>
            <w:tcW w:w="3400" w:type="dxa"/>
            <w:vAlign w:val="bottom"/>
            <w:gridSpan w:val="5"/>
          </w:tcPr>
          <w:p>
            <w:pPr>
              <w:jc w:val="center"/>
              <w:ind w:right="110"/>
              <w:spacing w:after="0"/>
              <w:rPr>
                <w:sz w:val="20"/>
                <w:szCs w:val="20"/>
                <w:color w:val="auto"/>
              </w:rPr>
            </w:pPr>
            <w:r>
              <w:rPr>
                <w:rFonts w:ascii="Arial" w:cs="Arial" w:eastAsia="Arial" w:hAnsi="Arial"/>
                <w:sz w:val="18"/>
                <w:szCs w:val="18"/>
                <w:color w:val="auto"/>
                <w:w w:val="99"/>
              </w:rPr>
              <w:t>management of our company’s global</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role of regulatory issues and the</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4"/>
          </w:tcPr>
          <w:p>
            <w:pPr>
              <w:jc w:val="center"/>
              <w:ind w:right="350"/>
              <w:spacing w:after="0"/>
              <w:rPr>
                <w:sz w:val="20"/>
                <w:szCs w:val="20"/>
                <w:color w:val="auto"/>
              </w:rPr>
            </w:pPr>
            <w:r>
              <w:rPr>
                <w:rFonts w:ascii="Arial" w:cs="Arial" w:eastAsia="Arial" w:hAnsi="Arial"/>
                <w:sz w:val="18"/>
                <w:szCs w:val="18"/>
                <w:color w:val="auto"/>
                <w:w w:val="99"/>
              </w:rPr>
              <w:t>footprint.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government market in our sector.</w:t>
            </w:r>
          </w:p>
        </w:tc>
        <w:tc>
          <w:tcPr>
            <w:tcW w:w="0" w:type="dxa"/>
            <w:vAlign w:val="bottom"/>
          </w:tcPr>
          <w:p>
            <w:pPr>
              <w:spacing w:after="0"/>
              <w:rPr>
                <w:sz w:val="1"/>
                <w:szCs w:val="1"/>
                <w:color w:val="auto"/>
              </w:rPr>
            </w:pPr>
          </w:p>
        </w:tc>
      </w:tr>
      <w:tr>
        <w:trPr>
          <w:trHeight w:val="594"/>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Public Company Board Service and</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rPr>
              <w:t xml:space="preserve">Risk Management. </w:t>
            </w:r>
            <w:r>
              <w:rPr>
                <w:rFonts w:ascii="Arial" w:cs="Arial" w:eastAsia="Arial" w:hAnsi="Arial"/>
                <w:sz w:val="18"/>
                <w:szCs w:val="18"/>
                <w:color w:val="auto"/>
              </w:rPr>
              <w:t>For oversight of risk</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8"/>
              </w:rPr>
              <w:t>Human Capital Management and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of</w:t>
            </w: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3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w w:val="99"/>
              </w:rPr>
              <w:t>with</w:t>
            </w: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040" w:type="dxa"/>
            <w:vAlign w:val="bottom"/>
            <w:gridSpan w:val="5"/>
          </w:tcPr>
          <w:p>
            <w:pPr>
              <w:jc w:val="center"/>
              <w:ind w:right="20"/>
              <w:spacing w:after="0" w:line="182" w:lineRule="exact"/>
              <w:rPr>
                <w:sz w:val="20"/>
                <w:szCs w:val="20"/>
                <w:color w:val="auto"/>
              </w:rPr>
            </w:pPr>
            <w:r>
              <w:rPr>
                <w:rFonts w:ascii="Arial" w:cs="Arial" w:eastAsia="Arial" w:hAnsi="Arial"/>
                <w:sz w:val="18"/>
                <w:szCs w:val="18"/>
                <w:b w:val="1"/>
                <w:bCs w:val="1"/>
                <w:color w:val="auto"/>
                <w:w w:val="93"/>
              </w:rPr>
              <w:t xml:space="preserve">Corporate Governance. </w:t>
            </w:r>
            <w:r>
              <w:rPr>
                <w:rFonts w:ascii="Arial" w:cs="Arial" w:eastAsia="Arial" w:hAnsi="Arial"/>
                <w:sz w:val="18"/>
                <w:szCs w:val="18"/>
                <w:color w:val="auto"/>
                <w:w w:val="93"/>
              </w:rPr>
              <w:t>For knowledge</w:t>
            </w: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40" w:type="dxa"/>
            <w:vAlign w:val="bottom"/>
            <w:gridSpan w:val="4"/>
          </w:tcPr>
          <w:p>
            <w:pPr>
              <w:jc w:val="center"/>
              <w:ind w:right="350"/>
              <w:spacing w:after="0" w:line="182" w:lineRule="exact"/>
              <w:rPr>
                <w:sz w:val="20"/>
                <w:szCs w:val="20"/>
                <w:color w:val="auto"/>
              </w:rPr>
            </w:pPr>
            <w:r>
              <w:rPr>
                <w:rFonts w:ascii="Arial" w:cs="Arial" w:eastAsia="Arial" w:hAnsi="Arial"/>
                <w:sz w:val="18"/>
                <w:szCs w:val="18"/>
                <w:color w:val="auto"/>
                <w:w w:val="99"/>
              </w:rPr>
              <w:t>management.</w:t>
            </w:r>
          </w:p>
        </w:tc>
        <w:tc>
          <w:tcPr>
            <w:tcW w:w="3240" w:type="dxa"/>
            <w:vAlign w:val="bottom"/>
            <w:gridSpan w:val="7"/>
          </w:tcPr>
          <w:p>
            <w:pPr>
              <w:ind w:left="100"/>
              <w:spacing w:after="0" w:line="182" w:lineRule="exact"/>
              <w:rPr>
                <w:sz w:val="20"/>
                <w:szCs w:val="20"/>
                <w:color w:val="auto"/>
              </w:rPr>
            </w:pPr>
            <w:r>
              <w:rPr>
                <w:rFonts w:ascii="Arial" w:cs="Arial" w:eastAsia="Arial" w:hAnsi="Arial"/>
                <w:sz w:val="18"/>
                <w:szCs w:val="18"/>
                <w:b w:val="1"/>
                <w:bCs w:val="1"/>
                <w:color w:val="auto"/>
              </w:rPr>
              <w:t xml:space="preserve">Succession Planning. </w:t>
            </w:r>
            <w:r>
              <w:rPr>
                <w:rFonts w:ascii="Arial" w:cs="Arial" w:eastAsia="Arial" w:hAnsi="Arial"/>
                <w:sz w:val="18"/>
                <w:szCs w:val="18"/>
                <w:color w:val="auto"/>
              </w:rPr>
              <w:t>For experience</w:t>
            </w: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3660" w:type="dxa"/>
            <w:vAlign w:val="bottom"/>
            <w:gridSpan w:val="7"/>
          </w:tcPr>
          <w:p>
            <w:pPr>
              <w:jc w:val="center"/>
              <w:ind w:right="130"/>
              <w:spacing w:after="0"/>
              <w:rPr>
                <w:sz w:val="20"/>
                <w:szCs w:val="20"/>
                <w:color w:val="auto"/>
              </w:rPr>
            </w:pPr>
            <w:r>
              <w:rPr>
                <w:rFonts w:ascii="Arial" w:cs="Arial" w:eastAsia="Arial" w:hAnsi="Arial"/>
                <w:sz w:val="18"/>
                <w:szCs w:val="18"/>
                <w:color w:val="auto"/>
              </w:rPr>
              <w:t>public company governance issues and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rPr>
              <w:t>managing and developing a rapidly growing</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660" w:type="dxa"/>
            <w:vAlign w:val="bottom"/>
            <w:gridSpan w:val="7"/>
          </w:tcPr>
          <w:p>
            <w:pPr>
              <w:jc w:val="center"/>
              <w:ind w:right="130"/>
              <w:spacing w:after="0"/>
              <w:rPr>
                <w:sz w:val="20"/>
                <w:szCs w:val="20"/>
                <w:color w:val="auto"/>
              </w:rPr>
            </w:pPr>
            <w:r>
              <w:rPr>
                <w:rFonts w:ascii="Arial" w:cs="Arial" w:eastAsia="Arial" w:hAnsi="Arial"/>
                <w:sz w:val="18"/>
                <w:szCs w:val="18"/>
                <w:color w:val="auto"/>
                <w:w w:val="99"/>
              </w:rPr>
              <w:t>policies to enhance our Board practices.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6"/>
          </w:tcPr>
          <w:p>
            <w:pPr>
              <w:jc w:val="center"/>
              <w:ind w:right="310"/>
              <w:spacing w:after="0"/>
              <w:rPr>
                <w:sz w:val="20"/>
                <w:szCs w:val="20"/>
                <w:color w:val="auto"/>
              </w:rPr>
            </w:pPr>
            <w:r>
              <w:rPr>
                <w:rFonts w:ascii="Arial" w:cs="Arial" w:eastAsia="Arial" w:hAnsi="Arial"/>
                <w:sz w:val="18"/>
                <w:szCs w:val="18"/>
                <w:color w:val="auto"/>
              </w:rPr>
              <w:t>employee 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-1508760</wp:posOffset>
            </wp:positionV>
            <wp:extent cx="62687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68720" cy="171450"/>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-719455</wp:posOffset>
            </wp:positionV>
            <wp:extent cx="62687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8720" cy="17145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08" w:lineRule="exact"/>
        <w:rPr>
          <w:sz w:val="20"/>
          <w:szCs w:val="20"/>
          <w:color w:val="auto"/>
        </w:rPr>
      </w:pPr>
    </w:p>
    <w:p>
      <w:pPr>
        <w:ind w:right="40" w:firstLine="441"/>
        <w:spacing w:after="0" w:line="260" w:lineRule="auto"/>
        <w:rPr>
          <w:sz w:val="20"/>
          <w:szCs w:val="20"/>
          <w:color w:val="auto"/>
        </w:rPr>
      </w:pPr>
      <w:r>
        <w:rPr>
          <w:rFonts w:ascii="Arial" w:cs="Arial" w:eastAsia="Arial" w:hAnsi="Arial"/>
          <w:sz w:val="17"/>
          <w:szCs w:val="17"/>
          <w:i w:val="1"/>
          <w:iCs w:val="1"/>
          <w:color w:val="auto"/>
        </w:rPr>
        <w:t xml:space="preserve">Sandra E. Bergeron </w:t>
      </w:r>
      <w:r>
        <w:rPr>
          <w:rFonts w:ascii="Arial" w:cs="Arial" w:eastAsia="Arial" w:hAnsi="Arial"/>
          <w:sz w:val="17"/>
          <w:szCs w:val="17"/>
          <w:color w:val="auto"/>
        </w:rPr>
        <w:t>has served as a director of our company since June 2006. From 2004 until 2012, Ms. Bergeron was a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at Trident Capital, Inc., a venture capital firm. Ms. Bergeron currently serves on the board of directors of Sophos Group Plc and F5 Networks. 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88"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79" w:lineRule="exact"/>
        <w:rPr>
          <w:sz w:val="20"/>
          <w:szCs w:val="20"/>
          <w:color w:val="auto"/>
        </w:rPr>
      </w:pPr>
    </w:p>
    <w:p>
      <w:pPr>
        <w:ind w:right="320" w:firstLine="441"/>
        <w:spacing w:after="0" w:line="252" w:lineRule="auto"/>
        <w:rPr>
          <w:sz w:val="20"/>
          <w:szCs w:val="20"/>
          <w:color w:val="auto"/>
        </w:rPr>
      </w:pPr>
      <w:r>
        <w:rPr>
          <w:rFonts w:ascii="Arial" w:cs="Arial" w:eastAsia="Arial" w:hAnsi="Arial"/>
          <w:sz w:val="17"/>
          <w:szCs w:val="17"/>
          <w:i w:val="1"/>
          <w:iCs w:val="1"/>
          <w:color w:val="auto"/>
        </w:rPr>
        <w:t xml:space="preserve">Kristi M. Rogers </w:t>
      </w:r>
      <w:r>
        <w:rPr>
          <w:rFonts w:ascii="Arial" w:cs="Arial" w:eastAsia="Arial" w:hAnsi="Arial"/>
          <w:sz w:val="17"/>
          <w:szCs w:val="17"/>
          <w:color w:val="auto"/>
        </w:rPr>
        <w:t>has served as a director of our company since August 2013. Ms. Rogers is currently co-founder and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for Principal to Principal. Ms. Rogers was a co-owner and member of the board of Aspen Healthcare Services (now Aspen Medical International). Ms. Rogers ended the relationship and resigned from the Board in December 2016. From March 2014 to June 2015, Ms. Rogers served as Managing 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until February 2014. From August 2006 to January 2013,</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Ms. Rogers served in various positions, including Executive Vice President, President, Chief Executive Officer and Vice Chairman of the Board, at Aegis Defense Services LLC, a provider of security and support services to the U.S. government. Ms. Rogers also serves on the Board of the non-profit Women’s Foreign Policy Group. Ms. Rogers holds a Bachelor of Science degree in Political Science from Michigan State University.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5" w:right="459" w:bottom="1440" w:gutter="0" w:footer="0" w:header="0"/>
        </w:sectPr>
      </w:pPr>
    </w:p>
    <w:bookmarkStart w:id="10" w:name="page11"/>
    <w:bookmarkEnd w:id="10"/>
    <w:p>
      <w:pPr>
        <w:ind w:firstLine="441"/>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Ms. Rogers possesses specific attributes that qualify her to serve as a member of our board of directors, including her executive experience and her expertise in the public service sector.</w:t>
      </w:r>
    </w:p>
    <w:p>
      <w:pPr>
        <w:spacing w:after="0" w:line="1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80"/>
          </w:cols>
          <w:pgMar w:left="440" w:top="287" w:right="6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8" w:lineRule="exact"/>
        <w:rPr>
          <w:sz w:val="20"/>
          <w:szCs w:val="20"/>
          <w:color w:val="auto"/>
        </w:rPr>
      </w:pPr>
    </w:p>
    <w:p>
      <w:pPr>
        <w:ind w:right="240" w:firstLine="441"/>
        <w:spacing w:after="0" w:line="245"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has served as our Chairman and Chief Executive Officer since March 2001, and has been a director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2000. He also served as our President from March 2011 to November 2013, and from May 2014 to present.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99" w:lineRule="exact"/>
        <w:rPr>
          <w:sz w:val="20"/>
          <w:szCs w:val="20"/>
          <w:color w:val="auto"/>
        </w:rPr>
      </w:pPr>
    </w:p>
    <w:p>
      <w:pPr>
        <w:jc w:val="both"/>
        <w:ind w:right="180" w:firstLine="441"/>
        <w:spacing w:after="0"/>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85" w:lineRule="exact"/>
        <w:rPr>
          <w:sz w:val="20"/>
          <w:szCs w:val="20"/>
          <w:color w:val="auto"/>
        </w:rPr>
      </w:pPr>
    </w:p>
    <w:p>
      <w:pPr>
        <w:ind w:right="80" w:firstLine="441"/>
        <w:spacing w:after="0" w:line="239" w:lineRule="auto"/>
        <w:rPr>
          <w:sz w:val="20"/>
          <w:szCs w:val="20"/>
          <w:color w:val="auto"/>
        </w:rPr>
      </w:pPr>
      <w:r>
        <w:rPr>
          <w:rFonts w:ascii="Arial" w:cs="Arial" w:eastAsia="Arial" w:hAnsi="Arial"/>
          <w:sz w:val="18"/>
          <w:szCs w:val="18"/>
          <w:i w:val="1"/>
          <w:iCs w:val="1"/>
          <w:color w:val="auto"/>
        </w:rPr>
        <w:t xml:space="preserve">Patricia Hatter </w:t>
      </w:r>
      <w:r>
        <w:rPr>
          <w:rFonts w:ascii="Arial" w:cs="Arial" w:eastAsia="Arial" w:hAnsi="Arial"/>
          <w:sz w:val="18"/>
          <w:szCs w:val="18"/>
          <w:color w:val="auto"/>
        </w:rPr>
        <w:t>has served as a director of our company since October 2018. Ms. Hatter has served as a strategic advisor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companies since July 2017, and joined WootCloud Inc. as an independent director. Previously, Ms. Hatter served as the General Manager and Senior Vice President—Services, and Interim Chief Information Officer of McAfee, LLC, a global computer security software company, from January 2016 to July 2017. Ms. Hatter also served as Chief Information Officer—Intel Security and General Manager— Security &amp; Software, of Intel Corporation, a leader in the semiconductor industry, from June 2015 to January 2016, and as Chief Information Officer and Senior Vice President—Operations, of McAfee, LLC from October 2010 to June 2015. Ms. Hatter also served as a member of the Board of Directors of Barrick Gold Corporation, the largest gold mining company in the world, until January 2019. Ms. Hatter holds a B.S. and a M.S. in mechanical engineering from Carnegie Mellon University.</w:t>
      </w:r>
    </w:p>
    <w:p>
      <w:pPr>
        <w:spacing w:after="0" w:line="206"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We believe that Ms. Hatter possesses specific attributes that qualify her to serve as a member of our board of directors, including her executive roles at various cybersecurity and technology companies and her prior board experience.</w:t>
      </w:r>
    </w:p>
    <w:p>
      <w:pPr>
        <w:spacing w:after="0" w:line="17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in the United States Marine Corps, including as Chairman of the Joint Chiefs of Staff. Since October 2007, Gen. Pace has been a principal at Pace Ventures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From December 2012 until its acquisition by Oracle in June 2016, Gen. Pace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205"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179" w:lineRule="exact"/>
        <w:rPr>
          <w:sz w:val="20"/>
          <w:szCs w:val="20"/>
          <w:color w:val="auto"/>
        </w:rPr>
      </w:pPr>
    </w:p>
    <w:p>
      <w:pPr>
        <w:ind w:right="300" w:firstLine="441"/>
        <w:spacing w:after="0" w:line="267" w:lineRule="auto"/>
        <w:rPr>
          <w:sz w:val="20"/>
          <w:szCs w:val="20"/>
          <w:color w:val="auto"/>
        </w:rPr>
      </w:pPr>
      <w:r>
        <w:rPr>
          <w:rFonts w:ascii="Arial" w:cs="Arial" w:eastAsia="Arial" w:hAnsi="Arial"/>
          <w:sz w:val="18"/>
          <w:szCs w:val="18"/>
          <w:i w:val="1"/>
          <w:iCs w:val="1"/>
          <w:color w:val="auto"/>
        </w:rPr>
        <w:t xml:space="preserve">Jason Ream </w:t>
      </w:r>
      <w:r>
        <w:rPr>
          <w:rFonts w:ascii="Arial" w:cs="Arial" w:eastAsia="Arial" w:hAnsi="Arial"/>
          <w:sz w:val="18"/>
          <w:szCs w:val="18"/>
          <w:color w:val="auto"/>
        </w:rPr>
        <w:t>has served as a director of our company since July 2018. Mr. Ream has served as chief financial officer of Mitratech</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a provider of legal and compliance software solutions,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65" w:right="439" w:bottom="1440" w:gutter="0" w:footer="0" w:header="0"/>
        </w:sectPr>
      </w:pPr>
    </w:p>
    <w:bookmarkStart w:id="12" w:name="page13"/>
    <w:bookmarkEnd w:id="12"/>
    <w:p>
      <w:pPr>
        <w:ind w:right="8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 June 2018. Previously, Mr. Ream served as chief financial officer of Relativity ODA, LLC, a provider of e-discovery software solutions, from April 2016 to March 2018. Mr. Ream also held various positions at SolarWinds, Inc., a provider of IT infrastructure management software, from April 2009 to April 2016, including executive vice president and chief financial officer from October 2013 to April 2016, vice president of growth strategy from October 2012 to October 2013, and vice president, tools from December 2011 to October 2012. Prior to joining SolarWinds, Mr. Ream worked for J.P. Morgan as an executive director in investment banking from July 2006 to January 2009. From July 1999 to July 2006, he held various roles in investment banking at UBS, Piper Jaffray, and Credit Suisse First Boston. Mr. Ream holds an A.B. in mathematics from Amherst College.</w:t>
      </w:r>
    </w:p>
    <w:p>
      <w:pPr>
        <w:spacing w:after="0" w:line="203"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We believe that Mr. Ream possesses specific attributes that qualify him to serve as a member of our board of directors, including his extensive experience as a financial executive with companies in the software industry.</w:t>
      </w:r>
    </w:p>
    <w:p>
      <w:pPr>
        <w:spacing w:after="0" w:line="179" w:lineRule="exact"/>
        <w:rPr>
          <w:sz w:val="20"/>
          <w:szCs w:val="20"/>
          <w:color w:val="auto"/>
        </w:rPr>
      </w:pPr>
    </w:p>
    <w:p>
      <w:pPr>
        <w:ind w:right="140" w:firstLine="441"/>
        <w:spacing w:after="0" w:line="242" w:lineRule="auto"/>
        <w:rPr>
          <w:sz w:val="20"/>
          <w:szCs w:val="20"/>
          <w:color w:val="auto"/>
        </w:rPr>
      </w:pPr>
      <w:r>
        <w:rPr>
          <w:rFonts w:ascii="Arial" w:cs="Arial" w:eastAsia="Arial" w:hAnsi="Arial"/>
          <w:sz w:val="18"/>
          <w:szCs w:val="18"/>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203" w:lineRule="exact"/>
        <w:rPr>
          <w:sz w:val="20"/>
          <w:szCs w:val="20"/>
          <w:color w:val="auto"/>
        </w:rPr>
      </w:pPr>
    </w:p>
    <w:p>
      <w:pPr>
        <w:ind w:right="80" w:firstLine="441"/>
        <w:spacing w:after="0" w:line="246"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right="100" w:firstLine="441"/>
        <w:spacing w:after="0" w:line="234" w:lineRule="auto"/>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Ms. Bergeron, Ms. Hatter,</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Hank, Gen. Pace, Mr. Ream and Ms. Rogers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05"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With respect to Gen. Pace, our board of directors specifically considered that Gen. Pace serves on the board of directors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Gen. Pace.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6"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provides effective independent oversight of management while allowing the board of directors and management to benefit from Mr. Courtot’s leadership and years of experience as an executive in the technology industry. Serving on our board of</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87" w:right="479" w:bottom="1440" w:gutter="0" w:footer="0" w:header="0"/>
        </w:sectPr>
      </w:pPr>
    </w:p>
    <w:bookmarkStart w:id="13" w:name="page14"/>
    <w:bookmarkEnd w:id="13"/>
    <w:p>
      <w:pPr>
        <w:ind w:right="2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since 2000 and as Chief Executive Officer since 2001, Mr. Courtot is best positioned to identify strategic priorities, lead critical discussion and execute our strategy and business plans.</w:t>
      </w:r>
    </w:p>
    <w:p>
      <w:pPr>
        <w:spacing w:after="0" w:line="197"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6" w:lineRule="exact"/>
        <w:rPr>
          <w:sz w:val="20"/>
          <w:szCs w:val="20"/>
          <w:color w:val="auto"/>
        </w:rPr>
      </w:pPr>
    </w:p>
    <w:p>
      <w:pPr>
        <w:ind w:right="240" w:firstLine="441"/>
        <w:spacing w:after="0"/>
        <w:rPr>
          <w:sz w:val="20"/>
          <w:szCs w:val="20"/>
          <w:color w:val="auto"/>
        </w:rPr>
      </w:pPr>
      <w:r>
        <w:rPr>
          <w:rFonts w:ascii="Arial" w:cs="Arial" w:eastAsia="Arial" w:hAnsi="Arial"/>
          <w:sz w:val="18"/>
          <w:szCs w:val="18"/>
          <w:color w:val="auto"/>
        </w:rPr>
        <w:t>Our board of directors has appointed Sandra E. Bergeron to serve as our lead independent director. As lead independent director, Ms. Bergeron presides over periodic meetings of our independent directors, serves as a liaison between our Chairman and the independent directors and performs such additional duties as our board of directors may otherwise determine and delegate.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6"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During the year ended December 31, 2018, our board of directors held 4 meetings (including regularly scheduled and special meetings), our audit committee held 9 meetings, our compensation committee held 5 meetings, and our nominating and governance committee held 2 meetings. Each director attended at least 75% of the total number of meetings of the board of directors and the committees of which he or she was a member during 2018, except for Mr. Ream, who was recently appointed to our board of directors in 2018 and who attended 100% of the meetings of the board of directors and missed one meeting of the committee of which he is a member.</w:t>
      </w:r>
    </w:p>
    <w:p>
      <w:pPr>
        <w:spacing w:after="0" w:line="205" w:lineRule="exact"/>
        <w:rPr>
          <w:sz w:val="20"/>
          <w:szCs w:val="20"/>
          <w:color w:val="auto"/>
        </w:rPr>
      </w:pPr>
    </w:p>
    <w:p>
      <w:pPr>
        <w:ind w:right="20" w:firstLine="441"/>
        <w:spacing w:after="0"/>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Mr. Courtot, Mr. Hank, Ms. Rogers and Mr. Headley attended the 2018 annual meeting of stockholders.</w:t>
      </w:r>
    </w:p>
    <w:p>
      <w:pPr>
        <w:spacing w:after="0" w:line="203" w:lineRule="exact"/>
        <w:rPr>
          <w:sz w:val="20"/>
          <w:szCs w:val="20"/>
          <w:color w:val="auto"/>
        </w:rPr>
      </w:pPr>
    </w:p>
    <w:p>
      <w:pPr>
        <w:ind w:right="240" w:firstLine="441"/>
        <w:spacing w:after="0"/>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has the composition and responsibilities described below. Members serve on these committees until their resignation or until otherwise determined by our board of directors.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Audit Committee</w:t>
      </w:r>
    </w:p>
    <w:p>
      <w:pPr>
        <w:spacing w:after="0" w:line="122" w:lineRule="exact"/>
        <w:rPr>
          <w:sz w:val="20"/>
          <w:szCs w:val="20"/>
          <w:color w:val="auto"/>
        </w:rPr>
      </w:pPr>
    </w:p>
    <w:p>
      <w:pPr>
        <w:ind w:right="80" w:firstLine="441"/>
        <w:spacing w:after="0" w:line="238" w:lineRule="auto"/>
        <w:rPr>
          <w:sz w:val="20"/>
          <w:szCs w:val="20"/>
          <w:color w:val="auto"/>
        </w:rPr>
      </w:pPr>
      <w:r>
        <w:rPr>
          <w:rFonts w:ascii="Arial" w:cs="Arial" w:eastAsia="Arial" w:hAnsi="Arial"/>
          <w:sz w:val="18"/>
          <w:szCs w:val="18"/>
          <w:color w:val="auto"/>
        </w:rPr>
        <w:t>Our audit committee consists of Ms. Bergeron, Mr. Hank and Mr. Ream, with Mr. Hank serving as Chairman. The composition of our audit committee meets the requirements for independence under current Nasdaq Stock Market listing standards and SEC rules. Each member of our audit committee meets the financial literacy requirements of the Nasdaq Stock Market listing standards. In addition, our board of directors has determined that Mr. Hank and Mr. Ream are audit committee financial experts within the meaning of the rules and regulations of the SEC. Among other responsibilities, our audit committee:</w:t>
      </w:r>
    </w:p>
    <w:p>
      <w:pPr>
        <w:spacing w:after="0" w:line="108" w:lineRule="exact"/>
        <w:rPr>
          <w:sz w:val="20"/>
          <w:szCs w:val="20"/>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87" w:right="459" w:bottom="1440" w:gutter="0" w:footer="0" w:header="0"/>
        </w:sectPr>
      </w:pPr>
    </w:p>
    <w:bookmarkStart w:id="14" w:name="page15"/>
    <w:bookmarkEnd w:id="14"/>
    <w:p>
      <w:pPr>
        <w:ind w:left="860" w:right="740" w:hanging="316"/>
        <w:spacing w:after="0" w:line="246"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discusses the scope and results of the audit with the independent registered public accounting firm, and reviews,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117" w:lineRule="exact"/>
        <w:rPr>
          <w:rFonts w:ascii="Arial" w:cs="Arial" w:eastAsia="Arial" w:hAnsi="Arial"/>
          <w:sz w:val="18"/>
          <w:szCs w:val="18"/>
          <w:color w:val="auto"/>
        </w:rPr>
      </w:pPr>
    </w:p>
    <w:p>
      <w:pPr>
        <w:ind w:left="860" w:right="80" w:hanging="316"/>
        <w:spacing w:after="0" w:line="275"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78" w:lineRule="exact"/>
        <w:rPr>
          <w:rFonts w:ascii="Arial" w:cs="Arial" w:eastAsia="Arial" w:hAnsi="Arial"/>
          <w:sz w:val="17"/>
          <w:szCs w:val="17"/>
          <w:color w:val="auto"/>
        </w:rPr>
      </w:pPr>
    </w:p>
    <w:p>
      <w:pPr>
        <w:ind w:left="860" w:right="420" w:hanging="316"/>
        <w:spacing w:after="0" w:line="246"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197"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Our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Compensation Committee</w:t>
      </w:r>
    </w:p>
    <w:p>
      <w:pPr>
        <w:spacing w:after="0" w:line="122" w:lineRule="exact"/>
        <w:rPr>
          <w:sz w:val="20"/>
          <w:szCs w:val="20"/>
          <w:color w:val="auto"/>
        </w:rPr>
      </w:pPr>
    </w:p>
    <w:p>
      <w:pPr>
        <w:ind w:right="80" w:firstLine="441"/>
        <w:spacing w:after="0" w:line="234" w:lineRule="auto"/>
        <w:rPr>
          <w:sz w:val="20"/>
          <w:szCs w:val="20"/>
          <w:color w:val="auto"/>
        </w:rPr>
      </w:pPr>
      <w:r>
        <w:rPr>
          <w:rFonts w:ascii="Arial" w:cs="Arial" w:eastAsia="Arial" w:hAnsi="Arial"/>
          <w:sz w:val="18"/>
          <w:szCs w:val="18"/>
          <w:color w:val="auto"/>
        </w:rPr>
        <w:t>Our compensation committee consists of Ms. Bergeron, Ms. Hatter and Gen. Pace, with Ms. Bergeron serving as Chairperson. The composition of our compensation committee meets the requirements for independence under current Nasdaq Stock Market listing standards and SEC rules. Each member of our compensation committee is also a non-employee director, as defined pursuant to</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Rule 16b-3 promulgated under the Exchange Act. The purpose of our compensation committee is to discharge the responsibilities of our board of directors relating to the compensation of our executive officers. Among other responsibilities, our compensation committee:</w:t>
      </w:r>
    </w:p>
    <w:p>
      <w:pPr>
        <w:spacing w:after="0" w:line="102" w:lineRule="exact"/>
        <w:rPr>
          <w:sz w:val="20"/>
          <w:szCs w:val="20"/>
          <w:color w:val="auto"/>
        </w:rPr>
      </w:pPr>
    </w:p>
    <w:p>
      <w:pPr>
        <w:ind w:left="860" w:right="200" w:hanging="316"/>
        <w:spacing w:after="0" w:line="246"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117" w:lineRule="exact"/>
        <w:rPr>
          <w:rFonts w:ascii="Arial" w:cs="Arial" w:eastAsia="Arial" w:hAnsi="Arial"/>
          <w:sz w:val="18"/>
          <w:szCs w:val="18"/>
          <w:color w:val="auto"/>
        </w:rPr>
      </w:pPr>
    </w:p>
    <w:p>
      <w:pPr>
        <w:ind w:left="860" w:right="320" w:hanging="316"/>
        <w:spacing w:after="0" w:line="246"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and makes recommendations to our board of directors regarding incentive compensation and equity plans; and</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212" w:lineRule="exact"/>
        <w:rPr>
          <w:sz w:val="20"/>
          <w:szCs w:val="20"/>
          <w:color w:val="auto"/>
        </w:rPr>
      </w:pPr>
    </w:p>
    <w:p>
      <w:pPr>
        <w:ind w:right="500" w:firstLine="441"/>
        <w:spacing w:after="0"/>
        <w:rPr>
          <w:sz w:val="20"/>
          <w:szCs w:val="20"/>
          <w:color w:val="auto"/>
        </w:rPr>
      </w:pPr>
      <w:r>
        <w:rPr>
          <w:rFonts w:ascii="Arial" w:cs="Arial" w:eastAsia="Arial" w:hAnsi="Arial"/>
          <w:sz w:val="18"/>
          <w:szCs w:val="18"/>
          <w:color w:val="auto"/>
        </w:rPr>
        <w:t>Our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22" w:lineRule="exact"/>
        <w:rPr>
          <w:sz w:val="20"/>
          <w:szCs w:val="20"/>
          <w:color w:val="auto"/>
        </w:rPr>
      </w:pPr>
    </w:p>
    <w:p>
      <w:pPr>
        <w:ind w:right="120" w:firstLine="441"/>
        <w:spacing w:after="0" w:line="238" w:lineRule="auto"/>
        <w:rPr>
          <w:sz w:val="20"/>
          <w:szCs w:val="20"/>
          <w:color w:val="auto"/>
        </w:rPr>
      </w:pPr>
      <w:r>
        <w:rPr>
          <w:rFonts w:ascii="Arial" w:cs="Arial" w:eastAsia="Arial" w:hAnsi="Arial"/>
          <w:sz w:val="18"/>
          <w:szCs w:val="18"/>
          <w:color w:val="auto"/>
        </w:rPr>
        <w:t>None of Sandra E. Bergeron, Patricia Hatter, and General Peter Pace,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87" w:right="51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Nominating and Governance Committee</w:t>
      </w:r>
    </w:p>
    <w:p>
      <w:pPr>
        <w:spacing w:after="0" w:line="122" w:lineRule="exact"/>
        <w:rPr>
          <w:sz w:val="20"/>
          <w:szCs w:val="20"/>
          <w:color w:val="auto"/>
        </w:rPr>
      </w:pPr>
    </w:p>
    <w:p>
      <w:pPr>
        <w:ind w:right="160" w:firstLine="441"/>
        <w:spacing w:after="0"/>
        <w:rPr>
          <w:sz w:val="20"/>
          <w:szCs w:val="20"/>
          <w:color w:val="auto"/>
        </w:rPr>
      </w:pPr>
      <w:r>
        <w:rPr>
          <w:rFonts w:ascii="Arial" w:cs="Arial" w:eastAsia="Arial" w:hAnsi="Arial"/>
          <w:sz w:val="18"/>
          <w:szCs w:val="18"/>
          <w:color w:val="auto"/>
        </w:rPr>
        <w:t>Our nominating and governance committee consists of Ms. Bergeron, Ms. Hatter, Ms. Rogers and Gen. Pace, with Gen. Pace serving as Chairman. The composition of our nominating and governance committee meets the requirements for independence under current Nasdaq Stock Market listing standards and SEC rules. Among other responsibilities, our nominating and governance committee:</w:t>
      </w:r>
    </w:p>
    <w:p>
      <w:pPr>
        <w:spacing w:after="0" w:line="108" w:lineRule="exact"/>
        <w:rPr>
          <w:sz w:val="20"/>
          <w:szCs w:val="20"/>
          <w:color w:val="auto"/>
        </w:rPr>
      </w:pPr>
    </w:p>
    <w:p>
      <w:pPr>
        <w:ind w:left="860" w:right="160" w:hanging="316"/>
        <w:spacing w:after="0" w:line="246"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117" w:lineRule="exact"/>
        <w:rPr>
          <w:rFonts w:ascii="Arial" w:cs="Arial" w:eastAsia="Arial" w:hAnsi="Arial"/>
          <w:sz w:val="18"/>
          <w:szCs w:val="18"/>
          <w:color w:val="auto"/>
        </w:rPr>
      </w:pPr>
    </w:p>
    <w:p>
      <w:pPr>
        <w:ind w:left="860" w:right="300" w:hanging="316"/>
        <w:spacing w:after="0" w:line="246"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corporate governance guidelines and matters.</w:t>
      </w:r>
    </w:p>
    <w:p>
      <w:pPr>
        <w:spacing w:after="0" w:line="212"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6"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203" w:lineRule="exact"/>
        <w:rPr>
          <w:sz w:val="20"/>
          <w:szCs w:val="20"/>
          <w:color w:val="auto"/>
        </w:rPr>
      </w:pPr>
    </w:p>
    <w:p>
      <w:pPr>
        <w:ind w:right="20" w:firstLine="441"/>
        <w:spacing w:after="0" w:line="238"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take into account the benefits of diverse viewpoints. The nominating and governance committee also considers these and other factors as it oversees the annual board of director and committee evaluations.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6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Recommendations for Nominations to the Board of Directors</w:t>
      </w:r>
    </w:p>
    <w:p>
      <w:pPr>
        <w:spacing w:after="0" w:line="126" w:lineRule="exact"/>
        <w:rPr>
          <w:sz w:val="20"/>
          <w:szCs w:val="20"/>
          <w:color w:val="auto"/>
        </w:rPr>
      </w:pPr>
    </w:p>
    <w:p>
      <w:pPr>
        <w:ind w:right="120" w:firstLine="441"/>
        <w:spacing w:after="0" w:line="236"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207"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Notice must be received by us no earlier than February 7, 2020, and no later than March 6, 2020. The notice must state the information required by Section 2.4(ii)(b) of our bylaws and otherwise must comply with applicable federal and state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6" w:lineRule="exact"/>
        <w:rPr>
          <w:sz w:val="20"/>
          <w:szCs w:val="20"/>
          <w:color w:val="auto"/>
        </w:rPr>
      </w:pPr>
    </w:p>
    <w:p>
      <w:pPr>
        <w:ind w:right="40" w:firstLine="441"/>
        <w:spacing w:after="0" w:line="238"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All such stockholder communications will be forwarded to the appropriate member or members of the board of directors, or if none is specified, to the Chairman of the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12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6" w:lineRule="exact"/>
        <w:rPr>
          <w:sz w:val="20"/>
          <w:szCs w:val="20"/>
          <w:color w:val="auto"/>
        </w:rPr>
      </w:pPr>
    </w:p>
    <w:p>
      <w:pPr>
        <w:ind w:right="160" w:firstLine="441"/>
        <w:spacing w:after="0" w:line="237"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65" w:right="439" w:bottom="1440" w:gutter="0" w:footer="0" w:header="0"/>
        </w:sectPr>
      </w:pPr>
    </w:p>
    <w:bookmarkStart w:id="17" w:name="page18"/>
    <w:bookmarkEnd w:id="17"/>
    <w:p>
      <w:pPr>
        <w:ind w:right="180" w:firstLine="44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203"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and legal and regulatory compliance. The audit committee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programs, policies and practices and found no risks that would be reasonably likely to have a material adverse effect on the Company.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regarding compensation paid by us to our non-employee directors during 2018.</w:t>
      </w:r>
    </w:p>
    <w:p>
      <w:pPr>
        <w:spacing w:after="0" w:line="212" w:lineRule="exact"/>
        <w:rPr>
          <w:sz w:val="20"/>
          <w:szCs w:val="20"/>
          <w:color w:val="auto"/>
        </w:rPr>
      </w:pPr>
    </w:p>
    <w:p>
      <w:pPr>
        <w:ind w:right="180" w:firstLine="441"/>
        <w:spacing w:after="0" w:line="239" w:lineRule="auto"/>
        <w:rPr>
          <w:sz w:val="20"/>
          <w:szCs w:val="20"/>
          <w:color w:val="auto"/>
        </w:rPr>
      </w:pPr>
      <w:r>
        <w:rPr>
          <w:rFonts w:ascii="Arial" w:cs="Arial" w:eastAsia="Arial" w:hAnsi="Arial"/>
          <w:sz w:val="18"/>
          <w:szCs w:val="18"/>
          <w:color w:val="auto"/>
        </w:rPr>
        <w:t>Directors who are also our employees receive no additional compensation for their service as a director. During 2018,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Director Compensation Table</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Fees Earned</w:t>
            </w: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400" w:type="dxa"/>
            <w:vAlign w:val="bottom"/>
            <w:vMerge w:val="restart"/>
          </w:tcPr>
          <w:p>
            <w:pPr>
              <w:spacing w:after="0"/>
              <w:rPr>
                <w:sz w:val="14"/>
                <w:szCs w:val="14"/>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or Paid in</w:t>
            </w: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Awards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Cash</w:t>
            </w:r>
          </w:p>
        </w:tc>
        <w:tc>
          <w:tcPr>
            <w:tcW w:w="1100" w:type="dxa"/>
            <w:vAlign w:val="bottom"/>
          </w:tcPr>
          <w:p>
            <w:pPr>
              <w:jc w:val="right"/>
              <w:ind w:right="254"/>
              <w:spacing w:after="0"/>
              <w:rPr>
                <w:sz w:val="20"/>
                <w:szCs w:val="20"/>
                <w:color w:val="auto"/>
              </w:rPr>
            </w:pPr>
            <w:r>
              <w:rPr>
                <w:rFonts w:ascii="Arial" w:cs="Arial" w:eastAsia="Arial" w:hAnsi="Arial"/>
                <w:sz w:val="14"/>
                <w:szCs w:val="14"/>
                <w:b w:val="1"/>
                <w:bCs w:val="1"/>
                <w:color w:val="auto"/>
              </w:rPr>
              <w:t>(1) (2)</w:t>
            </w:r>
          </w:p>
        </w:tc>
        <w:tc>
          <w:tcPr>
            <w:tcW w:w="500" w:type="dxa"/>
            <w:vAlign w:val="bottom"/>
          </w:tcPr>
          <w:p>
            <w:pPr>
              <w:spacing w:after="0"/>
              <w:rPr>
                <w:sz w:val="15"/>
                <w:szCs w:val="15"/>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1460" w:type="dxa"/>
            <w:vAlign w:val="bottom"/>
            <w:tcBorders>
              <w:top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8"/>
                <w:szCs w:val="18"/>
                <w:color w:val="auto"/>
              </w:rPr>
              <w:t>$56,833</w:t>
            </w:r>
          </w:p>
        </w:tc>
        <w:tc>
          <w:tcPr>
            <w:tcW w:w="5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$ 251,165(3)</w:t>
            </w:r>
          </w:p>
        </w:tc>
        <w:tc>
          <w:tcPr>
            <w:tcW w:w="5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$ 307,998</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14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50,000</w:t>
            </w:r>
          </w:p>
        </w:tc>
        <w:tc>
          <w:tcPr>
            <w:tcW w:w="5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251,165(3)</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301,165</w:t>
            </w: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146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45,000</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251,165(3)</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296,165</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14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34,000</w:t>
            </w:r>
          </w:p>
        </w:tc>
        <w:tc>
          <w:tcPr>
            <w:tcW w:w="5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251,165(3)</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285,165</w:t>
            </w: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Ream</w:t>
            </w:r>
          </w:p>
        </w:tc>
        <w:tc>
          <w:tcPr>
            <w:tcW w:w="146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13,833</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443,546(4)</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457,379</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Patricia Hatter</w:t>
            </w:r>
          </w:p>
        </w:tc>
        <w:tc>
          <w:tcPr>
            <w:tcW w:w="146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6,500</w:t>
            </w:r>
          </w:p>
        </w:tc>
        <w:tc>
          <w:tcPr>
            <w:tcW w:w="5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378,611(5)</w:t>
            </w:r>
          </w:p>
        </w:tc>
        <w:tc>
          <w:tcPr>
            <w:tcW w:w="5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385,111</w:t>
            </w: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R. Dixon (6)</w:t>
            </w:r>
          </w:p>
        </w:tc>
        <w:tc>
          <w:tcPr>
            <w:tcW w:w="1460" w:type="dxa"/>
            <w:vAlign w:val="bottom"/>
            <w:shd w:val="clear" w:color="auto" w:fill="CCEEFF"/>
          </w:tcPr>
          <w:p>
            <w:pPr>
              <w:jc w:val="right"/>
              <w:ind w:right="315"/>
              <w:spacing w:after="0" w:line="202" w:lineRule="exact"/>
              <w:rPr>
                <w:sz w:val="20"/>
                <w:szCs w:val="20"/>
                <w:color w:val="auto"/>
              </w:rPr>
            </w:pPr>
            <w:r>
              <w:rPr>
                <w:rFonts w:ascii="Arial" w:cs="Arial" w:eastAsia="Arial" w:hAnsi="Arial"/>
                <w:sz w:val="18"/>
                <w:szCs w:val="18"/>
                <w:color w:val="auto"/>
              </w:rPr>
              <w:t>31,583</w:t>
            </w: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251,165(3)</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282,748</w:t>
            </w:r>
          </w:p>
        </w:tc>
        <w:tc>
          <w:tcPr>
            <w:tcW w:w="0" w:type="dxa"/>
            <w:vAlign w:val="bottom"/>
          </w:tcPr>
          <w:p>
            <w:pPr>
              <w:spacing w:after="0"/>
              <w:rPr>
                <w:sz w:val="1"/>
                <w:szCs w:val="1"/>
                <w:color w:val="auto"/>
              </w:rPr>
            </w:pPr>
          </w:p>
        </w:tc>
      </w:tr>
      <w:tr>
        <w:trPr>
          <w:trHeight w:val="217"/>
        </w:trPr>
        <w:tc>
          <w:tcPr>
            <w:tcW w:w="4820" w:type="dxa"/>
            <w:vAlign w:val="bottom"/>
            <w:gridSpan w:val="2"/>
          </w:tcPr>
          <w:p>
            <w:pPr>
              <w:spacing w:after="0"/>
              <w:rPr>
                <w:sz w:val="20"/>
                <w:szCs w:val="20"/>
                <w:color w:val="auto"/>
              </w:rPr>
            </w:pPr>
            <w:r>
              <w:rPr>
                <w:rFonts w:ascii="Arial" w:cs="Arial" w:eastAsia="Arial" w:hAnsi="Arial"/>
                <w:sz w:val="18"/>
                <w:szCs w:val="18"/>
                <w:color w:val="auto"/>
              </w:rPr>
              <w:t>Todd P. Headley (7)</w:t>
            </w:r>
          </w:p>
        </w:tc>
        <w:tc>
          <w:tcPr>
            <w:tcW w:w="1460" w:type="dxa"/>
            <w:vAlign w:val="bottom"/>
          </w:tcPr>
          <w:p>
            <w:pPr>
              <w:jc w:val="right"/>
              <w:ind w:right="315"/>
              <w:spacing w:after="0"/>
              <w:rPr>
                <w:sz w:val="20"/>
                <w:szCs w:val="20"/>
                <w:color w:val="auto"/>
              </w:rPr>
            </w:pPr>
            <w:r>
              <w:rPr>
                <w:rFonts w:ascii="Arial" w:cs="Arial" w:eastAsia="Arial" w:hAnsi="Arial"/>
                <w:sz w:val="18"/>
                <w:szCs w:val="18"/>
                <w:color w:val="auto"/>
              </w:rPr>
              <w:t>38,158</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251,165(3)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289,324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440" w:right="60" w:hanging="43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grant date fair value of restricted stock unit awards granted in 2018. These amounts have been calculated in accordance with Financial Accounting Standards Board, or FASB, Accounting Standards Codification, or ASC, Topic 718. The fair value of each restricted stock unit award is measured based on the closing price of our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87" w:right="459" w:bottom="1440" w:gutter="0" w:footer="0" w:header="0"/>
        </w:sectPr>
      </w:pPr>
    </w:p>
    <w:bookmarkStart w:id="18" w:name="page19"/>
    <w:bookmarkEnd w:id="18"/>
    <w:p>
      <w:pPr>
        <w:ind w:left="440" w:right="4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2018 filed with the SEC on February 27, 2019.</w:t>
      </w:r>
    </w:p>
    <w:p>
      <w:pPr>
        <w:spacing w:after="0" w:line="3" w:lineRule="exact"/>
        <w:rPr>
          <w:sz w:val="20"/>
          <w:szCs w:val="20"/>
          <w:color w:val="auto"/>
        </w:rPr>
      </w:pPr>
    </w:p>
    <w:p>
      <w:pPr>
        <w:ind w:left="440" w:right="60" w:hanging="436"/>
        <w:spacing w:after="0" w:line="246"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2018, the aggregate number of shares of our common stock underlying unvested stock awards and outstanding option awards held by each of our non-employee directors was:</w:t>
      </w:r>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Underlying</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66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3780" w:type="dxa"/>
            <w:vAlign w:val="bottom"/>
            <w:gridSpan w:val="3"/>
            <w:vMerge w:val="continue"/>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2,588</w:t>
            </w:r>
          </w:p>
        </w:tc>
        <w:tc>
          <w:tcPr>
            <w:tcW w:w="7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2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2,588</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2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Kristi M. Rogers</w:t>
            </w:r>
          </w:p>
        </w:tc>
        <w:tc>
          <w:tcPr>
            <w:tcW w:w="2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2,588</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Ream</w:t>
            </w:r>
          </w:p>
        </w:tc>
        <w:tc>
          <w:tcPr>
            <w:tcW w:w="2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4,664</w:t>
            </w:r>
          </w:p>
        </w:tc>
        <w:tc>
          <w:tcPr>
            <w:tcW w:w="7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Patricia Hatter</w:t>
            </w:r>
          </w:p>
        </w:tc>
        <w:tc>
          <w:tcPr>
            <w:tcW w:w="2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4,968</w:t>
            </w:r>
          </w:p>
        </w:tc>
        <w:tc>
          <w:tcPr>
            <w:tcW w:w="760" w:type="dxa"/>
            <w:vAlign w:val="bottom"/>
          </w:tcPr>
          <w:p>
            <w:pPr>
              <w:spacing w:after="0"/>
              <w:rPr>
                <w:sz w:val="17"/>
                <w:szCs w:val="17"/>
                <w:color w:val="auto"/>
              </w:rPr>
            </w:pPr>
          </w:p>
        </w:tc>
        <w:tc>
          <w:tcPr>
            <w:tcW w:w="9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Donald R. Dixon</w:t>
            </w:r>
          </w:p>
        </w:tc>
        <w:tc>
          <w:tcPr>
            <w:tcW w:w="2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7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Todd P. Headley</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2,588</w:t>
            </w:r>
          </w:p>
        </w:tc>
        <w:tc>
          <w:tcPr>
            <w:tcW w:w="76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440" w:hanging="436"/>
        <w:spacing w:after="0" w:line="23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18, 2018, each of Ms. Bergeron, Mr. Hank, Gen. Pace, Ms. Rogers, Mr. Dixon and Mr. Headley was granted 2,588 restricted stock units, which vest on the earlier of (i) June 18, 2019 or (ii) the day before our 2019 annual meeting of stockholders, subject to the applicable director’s continued service to us.</w:t>
      </w:r>
    </w:p>
    <w:p>
      <w:pPr>
        <w:spacing w:after="0" w:line="2" w:lineRule="exact"/>
        <w:rPr>
          <w:rFonts w:ascii="Arial" w:cs="Arial" w:eastAsia="Arial" w:hAnsi="Arial"/>
          <w:sz w:val="18"/>
          <w:szCs w:val="18"/>
          <w:color w:val="auto"/>
        </w:rPr>
      </w:pPr>
    </w:p>
    <w:p>
      <w:pPr>
        <w:ind w:left="440" w:right="260" w:hanging="436"/>
        <w:spacing w:after="0" w:line="23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26, 2018, Mr. Ream was granted 4,664 restricted stock units, which vest in three equal annual installments on each of the first three anniversaries of August 1, 2018, subject to Mr. Ream’s continued service to us.</w:t>
      </w:r>
    </w:p>
    <w:p>
      <w:pPr>
        <w:spacing w:after="0" w:line="1" w:lineRule="exact"/>
        <w:rPr>
          <w:rFonts w:ascii="Arial" w:cs="Arial" w:eastAsia="Arial" w:hAnsi="Arial"/>
          <w:sz w:val="18"/>
          <w:szCs w:val="18"/>
          <w:color w:val="auto"/>
        </w:rPr>
      </w:pPr>
    </w:p>
    <w:p>
      <w:pPr>
        <w:ind w:left="440" w:right="180" w:hanging="436"/>
        <w:spacing w:after="0" w:line="23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October 25, 2018, Ms. Hatter was granted 4,968 restricted stock units, which vest in three equal annual installments on each of the first three anniversaries of November 1, 2018, subject to Ms. Hatter’s continued service to us.</w:t>
      </w:r>
    </w:p>
    <w:p>
      <w:pPr>
        <w:spacing w:after="0" w:line="1" w:lineRule="exact"/>
        <w:rPr>
          <w:rFonts w:ascii="Arial" w:cs="Arial" w:eastAsia="Arial" w:hAnsi="Arial"/>
          <w:sz w:val="18"/>
          <w:szCs w:val="18"/>
          <w:color w:val="auto"/>
        </w:rPr>
      </w:pPr>
    </w:p>
    <w:p>
      <w:pPr>
        <w:ind w:left="440" w:hanging="436"/>
        <w:spacing w:after="0" w:line="234"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compensation for service through July 26, 2018.</w:t>
      </w:r>
    </w:p>
    <w:p>
      <w:pPr>
        <w:ind w:left="440" w:hanging="436"/>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compensation for service through December 7, 2018.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34"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Our compensation committee is responsible for reviewing and making recommendations with respect to the compensation of our non-employee directors. Our compensation committee’s policy is to engage a compensation consultant every year to conduct a full review and benchmarking (using the same peer group used to benchmark executive compensation) of our non-employee directors’ compensation in order to ensure that our directors’ compensation is in line with peer companies competing for director talent. Our current non-employee director compensation program was reviewed and approved in 2017 in connection with input from Compensia, an independent compensation advisor. In fiscal year 2019, our compensation committee engaged Mercer as its compensation consultant. No changes have been made to our non-employee director compensation program since 2017. During 2018, our non-employee director compensation program consisted of equity and cash, as described below.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87" w:right="439" w:bottom="1440" w:gutter="0" w:footer="0" w:header="0"/>
        </w:sectPr>
      </w:pPr>
    </w:p>
    <w:bookmarkStart w:id="19" w:name="page20"/>
    <w:bookmarkEnd w:id="19"/>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w:t>
      </w:r>
    </w:p>
    <w:p>
      <w:pPr>
        <w:spacing w:after="0" w:line="122"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 “value” of $420,000 (the “Initial Award”), with vesting to occur in three equal annual installments on each of the first three anniversaries of the first day of the month following the month that the director joins the board, subject to continued service as a director through each vesting date.</w:t>
      </w:r>
    </w:p>
    <w:p>
      <w:pPr>
        <w:spacing w:after="0" w:line="202"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Each of these awards vests on the earlier of the first anniversary of its grant date or the day before the next annual meeting of stockholders.</w:t>
      </w:r>
    </w:p>
    <w:p>
      <w:pPr>
        <w:spacing w:after="0" w:line="203"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of the Company (as defined in our 2012 Equity Incentive Plan).</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jc w:val="both"/>
        <w:ind w:right="60" w:firstLine="441"/>
        <w:spacing w:after="0"/>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$30,000 for serving on our board of directors (the “Annual Retainer”). In addition to the Annual Retainer, the lead independent director would be entitled to an additional cash retainer of $19,000.</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chairpersons and members of our board’s three standing committees are entitled to the following cash retainers each year:</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Chairperson</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62"/>
        </w:trPr>
        <w:tc>
          <w:tcPr>
            <w:tcW w:w="6280" w:type="dxa"/>
            <w:vAlign w:val="bottom"/>
            <w:gridSpan w:val="3"/>
            <w:vMerge w:val="continue"/>
          </w:tcPr>
          <w:p>
            <w:pPr>
              <w:spacing w:after="0"/>
              <w:rPr>
                <w:sz w:val="14"/>
                <w:szCs w:val="1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Retainer*</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$20,000</w:t>
            </w: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12,000</w:t>
            </w:r>
          </w:p>
        </w:tc>
        <w:tc>
          <w:tcPr>
            <w:tcW w:w="5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director who serves as chairperson of a committee is entitled to a member retainer for the same committee.</w:t>
      </w:r>
    </w:p>
    <w:p>
      <w:pPr>
        <w:spacing w:after="0" w:line="212" w:lineRule="exact"/>
        <w:rPr>
          <w:sz w:val="20"/>
          <w:szCs w:val="20"/>
          <w:color w:val="auto"/>
        </w:rPr>
      </w:pPr>
    </w:p>
    <w:p>
      <w:pPr>
        <w:ind w:right="60" w:firstLine="441"/>
        <w:spacing w:after="0" w:line="261" w:lineRule="auto"/>
        <w:rPr>
          <w:sz w:val="20"/>
          <w:szCs w:val="20"/>
          <w:color w:val="auto"/>
        </w:rPr>
      </w:pPr>
      <w:r>
        <w:rPr>
          <w:rFonts w:ascii="Arial" w:cs="Arial" w:eastAsia="Arial" w:hAnsi="Arial"/>
          <w:sz w:val="17"/>
          <w:szCs w:val="17"/>
          <w:color w:val="auto"/>
        </w:rPr>
        <w:t>All retainers in cash will be paid in four equal installments on a quarterly basis at the end of the applicable quarter, provided that the individual served as a non-employee director in the applicable capacity during the full quarter, with the amount pro-rated for any director who did not serve in the applicable capacity the full quarter (on either the board of directors and/or the relevant board committee).</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Hedging and Pledging Policy</w:t>
      </w:r>
    </w:p>
    <w:p>
      <w:pPr>
        <w:spacing w:after="0" w:line="122" w:lineRule="exact"/>
        <w:rPr>
          <w:sz w:val="20"/>
          <w:szCs w:val="20"/>
          <w:color w:val="auto"/>
        </w:rPr>
      </w:pPr>
    </w:p>
    <w:p>
      <w:pPr>
        <w:ind w:right="440" w:firstLine="441"/>
        <w:spacing w:after="0"/>
        <w:rPr>
          <w:sz w:val="20"/>
          <w:szCs w:val="20"/>
          <w:color w:val="auto"/>
        </w:rPr>
      </w:pPr>
      <w:r>
        <w:rPr>
          <w:rFonts w:ascii="Arial" w:cs="Arial" w:eastAsia="Arial" w:hAnsi="Arial"/>
          <w:sz w:val="18"/>
          <w:szCs w:val="18"/>
          <w:color w:val="auto"/>
        </w:rPr>
        <w:t>We have implemented an insider trading policy that prohibits our non-employee directors from trading in derivative securities (including hedging) with respect to our common stock, pledging Company securities as collateral, or holding company securities in a margin account.</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69" w:right="519" w:bottom="1440" w:gutter="0" w:footer="0" w:header="0"/>
        </w:sectPr>
      </w:pPr>
    </w:p>
    <w:bookmarkStart w:id="20" w:name="page21"/>
    <w:bookmarkEnd w:id="20"/>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Ownership Guidelines</w:t>
      </w:r>
    </w:p>
    <w:p>
      <w:pPr>
        <w:spacing w:after="0" w:line="122"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non-employee director is required to own a number of shares of the Company’s common stock with a value equal to at least five times the value of his or her annual retainer for service on the Board.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0"/>
          </w:cols>
          <w:pgMar w:left="440" w:top="269" w:right="59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w:t>
      </w: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jc w:val="both"/>
        <w:ind w:right="120" w:firstLine="441"/>
        <w:spacing w:after="0"/>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2019. During the year ended December 31, 2018, Grant Thornton served as our independent registered public accounting firm.</w:t>
      </w:r>
    </w:p>
    <w:p>
      <w:pPr>
        <w:spacing w:after="0" w:line="203"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2019.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right="120" w:firstLine="441"/>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2017 and 2018.</w:t>
      </w:r>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15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Audit Fees (1)</w:t>
            </w:r>
          </w:p>
        </w:tc>
        <w:tc>
          <w:tcPr>
            <w:tcW w:w="20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$ 1,265,344</w:t>
            </w:r>
          </w:p>
        </w:tc>
        <w:tc>
          <w:tcPr>
            <w:tcW w:w="5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$ 1,339,962</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02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214,785</w:t>
            </w:r>
          </w:p>
        </w:tc>
        <w:tc>
          <w:tcPr>
            <w:tcW w:w="56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131,315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$ 1,480,129</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$ 1,471,277</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40" w:right="120" w:hanging="436"/>
        <w:spacing w:after="0" w:line="234"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 w:lineRule="exact"/>
        <w:rPr>
          <w:rFonts w:ascii="Arial" w:cs="Arial" w:eastAsia="Arial" w:hAnsi="Arial"/>
          <w:sz w:val="18"/>
          <w:szCs w:val="18"/>
          <w:color w:val="auto"/>
        </w:rPr>
      </w:pPr>
    </w:p>
    <w:p>
      <w:pPr>
        <w:ind w:left="440" w:right="360" w:hanging="43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(SOC2), which provides assurance to our customers that we have adequate controls and safeguards over the processing of their data.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ind w:right="440" w:firstLine="441"/>
        <w:spacing w:after="0" w:line="246" w:lineRule="auto"/>
        <w:rPr>
          <w:sz w:val="20"/>
          <w:szCs w:val="20"/>
          <w:color w:val="auto"/>
        </w:rPr>
      </w:pPr>
      <w:r>
        <w:rPr>
          <w:rFonts w:ascii="Arial" w:cs="Arial" w:eastAsia="Arial" w:hAnsi="Arial"/>
          <w:sz w:val="18"/>
          <w:szCs w:val="18"/>
          <w:color w:val="auto"/>
        </w:rPr>
        <w:t>In 2018, there were no other professional services provided by Grant Thornton that would have required the audit committee to consider their compatibility with maintaining the independence of Grant Thornton.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65" w:right="479" w:bottom="1440" w:gutter="0" w:footer="0" w:header="0"/>
        </w:sectPr>
      </w:pPr>
    </w:p>
    <w:bookmarkStart w:id="22" w:name="page23"/>
    <w:bookmarkEnd w:id="22"/>
    <w:p>
      <w:pPr>
        <w:ind w:right="74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Committee Policy on Pre-Approval of Audit and Permissible Non-Audit Services of Independent Registered Public Accounting Firm</w:t>
      </w:r>
    </w:p>
    <w:p>
      <w:pPr>
        <w:spacing w:after="0" w:line="6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203" w:lineRule="exact"/>
        <w:rPr>
          <w:sz w:val="20"/>
          <w:szCs w:val="20"/>
          <w:color w:val="auto"/>
        </w:rPr>
      </w:pPr>
    </w:p>
    <w:p>
      <w:pPr>
        <w:jc w:val="both"/>
        <w:ind w:right="100" w:firstLine="441"/>
        <w:spacing w:after="0"/>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90" w:lineRule="exact"/>
        <w:rPr>
          <w:sz w:val="20"/>
          <w:szCs w:val="20"/>
          <w:color w:val="auto"/>
        </w:rPr>
      </w:pPr>
    </w:p>
    <w:p>
      <w:pPr>
        <w:ind w:left="860" w:right="20" w:hanging="316"/>
        <w:spacing w:after="0" w:line="251"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the review of financial statements included in our quarterly reports, as well as work that is normally provided by the independent registered public accounting firm in connection with statutory and regulatory filings.</w:t>
      </w:r>
    </w:p>
    <w:p>
      <w:pPr>
        <w:spacing w:after="0" w:line="79" w:lineRule="exact"/>
        <w:rPr>
          <w:rFonts w:ascii="Arial" w:cs="Arial" w:eastAsia="Arial" w:hAnsi="Arial"/>
          <w:sz w:val="18"/>
          <w:szCs w:val="18"/>
          <w:color w:val="auto"/>
        </w:rPr>
      </w:pPr>
    </w:p>
    <w:p>
      <w:pPr>
        <w:ind w:left="860" w:right="620" w:hanging="316"/>
        <w:spacing w:after="0" w:line="267"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covered above under “audit services.”</w:t>
      </w:r>
    </w:p>
    <w:p>
      <w:pPr>
        <w:spacing w:after="0" w:line="66" w:lineRule="exact"/>
        <w:rPr>
          <w:rFonts w:ascii="Arial" w:cs="Arial" w:eastAsia="Arial" w:hAnsi="Arial"/>
          <w:sz w:val="18"/>
          <w:szCs w:val="18"/>
          <w:color w:val="auto"/>
        </w:rPr>
      </w:pPr>
    </w:p>
    <w:p>
      <w:pPr>
        <w:ind w:left="860" w:right="140" w:hanging="316"/>
        <w:spacing w:after="0" w:line="267"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w:t>
      </w:r>
    </w:p>
    <w:p>
      <w:pPr>
        <w:spacing w:after="0" w:line="66" w:lineRule="exact"/>
        <w:rPr>
          <w:rFonts w:ascii="Arial" w:cs="Arial" w:eastAsia="Arial" w:hAnsi="Arial"/>
          <w:sz w:val="18"/>
          <w:szCs w:val="18"/>
          <w:color w:val="auto"/>
        </w:rPr>
      </w:pPr>
    </w:p>
    <w:p>
      <w:pPr>
        <w:ind w:left="860" w:hanging="316"/>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230" w:lineRule="exact"/>
        <w:rPr>
          <w:sz w:val="20"/>
          <w:szCs w:val="20"/>
          <w:color w:val="auto"/>
        </w:rPr>
      </w:pPr>
    </w:p>
    <w:p>
      <w:pPr>
        <w:ind w:right="220" w:firstLine="441"/>
        <w:spacing w:after="0" w:line="237"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GRANT THORNTON LLP.</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65" w:right="4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212" w:lineRule="exact"/>
        <w:rPr>
          <w:sz w:val="20"/>
          <w:szCs w:val="20"/>
          <w:color w:val="auto"/>
        </w:rPr>
      </w:pPr>
    </w:p>
    <w:p>
      <w:pPr>
        <w:ind w:right="20" w:firstLine="441"/>
        <w:spacing w:after="0" w:line="237"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205" w:lineRule="exact"/>
        <w:rPr>
          <w:sz w:val="20"/>
          <w:szCs w:val="20"/>
          <w:color w:val="auto"/>
        </w:rPr>
      </w:pPr>
    </w:p>
    <w:p>
      <w:pPr>
        <w:ind w:right="280" w:firstLine="441"/>
        <w:spacing w:after="0" w:line="253" w:lineRule="auto"/>
        <w:rPr>
          <w:sz w:val="20"/>
          <w:szCs w:val="20"/>
          <w:color w:val="auto"/>
        </w:rPr>
      </w:pPr>
      <w:r>
        <w:rPr>
          <w:rFonts w:ascii="Arial" w:cs="Arial" w:eastAsia="Arial" w:hAnsi="Arial"/>
          <w:sz w:val="17"/>
          <w:szCs w:val="17"/>
          <w:color w:val="auto"/>
        </w:rPr>
        <w:t>The Say-on-Pay vote is advisory, and therefore is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92" w:lineRule="exact"/>
        <w:rPr>
          <w:sz w:val="20"/>
          <w:szCs w:val="20"/>
          <w:color w:val="auto"/>
        </w:rPr>
      </w:pPr>
    </w:p>
    <w:p>
      <w:pPr>
        <w:ind w:right="200" w:firstLine="441"/>
        <w:spacing w:after="0" w:line="238" w:lineRule="auto"/>
        <w:rPr>
          <w:sz w:val="20"/>
          <w:szCs w:val="20"/>
          <w:color w:val="auto"/>
        </w:rPr>
      </w:pPr>
      <w:r>
        <w:rPr>
          <w:rFonts w:ascii="Arial" w:cs="Arial" w:eastAsia="Arial" w:hAnsi="Arial"/>
          <w:sz w:val="18"/>
          <w:szCs w:val="18"/>
          <w:color w:val="auto"/>
        </w:rPr>
        <w:t>We believe that the information provided in the “Executive Compensation” section of this proxy statement, and in particular the information discussed in “Executive Compensation—Compensation Discussion and Analysis—Philosophy and Objectives” beginning on page 27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203" w:lineRule="exact"/>
        <w:rPr>
          <w:sz w:val="20"/>
          <w:szCs w:val="20"/>
          <w:color w:val="auto"/>
        </w:rPr>
      </w:pPr>
    </w:p>
    <w:p>
      <w:pPr>
        <w:ind w:right="580" w:firstLine="441"/>
        <w:spacing w:after="0"/>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Below is a summary of feedback we received from our stockholders during our 2018 outreach and changes we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the pay program in response to stockholder concerns:</w:t>
      </w:r>
    </w:p>
    <w:p>
      <w:pPr>
        <w:sectPr>
          <w:pgSz w:w="11900" w:h="16838" w:orient="portrait"/>
          <w:cols w:equalWidth="0" w:num="1">
            <w:col w:w="11000"/>
          </w:cols>
          <w:pgMar w:left="440" w:top="265" w:right="45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Multiple grants of long-term incentive compensation, which have a total value significantly above that of equity awards granted by members of our compensation peer group to similarly situated executives, should be avoided</w:t>
      </w:r>
    </w:p>
    <w:p>
      <w:pPr>
        <w:spacing w:after="0" w:line="5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 meaningful portion of long-term incentive compensation awards should be performance-based</w:t>
      </w:r>
    </w:p>
    <w:p>
      <w:pPr>
        <w:spacing w:after="0" w:line="4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performance goals for our executives’ performance-based compensation should be based on operational metrics, rather than on our stock price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Granted only one annual equity award to our CEO in December 2018</w:t>
      </w:r>
    </w:p>
    <w:p>
      <w:pPr>
        <w:spacing w:after="0" w:line="200" w:lineRule="exact"/>
        <w:rPr>
          <w:sz w:val="20"/>
          <w:szCs w:val="20"/>
          <w:color w:val="auto"/>
        </w:rPr>
      </w:pPr>
    </w:p>
    <w:p>
      <w:pPr>
        <w:spacing w:after="0" w:line="24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54% of our CEO’s target long-term incentive pay is in the form of performance-based restricted stock units (PRSUs)</w:t>
      </w:r>
    </w:p>
    <w:p>
      <w:pPr>
        <w:spacing w:after="0" w:line="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Tied performance goals to revenue growth and profitability for performance periods beginning in 2019</w:t>
      </w:r>
    </w:p>
    <w:p>
      <w:pPr>
        <w:sectPr>
          <w:pgSz w:w="11900" w:h="16838" w:orient="portrait"/>
          <w:cols w:equalWidth="0" w:num="2">
            <w:col w:w="5620" w:space="240"/>
            <w:col w:w="5140"/>
          </w:cols>
          <w:pgMar w:left="440" w:top="265" w:right="4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heard from stockholders</w:t>
      </w:r>
    </w:p>
    <w:p>
      <w:pPr>
        <w:spacing w:after="0" w:line="13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Additional compensation governance policies should be adopted and clearly disclosed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15"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Structured PRSUs to be over a three-year period for performance periods beginning in 2019</w:t>
      </w:r>
    </w:p>
    <w:p>
      <w:pPr>
        <w:spacing w:after="0" w:line="4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Changed ‘single-trigger’ change in control acceleration to ‘double-trigger’ in new equity awards</w:t>
      </w:r>
    </w:p>
    <w:p>
      <w:pPr>
        <w:spacing w:after="0" w:line="1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Introduced stock ownership guidelines for executive officers and directors</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Adopted a clawback policy for our current and former executive officers</w:t>
      </w:r>
    </w:p>
    <w:p>
      <w:pPr>
        <w:spacing w:after="0" w:line="188" w:lineRule="exact"/>
        <w:rPr>
          <w:sz w:val="20"/>
          <w:szCs w:val="20"/>
          <w:color w:val="auto"/>
        </w:rPr>
      </w:pPr>
    </w:p>
    <w:p>
      <w:pPr>
        <w:sectPr>
          <w:pgSz w:w="11900" w:h="16838" w:orient="portrait"/>
          <w:cols w:equalWidth="0" w:num="2">
            <w:col w:w="5480" w:space="380"/>
            <w:col w:w="5100"/>
          </w:cols>
          <w:pgMar w:left="440" w:top="275" w:right="499" w:bottom="1440" w:gutter="0" w:footer="0" w:header="0"/>
        </w:sectPr>
      </w:pPr>
    </w:p>
    <w:p>
      <w:pPr>
        <w:jc w:val="center"/>
        <w:ind w:left="2180" w:right="2100"/>
        <w:spacing w:after="0" w:line="253"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5" w:right="49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234"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our website at http://investor.qualys.com.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80" w:firstLine="4"/>
        <w:spacing w:after="0" w:line="238"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108" w:lineRule="exact"/>
        <w:rPr>
          <w:rFonts w:ascii="Arial" w:cs="Arial" w:eastAsia="Arial" w:hAnsi="Arial"/>
          <w:sz w:val="18"/>
          <w:szCs w:val="18"/>
          <w:color w:val="auto"/>
        </w:rPr>
      </w:pPr>
    </w:p>
    <w:p>
      <w:pPr>
        <w:ind w:left="860" w:hanging="316"/>
        <w:spacing w:after="0"/>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117" w:lineRule="exact"/>
        <w:rPr>
          <w:rFonts w:ascii="Arial" w:cs="Arial" w:eastAsia="Arial" w:hAnsi="Arial"/>
          <w:sz w:val="18"/>
          <w:szCs w:val="18"/>
          <w:color w:val="auto"/>
        </w:rPr>
      </w:pPr>
    </w:p>
    <w:p>
      <w:pPr>
        <w:ind w:left="860" w:right="800" w:hanging="316"/>
        <w:spacing w:after="0" w:line="246" w:lineRule="auto"/>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1301, Communications with Audit Committees, as adopted by the Public Company Accounting Oversight Board; and</w:t>
      </w:r>
    </w:p>
    <w:p>
      <w:pPr>
        <w:spacing w:after="0" w:line="102" w:lineRule="exact"/>
        <w:rPr>
          <w:rFonts w:ascii="Arial" w:cs="Arial" w:eastAsia="Arial" w:hAnsi="Arial"/>
          <w:sz w:val="18"/>
          <w:szCs w:val="18"/>
          <w:color w:val="auto"/>
        </w:rPr>
      </w:pPr>
    </w:p>
    <w:p>
      <w:pPr>
        <w:ind w:left="860" w:right="80" w:hanging="316"/>
        <w:spacing w:after="0"/>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203"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2018 for filing with the Securities and Exchange Commission.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Jeffrey P. Hank (Chair)</w:t>
      </w:r>
    </w:p>
    <w:p>
      <w:pPr>
        <w:ind w:left="440"/>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Jason Ream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65" w:right="4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234"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The following table identifies certain information about our executive officers as of April 22, 2019. Officers are elected by the board of directors to hold office until their successors are elected and qualified.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7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6"/>
                <w:szCs w:val="16"/>
                <w:color w:val="auto"/>
              </w:rPr>
            </w:pPr>
          </w:p>
        </w:tc>
        <w:tc>
          <w:tcPr>
            <w:tcW w:w="70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20" w:type="dxa"/>
            <w:vAlign w:val="bottom"/>
          </w:tcPr>
          <w:p>
            <w:pPr>
              <w:spacing w:after="0"/>
              <w:rPr>
                <w:sz w:val="17"/>
                <w:szCs w:val="17"/>
                <w:color w:val="auto"/>
              </w:rPr>
            </w:pPr>
          </w:p>
        </w:tc>
        <w:tc>
          <w:tcPr>
            <w:tcW w:w="248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w:t>
            </w:r>
          </w:p>
        </w:tc>
        <w:tc>
          <w:tcPr>
            <w:tcW w:w="728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728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17"/>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7280" w:type="dxa"/>
            <w:vAlign w:val="bottom"/>
            <w:gridSpan w:val="2"/>
          </w:tcPr>
          <w:p>
            <w:pPr>
              <w:ind w:left="260"/>
              <w:spacing w:after="0"/>
              <w:rPr>
                <w:sz w:val="20"/>
                <w:szCs w:val="20"/>
                <w:color w:val="auto"/>
              </w:rPr>
            </w:pPr>
            <w:r>
              <w:rPr>
                <w:rFonts w:ascii="Arial" w:cs="Arial" w:eastAsia="Arial" w:hAnsi="Arial"/>
                <w:sz w:val="18"/>
                <w:szCs w:val="18"/>
                <w:color w:val="auto"/>
              </w:rPr>
              <w:t>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jc w:val="both"/>
        <w:ind w:right="40" w:firstLine="441"/>
        <w:spacing w:after="0" w:line="267"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Please see the section titled “Board of Directors and Corporate Governance”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his biography.</w:t>
      </w:r>
    </w:p>
    <w:p>
      <w:pPr>
        <w:spacing w:after="0" w:line="161" w:lineRule="exact"/>
        <w:rPr>
          <w:sz w:val="20"/>
          <w:szCs w:val="20"/>
          <w:color w:val="auto"/>
        </w:rPr>
      </w:pPr>
    </w:p>
    <w:p>
      <w:pPr>
        <w:ind w:right="340" w:firstLine="441"/>
        <w:spacing w:after="0" w:line="259" w:lineRule="auto"/>
        <w:rPr>
          <w:sz w:val="20"/>
          <w:szCs w:val="20"/>
          <w:color w:val="auto"/>
        </w:rPr>
      </w:pPr>
      <w:r>
        <w:rPr>
          <w:rFonts w:ascii="Arial" w:cs="Arial" w:eastAsia="Arial" w:hAnsi="Arial"/>
          <w:sz w:val="17"/>
          <w:szCs w:val="17"/>
          <w:i w:val="1"/>
          <w:iCs w:val="1"/>
          <w:color w:val="auto"/>
        </w:rPr>
        <w:t xml:space="preserve">Melissa B. Fisher </w:t>
      </w:r>
      <w:r>
        <w:rPr>
          <w:rFonts w:ascii="Arial" w:cs="Arial" w:eastAsia="Arial" w:hAnsi="Arial"/>
          <w:sz w:val="17"/>
          <w:szCs w:val="17"/>
          <w:color w:val="auto"/>
        </w:rPr>
        <w:t>has served as our Chief Financial Officer since April 2016. Ms. Fisher joined us from Zynga Inc., a developer of</w:t>
      </w:r>
      <w:r>
        <w:rPr>
          <w:rFonts w:ascii="Arial" w:cs="Arial" w:eastAsia="Arial" w:hAnsi="Arial"/>
          <w:sz w:val="17"/>
          <w:szCs w:val="17"/>
          <w:i w:val="1"/>
          <w:iCs w:val="1"/>
          <w:color w:val="auto"/>
        </w:rPr>
        <w:t xml:space="preserve"> </w:t>
      </w:r>
      <w:r>
        <w:rPr>
          <w:rFonts w:ascii="Arial" w:cs="Arial" w:eastAsia="Arial" w:hAnsi="Arial"/>
          <w:sz w:val="17"/>
          <w:szCs w:val="17"/>
          <w:color w:val="auto"/>
        </w:rPr>
        <w:t>social games, where she served as the Vice President of Financial Planning and Analysis, Investor Relations and Treasury from April</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2015 to April 2016. Ms. Fisher previously served as Vice President of Corporate Development, Investor Relations and Treasury of Digital River, Inc., a global provider of enterprise e-commerce SaaS solutions, from July 2013 to March 2015. Ms. Fisher spent the earlier parts of her career at various investment banks including Banc of America Securities and Goldman, Sachs &amp; Co. Ms. Fisher currently serves as a director of Model N, Inc., and previously served as a director of Digital Generation, Inc. and Image Sensing Systems, Inc. Ms. Fisher holds a Bachelor of Arts degree in Government from Harvard University and a Masters of Business Administration degree from the Harvard Graduate School of Business Administration.</w:t>
      </w:r>
    </w:p>
    <w:p>
      <w:pPr>
        <w:spacing w:after="0" w:line="187" w:lineRule="exact"/>
        <w:rPr>
          <w:sz w:val="20"/>
          <w:szCs w:val="20"/>
          <w:color w:val="auto"/>
        </w:rPr>
      </w:pPr>
    </w:p>
    <w:p>
      <w:pPr>
        <w:ind w:right="300" w:firstLine="441"/>
        <w:spacing w:after="0" w:line="241"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84" w:lineRule="exact"/>
        <w:rPr>
          <w:sz w:val="20"/>
          <w:szCs w:val="20"/>
          <w:color w:val="auto"/>
        </w:rPr>
      </w:pPr>
    </w:p>
    <w:p>
      <w:pPr>
        <w:jc w:val="both"/>
        <w:ind w:right="200" w:firstLine="441"/>
        <w:spacing w:after="0" w:line="245" w:lineRule="auto"/>
        <w:rPr>
          <w:sz w:val="20"/>
          <w:szCs w:val="20"/>
          <w:color w:val="auto"/>
        </w:rPr>
      </w:pPr>
      <w:r>
        <w:rPr>
          <w:rFonts w:ascii="Arial" w:cs="Arial" w:eastAsia="Arial" w:hAnsi="Arial"/>
          <w:sz w:val="18"/>
          <w:szCs w:val="18"/>
          <w:i w:val="1"/>
          <w:iCs w:val="1"/>
          <w:color w:val="auto"/>
        </w:rPr>
        <w:t xml:space="preserve">Sumedh S. Thakar </w:t>
      </w:r>
      <w:r>
        <w:rPr>
          <w:rFonts w:ascii="Arial" w:cs="Arial" w:eastAsia="Arial" w:hAnsi="Arial"/>
          <w:sz w:val="18"/>
          <w:szCs w:val="18"/>
          <w:color w:val="auto"/>
        </w:rPr>
        <w:t>has served as our Chief Product Officer since June 2014. Before that, beginning in December 2010, Mr. Thakar</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Engineering. Mr. Thakar joined us in February 2003 and has held various positions with us since that time, including Principal Engineer, Engineering Manager and Director of Engineering. Mr. Thakar holds a Bachelor of Science degree from the University of Pune, India.</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440" w:top="265" w:right="4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6" w:lineRule="exact"/>
        <w:rPr>
          <w:sz w:val="20"/>
          <w:szCs w:val="20"/>
          <w:color w:val="auto"/>
        </w:rPr>
      </w:pPr>
    </w:p>
    <w:p>
      <w:pPr>
        <w:ind w:right="80" w:firstLine="441"/>
        <w:spacing w:after="0"/>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executive officers are collectively referred to in this Compensation Discussion and Analysis and the accompanying compensation tables as the “named executive officers”: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1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200" w:type="dxa"/>
            <w:vAlign w:val="bottom"/>
            <w:shd w:val="clear" w:color="auto" w:fill="CCEEFF"/>
          </w:tcPr>
          <w:p>
            <w:pPr>
              <w:spacing w:after="0"/>
              <w:rPr>
                <w:sz w:val="16"/>
                <w:szCs w:val="16"/>
                <w:color w:val="auto"/>
              </w:rPr>
            </w:pPr>
          </w:p>
        </w:tc>
        <w:tc>
          <w:tcPr>
            <w:tcW w:w="7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836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8360" w:type="dxa"/>
            <w:vAlign w:val="bottom"/>
            <w:gridSpan w:val="2"/>
            <w:shd w:val="clear" w:color="auto" w:fill="CCEEFF"/>
          </w:tcPr>
          <w:p>
            <w:pPr>
              <w:ind w:left="1180"/>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20" w:type="dxa"/>
            <w:vAlign w:val="bottom"/>
          </w:tcPr>
          <w:p>
            <w:pPr>
              <w:spacing w:after="0"/>
              <w:rPr>
                <w:sz w:val="17"/>
                <w:szCs w:val="17"/>
                <w:color w:val="auto"/>
              </w:rPr>
            </w:pPr>
          </w:p>
        </w:tc>
        <w:tc>
          <w:tcPr>
            <w:tcW w:w="266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836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Chief Product Officer</w:t>
            </w:r>
          </w:p>
        </w:tc>
      </w:tr>
      <w:tr>
        <w:trPr>
          <w:trHeight w:val="203"/>
        </w:trPr>
        <w:tc>
          <w:tcPr>
            <w:tcW w:w="20" w:type="dxa"/>
            <w:vAlign w:val="bottom"/>
          </w:tcPr>
          <w:p>
            <w:pPr>
              <w:spacing w:after="0"/>
              <w:rPr>
                <w:sz w:val="17"/>
                <w:szCs w:val="17"/>
                <w:color w:val="auto"/>
              </w:rPr>
            </w:pPr>
          </w:p>
        </w:tc>
        <w:tc>
          <w:tcPr>
            <w:tcW w:w="2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8360" w:type="dxa"/>
            <w:vAlign w:val="bottom"/>
            <w:gridSpan w:val="2"/>
            <w:shd w:val="clear" w:color="auto" w:fill="CCEEFF"/>
          </w:tcPr>
          <w:p>
            <w:pPr>
              <w:ind w:left="1180"/>
              <w:spacing w:after="0" w:line="202" w:lineRule="exact"/>
              <w:rPr>
                <w:sz w:val="20"/>
                <w:szCs w:val="20"/>
                <w:color w:val="auto"/>
              </w:rPr>
            </w:pPr>
            <w:r>
              <w:rPr>
                <w:rFonts w:ascii="Arial" w:cs="Arial" w:eastAsia="Arial" w:hAnsi="Arial"/>
                <w:sz w:val="18"/>
                <w:szCs w:val="18"/>
                <w:color w:val="auto"/>
              </w:rPr>
              <w:t>Former Chief Commercial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Deeba resigned from his position with us, effective August 2, 2018.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 Pay and Governance Practices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we do </w:t>
      </w:r>
      <w:r>
        <w:rPr>
          <w:sz w:val="1"/>
          <w:szCs w:val="1"/>
          <w:color w:val="auto"/>
        </w:rPr>
        <w:drawing>
          <wp:inline distT="0" distB="0" distL="0" distR="0">
            <wp:extent cx="154305" cy="1200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120015"/>
                    </a:xfrm>
                    <a:prstGeom prst="rect">
                      <a:avLst/>
                    </a:prstGeom>
                    <a:noFill/>
                    <a:ln>
                      <a:noFill/>
                    </a:ln>
                  </pic:spPr>
                </pic:pic>
              </a:graphicData>
            </a:graphic>
          </wp:inline>
        </w:drawing>
      </w: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balance near- and long-term strategic objectives by providing a mix of cash and equity incentives</w:t>
      </w:r>
    </w:p>
    <w:p>
      <w:pPr>
        <w:spacing w:after="0" w:line="13"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have caps on all executive non-equity incentive awards</w:t>
      </w:r>
    </w:p>
    <w:p>
      <w:pPr>
        <w:spacing w:after="0" w:line="9" w:lineRule="exact"/>
        <w:rPr>
          <w:rFonts w:ascii="MS PGothic" w:cs="MS PGothic" w:eastAsia="MS PGothic" w:hAnsi="MS PGothic"/>
          <w:sz w:val="18"/>
          <w:szCs w:val="18"/>
          <w:color w:val="auto"/>
        </w:rPr>
      </w:pPr>
    </w:p>
    <w:p>
      <w:pPr>
        <w:ind w:left="720" w:right="140" w:hanging="356"/>
        <w:spacing w:after="0" w:line="242" w:lineRule="auto"/>
        <w:tabs>
          <w:tab w:leader="none" w:pos="718"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A substantial portion of our CEO’s 2019 equity award was performance-based equity and the shares underlying this award must be held (net of taxes) for three years from the award’s grant date (i.e. until all performance periods have concluded)</w:t>
      </w:r>
    </w:p>
    <w:p>
      <w:pPr>
        <w:spacing w:after="0" w:line="1"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audit our incentive plan processes, results, and payments on a regular basis</w:t>
      </w:r>
    </w:p>
    <w:p>
      <w:pPr>
        <w:spacing w:after="0" w:line="9" w:lineRule="exact"/>
        <w:rPr>
          <w:rFonts w:ascii="MS PGothic" w:cs="MS PGothic" w:eastAsia="MS PGothic" w:hAnsi="MS PGothic"/>
          <w:sz w:val="18"/>
          <w:szCs w:val="18"/>
          <w:color w:val="auto"/>
        </w:rPr>
      </w:pPr>
    </w:p>
    <w:p>
      <w:pPr>
        <w:ind w:left="720" w:right="620" w:hanging="356"/>
        <w:spacing w:after="0" w:line="242" w:lineRule="auto"/>
        <w:tabs>
          <w:tab w:leader="none" w:pos="725"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hold an annual stockholder advisory vote to approve our named executive officers’ compensation and we engage with stockholders and respond to their feedback on our executive compensation programs</w:t>
      </w:r>
    </w:p>
    <w:p>
      <w:pPr>
        <w:spacing w:after="0" w:line="1"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stock ownership guidelines for our non-employee directors and executive officers</w:t>
      </w:r>
    </w:p>
    <w:p>
      <w:pPr>
        <w:spacing w:after="0" w:line="9"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a clawback policy for our former and current executive officers</w:t>
      </w:r>
    </w:p>
    <w:p>
      <w:pPr>
        <w:spacing w:after="0" w:line="9"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prohibit hedging and pledging of our common stock by our named executive officers and non-employee directors</w:t>
      </w:r>
    </w:p>
    <w:p>
      <w:pPr>
        <w:spacing w:after="0" w:line="9"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Our compensation committee is made up solely of independent directors and makes all executive compensation decisions</w:t>
      </w:r>
    </w:p>
    <w:p>
      <w:pPr>
        <w:spacing w:after="0" w:line="9" w:lineRule="exact"/>
        <w:rPr>
          <w:rFonts w:ascii="MS PGothic" w:cs="MS PGothic" w:eastAsia="MS PGothic" w:hAnsi="MS PGothic"/>
          <w:sz w:val="18"/>
          <w:szCs w:val="18"/>
          <w:color w:val="auto"/>
        </w:rPr>
      </w:pPr>
    </w:p>
    <w:p>
      <w:pPr>
        <w:ind w:left="720" w:hanging="356"/>
        <w:spacing w:after="0"/>
        <w:tabs>
          <w:tab w:leader="none" w:pos="720" w:val="left"/>
        </w:tabs>
        <w:numPr>
          <w:ilvl w:val="0"/>
          <w:numId w:val="26"/>
        </w:numPr>
        <w:rPr>
          <w:rFonts w:ascii="MS PGothic" w:cs="MS PGothic" w:eastAsia="MS PGothic" w:hAnsi="MS PGothic"/>
          <w:sz w:val="18"/>
          <w:szCs w:val="18"/>
          <w:color w:val="auto"/>
        </w:rPr>
      </w:pPr>
      <w:r>
        <w:rPr>
          <w:rFonts w:ascii="Arial" w:cs="Arial" w:eastAsia="Arial" w:hAnsi="Arial"/>
          <w:sz w:val="18"/>
          <w:szCs w:val="18"/>
          <w:i w:val="1"/>
          <w:iCs w:val="1"/>
          <w:color w:val="auto"/>
        </w:rPr>
        <w:t>We review our compensation committee charter on a regular basis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What we don’t do </w:t>
      </w:r>
      <w:r>
        <w:rPr>
          <w:sz w:val="1"/>
          <w:szCs w:val="1"/>
          <w:color w:val="auto"/>
        </w:rPr>
        <w:drawing>
          <wp:inline distT="0" distB="0" distL="0" distR="0">
            <wp:extent cx="146050"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28905"/>
                    </a:xfrm>
                    <a:prstGeom prst="rect">
                      <a:avLst/>
                    </a:prstGeom>
                    <a:noFill/>
                    <a:ln>
                      <a:noFill/>
                    </a:ln>
                  </pic:spPr>
                </pic:pic>
              </a:graphicData>
            </a:graphic>
          </wp:inline>
        </w:drawing>
      </w:r>
    </w:p>
    <w:p>
      <w:pPr>
        <w:ind w:left="720" w:hanging="356"/>
        <w:spacing w:after="0" w:line="236"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tax gross-ups to any of our named executive officers</w:t>
      </w:r>
    </w:p>
    <w:p>
      <w:pPr>
        <w:ind w:left="720" w:hanging="356"/>
        <w:spacing w:after="0" w:line="234"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pay dividends on unvested equity awards</w:t>
      </w:r>
    </w:p>
    <w:p>
      <w:pPr>
        <w:ind w:left="720" w:hanging="356"/>
        <w:spacing w:after="0" w:line="234"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special executive retirement plans to our named executive officers or other executives</w:t>
      </w:r>
    </w:p>
    <w:p>
      <w:pPr>
        <w:ind w:left="720" w:hanging="356"/>
        <w:spacing w:after="0" w:line="234" w:lineRule="auto"/>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provide our named executive officers with perquisites beyond what all employees receive</w:t>
      </w:r>
    </w:p>
    <w:p>
      <w:pPr>
        <w:ind w:left="720" w:hanging="356"/>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guarantee salary increases for our named executive officers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440" w:top="265"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Philosophy and Objectives</w:t>
      </w:r>
    </w:p>
    <w:p>
      <w:pPr>
        <w:spacing w:after="0" w:line="126" w:lineRule="exact"/>
        <w:rPr>
          <w:sz w:val="20"/>
          <w:szCs w:val="20"/>
          <w:color w:val="auto"/>
        </w:rPr>
      </w:pPr>
    </w:p>
    <w:p>
      <w:pPr>
        <w:ind w:right="60" w:firstLine="441"/>
        <w:spacing w:after="0"/>
        <w:rPr>
          <w:sz w:val="20"/>
          <w:szCs w:val="20"/>
          <w:color w:val="auto"/>
        </w:rPr>
      </w:pPr>
      <w:r>
        <w:rPr>
          <w:rFonts w:ascii="Arial" w:cs="Arial" w:eastAsia="Arial" w:hAnsi="Arial"/>
          <w:sz w:val="18"/>
          <w:szCs w:val="18"/>
          <w:color w:val="auto"/>
        </w:rPr>
        <w:t>Our compensation philosophy is to provide programs that attract and retain the best available personnel for positions of substantial responsibility, provide incentives for such persons to perform to the best of their abilities, and to promote the success of our business. The following table identifies the main elements of our executive compensation program and the reason we chose to provide each:</w:t>
      </w:r>
    </w:p>
    <w:p>
      <w:pPr>
        <w:sectPr>
          <w:pgSz w:w="11900" w:h="16838" w:orient="portrait"/>
          <w:cols w:equalWidth="0" w:num="1">
            <w:col w:w="11020"/>
          </w:cols>
          <w:pgMar w:left="440" w:top="265" w:right="4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Non-Equity Incentive Plan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Non-Cash and Non-Equity Benefits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and Severance Payments and Benefits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B5107"/>
        </w:rPr>
        <w:t>Engagement Prior to Annual Meeting</w:t>
      </w:r>
    </w:p>
    <w:p>
      <w:pPr>
        <w:ind w:left="720" w:right="600" w:firstLine="55"/>
        <w:spacing w:after="0" w:line="234" w:lineRule="auto"/>
        <w:rPr>
          <w:sz w:val="20"/>
          <w:szCs w:val="20"/>
          <w:color w:val="auto"/>
        </w:rPr>
      </w:pPr>
      <w:r>
        <w:rPr>
          <w:rFonts w:ascii="Arial" w:cs="Arial" w:eastAsia="Arial" w:hAnsi="Arial"/>
          <w:sz w:val="18"/>
          <w:szCs w:val="18"/>
          <w:color w:val="auto"/>
        </w:rPr>
        <w:t>Seek feedback on matters for stockholder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-220980</wp:posOffset>
            </wp:positionV>
            <wp:extent cx="60325"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720" w:right="480" w:firstLine="55"/>
        <w:spacing w:after="0"/>
        <w:rPr>
          <w:sz w:val="20"/>
          <w:szCs w:val="20"/>
          <w:color w:val="auto"/>
        </w:rPr>
      </w:pPr>
      <w:r>
        <w:rPr>
          <w:rFonts w:ascii="Arial" w:cs="Arial" w:eastAsia="Arial" w:hAnsi="Arial"/>
          <w:sz w:val="18"/>
          <w:szCs w:val="18"/>
          <w:color w:val="auto"/>
        </w:rPr>
        <w:t>Publish annual report and proxy statement, highlighting recent Board and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-358775</wp:posOffset>
            </wp:positionV>
            <wp:extent cx="60325"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2896870</wp:posOffset>
            </wp:positionH>
            <wp:positionV relativeFrom="paragraph">
              <wp:posOffset>-333375</wp:posOffset>
            </wp:positionV>
            <wp:extent cx="5575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530" cy="13716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129540</wp:posOffset>
            </wp:positionV>
            <wp:extent cx="13716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900"/>
        <w:spacing w:after="0" w:line="234" w:lineRule="auto"/>
        <w:rPr>
          <w:sz w:val="20"/>
          <w:szCs w:val="20"/>
          <w:color w:val="auto"/>
        </w:rPr>
      </w:pPr>
      <w:r>
        <w:rPr>
          <w:rFonts w:ascii="Arial" w:cs="Arial" w:eastAsia="Arial" w:hAnsi="Arial"/>
          <w:sz w:val="18"/>
          <w:szCs w:val="18"/>
          <w:color w:val="2B5107"/>
        </w:rPr>
        <w:t>Off-season Engagement and Evaluation of Best Practices</w:t>
      </w:r>
    </w:p>
    <w:p>
      <w:pPr>
        <w:spacing w:after="0" w:line="2" w:lineRule="exact"/>
        <w:rPr>
          <w:sz w:val="20"/>
          <w:szCs w:val="20"/>
          <w:color w:val="auto"/>
        </w:rPr>
      </w:pPr>
    </w:p>
    <w:p>
      <w:pPr>
        <w:ind w:left="720" w:right="760" w:firstLine="55"/>
        <w:spacing w:after="0" w:line="234" w:lineRule="auto"/>
        <w:rPr>
          <w:sz w:val="20"/>
          <w:szCs w:val="20"/>
          <w:color w:val="auto"/>
        </w:rPr>
      </w:pPr>
      <w:r>
        <w:rPr>
          <w:rFonts w:ascii="Arial" w:cs="Arial" w:eastAsia="Arial" w:hAnsi="Arial"/>
          <w:sz w:val="18"/>
          <w:szCs w:val="18"/>
          <w:color w:val="auto"/>
        </w:rPr>
        <w:t>Engage with stockholders and other stakeholders to better understand their viewpoints and inform discussions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-476885</wp:posOffset>
            </wp:positionV>
            <wp:extent cx="60325"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720" w:right="380" w:firstLine="55"/>
        <w:spacing w:after="0" w:line="239" w:lineRule="auto"/>
        <w:rPr>
          <w:sz w:val="20"/>
          <w:szCs w:val="20"/>
          <w:color w:val="auto"/>
        </w:rPr>
      </w:pPr>
      <w:r>
        <w:rPr>
          <w:rFonts w:ascii="Arial" w:cs="Arial" w:eastAsia="Arial" w:hAnsi="Arial"/>
          <w:sz w:val="18"/>
          <w:szCs w:val="18"/>
          <w:color w:val="auto"/>
        </w:rPr>
        <w:t>Evaluate potential changes to environmental, social, governance and executive compensation practices in light of stockholder feedback and review of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-488315</wp:posOffset>
            </wp:positionV>
            <wp:extent cx="6032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Basis for Providing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17780</wp:posOffset>
            </wp:positionV>
            <wp:extent cx="32848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left="440" w:right="360"/>
        <w:spacing w:after="0" w:line="275" w:lineRule="auto"/>
        <w:rPr>
          <w:sz w:val="20"/>
          <w:szCs w:val="20"/>
          <w:color w:val="auto"/>
        </w:rPr>
      </w:pPr>
      <w:r>
        <w:rPr>
          <w:rFonts w:ascii="Arial" w:cs="Arial" w:eastAsia="Arial" w:hAnsi="Arial"/>
          <w:sz w:val="17"/>
          <w:szCs w:val="17"/>
          <w:color w:val="auto"/>
        </w:rPr>
        <w:t>To provide compensation to our named executive officers for services based on their experience and past performance</w:t>
      </w:r>
    </w:p>
    <w:p>
      <w:pPr>
        <w:spacing w:after="0" w:line="65" w:lineRule="exact"/>
        <w:rPr>
          <w:sz w:val="20"/>
          <w:szCs w:val="20"/>
          <w:color w:val="auto"/>
        </w:rPr>
      </w:pPr>
    </w:p>
    <w:p>
      <w:pPr>
        <w:jc w:val="both"/>
        <w:ind w:left="440" w:right="680"/>
        <w:spacing w:after="0"/>
        <w:rPr>
          <w:sz w:val="20"/>
          <w:szCs w:val="20"/>
          <w:color w:val="auto"/>
        </w:rPr>
      </w:pPr>
      <w:r>
        <w:rPr>
          <w:rFonts w:ascii="Arial" w:cs="Arial" w:eastAsia="Arial" w:hAnsi="Arial"/>
          <w:sz w:val="18"/>
          <w:szCs w:val="18"/>
          <w:color w:val="auto"/>
        </w:rPr>
        <w:t>To motivate and reward our named executive officers for focusing on individual and company objectives that drive increased stockholder value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align our named executive officers’ interests with the long-term interests of our stockholders and to promote the retention of our named executive officers</w:t>
      </w:r>
    </w:p>
    <w:p>
      <w:pPr>
        <w:spacing w:after="0" w:line="95" w:lineRule="exact"/>
        <w:rPr>
          <w:sz w:val="20"/>
          <w:szCs w:val="20"/>
          <w:color w:val="auto"/>
        </w:rPr>
      </w:pPr>
    </w:p>
    <w:p>
      <w:pPr>
        <w:ind w:left="440" w:right="240"/>
        <w:spacing w:after="0" w:line="246" w:lineRule="auto"/>
        <w:rPr>
          <w:sz w:val="20"/>
          <w:szCs w:val="20"/>
          <w:color w:val="auto"/>
        </w:rPr>
      </w:pPr>
      <w:r>
        <w:rPr>
          <w:rFonts w:ascii="Arial" w:cs="Arial" w:eastAsia="Arial" w:hAnsi="Arial"/>
          <w:sz w:val="18"/>
          <w:szCs w:val="18"/>
          <w:color w:val="auto"/>
        </w:rPr>
        <w:t>To provide for the safety and wellness of our named executive officers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promote the retention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spacing w:after="0"/>
        <w:rPr>
          <w:sz w:val="20"/>
          <w:szCs w:val="20"/>
          <w:color w:val="auto"/>
        </w:rPr>
      </w:pPr>
      <w:r>
        <w:rPr>
          <w:rFonts w:ascii="Arial" w:cs="Arial" w:eastAsia="Arial" w:hAnsi="Arial"/>
          <w:sz w:val="18"/>
          <w:szCs w:val="18"/>
          <w:color w:val="2B5107"/>
        </w:rPr>
        <w:t>Annual Meeting</w:t>
      </w:r>
    </w:p>
    <w:p>
      <w:pPr>
        <w:ind w:left="1080" w:right="100" w:firstLine="55"/>
        <w:spacing w:after="0" w:line="248" w:lineRule="auto"/>
        <w:rPr>
          <w:sz w:val="20"/>
          <w:szCs w:val="20"/>
          <w:color w:val="auto"/>
        </w:rPr>
      </w:pPr>
      <w:r>
        <w:rPr>
          <w:rFonts w:ascii="Arial" w:cs="Arial" w:eastAsia="Arial" w:hAnsi="Arial"/>
          <w:sz w:val="17"/>
          <w:szCs w:val="17"/>
          <w:color w:val="auto"/>
        </w:rPr>
        <w:t>Provide environment for direct engagement among Board members, senior management,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-220980</wp:posOffset>
            </wp:positionV>
            <wp:extent cx="6032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80" w:right="80" w:firstLine="55"/>
        <w:spacing w:after="0" w:line="234" w:lineRule="auto"/>
        <w:rPr>
          <w:sz w:val="20"/>
          <w:szCs w:val="20"/>
          <w:color w:val="auto"/>
        </w:rPr>
      </w:pPr>
      <w:r>
        <w:rPr>
          <w:rFonts w:ascii="Arial" w:cs="Arial" w:eastAsia="Arial" w:hAnsi="Arial"/>
          <w:sz w:val="18"/>
          <w:szCs w:val="18"/>
          <w:color w:val="auto"/>
        </w:rPr>
        <w:t>Opportunity for stockholders to ask questions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-220980</wp:posOffset>
            </wp:positionV>
            <wp:extent cx="6032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80" w:right="820" w:firstLine="55"/>
        <w:spacing w:after="0" w:line="246" w:lineRule="auto"/>
        <w:rPr>
          <w:sz w:val="20"/>
          <w:szCs w:val="20"/>
          <w:color w:val="auto"/>
        </w:rPr>
      </w:pPr>
      <w:r>
        <w:rPr>
          <w:rFonts w:ascii="Arial" w:cs="Arial" w:eastAsia="Arial" w:hAnsi="Arial"/>
          <w:sz w:val="18"/>
          <w:szCs w:val="18"/>
          <w:color w:val="auto"/>
        </w:rPr>
        <w:t>Determine voting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-233680</wp:posOffset>
            </wp:positionV>
            <wp:extent cx="6032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5715</wp:posOffset>
            </wp:positionV>
            <wp:extent cx="13716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3175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color w:val="2B5107"/>
        </w:rPr>
        <w:t>Post Annual Meeting</w:t>
      </w:r>
    </w:p>
    <w:p>
      <w:pPr>
        <w:spacing w:after="0" w:line="198" w:lineRule="exact"/>
        <w:rPr>
          <w:sz w:val="20"/>
          <w:szCs w:val="20"/>
          <w:color w:val="auto"/>
        </w:rPr>
      </w:pPr>
    </w:p>
    <w:p>
      <w:pPr>
        <w:jc w:val="both"/>
        <w:ind w:left="1080" w:right="140" w:firstLine="55"/>
        <w:spacing w:after="0" w:line="234" w:lineRule="auto"/>
        <w:rPr>
          <w:sz w:val="20"/>
          <w:szCs w:val="20"/>
          <w:color w:val="auto"/>
        </w:rPr>
      </w:pPr>
      <w:r>
        <w:rPr>
          <w:rFonts w:ascii="Arial" w:cs="Arial" w:eastAsia="Arial" w:hAnsi="Arial"/>
          <w:sz w:val="18"/>
          <w:szCs w:val="18"/>
          <w:color w:val="auto"/>
        </w:rPr>
        <w:t>Discuss vote outcomes in light of existing practices, as well as feedback received from stockholders during the proxy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-349250</wp:posOffset>
            </wp:positionV>
            <wp:extent cx="6032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1080" w:right="80" w:firstLine="55"/>
        <w:spacing w:after="0" w:line="238" w:lineRule="auto"/>
        <w:rPr>
          <w:sz w:val="20"/>
          <w:szCs w:val="20"/>
          <w:color w:val="auto"/>
        </w:rPr>
      </w:pPr>
      <w:r>
        <w:rPr>
          <w:rFonts w:ascii="Arial" w:cs="Arial" w:eastAsia="Arial" w:hAnsi="Arial"/>
          <w:sz w:val="18"/>
          <w:szCs w:val="18"/>
          <w:color w:val="auto"/>
        </w:rPr>
        <w:t>Review corporate governance trends, recent regulatory developments and the Company’s own corporate governance documents, policies and procedures Determine topics for discussion during off-season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-590550</wp:posOffset>
            </wp:positionV>
            <wp:extent cx="55753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530" cy="137160"/>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-615950</wp:posOffset>
            </wp:positionV>
            <wp:extent cx="6032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-230505</wp:posOffset>
            </wp:positionV>
            <wp:extent cx="6032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4700" w:space="720"/>
            <w:col w:w="5600"/>
          </w:cols>
          <w:pgMar w:left="440" w:top="265" w:right="4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Engagement and Results of Stockholder Advisory Vote on Executive Compensation</w:t>
      </w:r>
    </w:p>
    <w:p>
      <w:pPr>
        <w:spacing w:after="0" w:line="126"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In 2018, our “Say on Pay” proposal received 38% support, which was significantly below our expectations. As a result of this vote outcome, the compensation committee and management embarked on an extensive stockholder outreach initiative and a comprehensive review of our executive compensation program.</w:t>
      </w:r>
    </w:p>
    <w:p>
      <w:pPr>
        <w:spacing w:after="0" w:line="203" w:lineRule="exact"/>
        <w:rPr>
          <w:sz w:val="20"/>
          <w:szCs w:val="20"/>
          <w:color w:val="auto"/>
        </w:rPr>
      </w:pPr>
    </w:p>
    <w:p>
      <w:pPr>
        <w:ind w:right="300" w:firstLine="441"/>
        <w:spacing w:after="0" w:line="234" w:lineRule="auto"/>
        <w:rPr>
          <w:sz w:val="20"/>
          <w:szCs w:val="20"/>
          <w:color w:val="auto"/>
        </w:rPr>
      </w:pPr>
      <w:r>
        <w:rPr>
          <w:rFonts w:ascii="Arial" w:cs="Arial" w:eastAsia="Arial" w:hAnsi="Arial"/>
          <w:sz w:val="18"/>
          <w:szCs w:val="18"/>
          <w:color w:val="auto"/>
        </w:rPr>
        <w:t>In addition to our ongoing dialogue with our stockholders on our strategy and value proposition, in June and September 2018, we reached out to our top 21 stockholders, who held approximately 55% of our outstanding stock (or 64% excluding stock held by</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Mr. Courtot) as of June 30, 2018, to discuss matters such as the magnitude and composition of executive compensation as well as other governance initiatives. We spoke with 13 stockholders, who held approximately 41% of our outstanding stock (or 48% excluding stock held by Mr. Courtot) as of June 30, 2018.</w:t>
      </w:r>
    </w:p>
    <w:p>
      <w:pPr>
        <w:spacing w:after="0" w:line="203"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We have listened to stockholder concerns about our pay and governance plans and programs and have considered their feedback in our planning process. In response to stockholder input, we made appropriate changes to our compensation programs for 2019 to further align executive pay with shareholder interests and long-term value creation.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outreach included 21 stockholders, who held 64% of our outstanding stock</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(excluding shares held by Philippe Courtot)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152400</wp:posOffset>
            </wp:positionV>
            <wp:extent cx="4545330" cy="20840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453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Below is a summary of feedback we received from our stockholders after our 2018 outreach and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w:t>
      </w:r>
    </w:p>
    <w:p>
      <w:pPr>
        <w:sectPr>
          <w:pgSz w:w="11900" w:h="16838" w:orient="portrait"/>
          <w:cols w:equalWidth="0" w:num="1">
            <w:col w:w="11000"/>
          </w:cols>
          <w:pgMar w:left="440" w:top="265" w:right="45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Multiple grants of long-term incentive compensation, which have a total value significantly above that of equity awards granted by members of our compensation peer group to similarly situated executives, should be avoided</w:t>
      </w:r>
    </w:p>
    <w:p>
      <w:pPr>
        <w:spacing w:after="0" w:line="9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 meaningful portion of long-term incentive compensation awards should be performance-based</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Granted only one annual equity award to our CEO in December 2018</w:t>
      </w:r>
    </w:p>
    <w:p>
      <w:pPr>
        <w:spacing w:after="0" w:line="200" w:lineRule="exact"/>
        <w:rPr>
          <w:sz w:val="20"/>
          <w:szCs w:val="20"/>
          <w:color w:val="auto"/>
        </w:rPr>
      </w:pPr>
    </w:p>
    <w:p>
      <w:pPr>
        <w:spacing w:after="0" w:line="28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54% of our CEO’s target long-term incentive pay is in the form of performance-based restricted stock units (PRSUs)</w:t>
      </w:r>
    </w:p>
    <w:p>
      <w:pPr>
        <w:sectPr>
          <w:pgSz w:w="11900" w:h="16838" w:orient="portrait"/>
          <w:cols w:equalWidth="0" w:num="2">
            <w:col w:w="5620" w:space="240"/>
            <w:col w:w="5140"/>
          </w:cols>
          <w:pgMar w:left="440" w:top="265"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we heard from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for our executives’ performance-based compensation should be based on operational metrics, rather than on our stock price</w:t>
      </w:r>
    </w:p>
    <w:p>
      <w:pPr>
        <w:spacing w:after="0" w:line="9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Additional compensation governance policies should be adopted and clearly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Below are additional details on the changes we implemented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Tied performance goals to revenue growth and profitability for performance periods beginning in 2019</w:t>
      </w:r>
    </w:p>
    <w:p>
      <w:pPr>
        <w:spacing w:after="0" w:line="278"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Structured PRSUs to be over a three-year period for performance periods beginning in 2019</w:t>
      </w:r>
    </w:p>
    <w:p>
      <w:pPr>
        <w:spacing w:after="0" w:line="8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Changed ‘single-trigger’ change in control acceleration to ‘double-trigger’ in new equity awards</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Introduced stock ownership guidelines for executive officers and directors</w:t>
      </w:r>
    </w:p>
    <w:p>
      <w:pPr>
        <w:spacing w:after="0" w:line="10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Adopted a clawback policy for our current and former executive officers</w:t>
      </w:r>
    </w:p>
    <w:p>
      <w:pPr>
        <w:spacing w:after="0" w:line="620" w:lineRule="exact"/>
        <w:rPr>
          <w:sz w:val="20"/>
          <w:szCs w:val="20"/>
          <w:color w:val="auto"/>
        </w:rPr>
      </w:pPr>
    </w:p>
    <w:p>
      <w:pPr>
        <w:sectPr>
          <w:pgSz w:w="11900" w:h="16838" w:orient="portrait"/>
          <w:cols w:equalWidth="0" w:num="2">
            <w:col w:w="5540" w:space="320"/>
            <w:col w:w="5160"/>
          </w:cols>
          <w:pgMar w:left="440" w:top="275" w:right="439" w:bottom="1440" w:gutter="0" w:footer="0" w:header="0"/>
        </w:sectPr>
      </w:pPr>
    </w:p>
    <w:p>
      <w:pPr>
        <w:ind w:left="860" w:hanging="424"/>
        <w:spacing w:after="0" w:line="271"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Returned to granting only one annual equity award to our CEO. </w:t>
      </w:r>
      <w:r>
        <w:rPr>
          <w:rFonts w:ascii="Arial" w:cs="Arial" w:eastAsia="Arial" w:hAnsi="Arial"/>
          <w:sz w:val="18"/>
          <w:szCs w:val="18"/>
          <w:color w:val="auto"/>
        </w:rPr>
        <w:t>We granted Mr. Courtot an award with an intended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$9.25 million in December 2018 at target levels of performance (or $14.25 million at maximum levels of performance).</w:t>
      </w:r>
    </w:p>
    <w:p>
      <w:pPr>
        <w:spacing w:after="0" w:line="59" w:lineRule="exact"/>
        <w:rPr>
          <w:rFonts w:ascii="Arial" w:cs="Arial" w:eastAsia="Arial" w:hAnsi="Arial"/>
          <w:sz w:val="18"/>
          <w:szCs w:val="18"/>
          <w:color w:val="auto"/>
        </w:rPr>
      </w:pPr>
    </w:p>
    <w:p>
      <w:pPr>
        <w:ind w:left="860" w:right="100" w:hanging="424"/>
        <w:spacing w:after="0" w:line="247"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Introduced performance goals for a significant portion of our CEO’s long-term incentive pay. </w:t>
      </w:r>
      <w:r>
        <w:rPr>
          <w:rFonts w:ascii="Arial" w:cs="Arial" w:eastAsia="Arial" w:hAnsi="Arial"/>
          <w:sz w:val="18"/>
          <w:szCs w:val="18"/>
          <w:color w:val="auto"/>
        </w:rPr>
        <w:t>We adjusted the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pay mix for Mr. Courtot, from 100% time-based restricted stock units (“RSUs”) in 2018 to a mix of 54% performance-based restricted stock units (“PRSUs”) and 46% RSUs at target levels of performance (or 70% PRSUs and 30% RSUs at maximum levels of performance) in 2019.</w:t>
      </w:r>
    </w:p>
    <w:p>
      <w:pPr>
        <w:spacing w:after="0" w:line="79" w:lineRule="exact"/>
        <w:rPr>
          <w:rFonts w:ascii="Arial" w:cs="Arial" w:eastAsia="Arial" w:hAnsi="Arial"/>
          <w:sz w:val="18"/>
          <w:szCs w:val="18"/>
          <w:color w:val="auto"/>
        </w:rPr>
      </w:pPr>
    </w:p>
    <w:p>
      <w:pPr>
        <w:ind w:left="860" w:right="60" w:hanging="424"/>
        <w:spacing w:after="0" w:line="244"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Structured our CEO’s PRSUs to be long-term focused. </w:t>
      </w:r>
      <w:r>
        <w:rPr>
          <w:rFonts w:ascii="Arial" w:cs="Arial" w:eastAsia="Arial" w:hAnsi="Arial"/>
          <w:sz w:val="18"/>
          <w:szCs w:val="18"/>
          <w:color w:val="auto"/>
        </w:rPr>
        <w:t>Mr. Courtot’s PRSUs are divided into two tranches. The first tranche</w:t>
      </w:r>
      <w:r>
        <w:rPr>
          <w:rFonts w:ascii="Arial" w:cs="Arial" w:eastAsia="Arial" w:hAnsi="Arial"/>
          <w:sz w:val="18"/>
          <w:szCs w:val="18"/>
          <w:b w:val="1"/>
          <w:bCs w:val="1"/>
          <w:color w:val="auto"/>
        </w:rPr>
        <w:t xml:space="preserve"> </w:t>
      </w:r>
      <w:r>
        <w:rPr>
          <w:rFonts w:ascii="Arial" w:cs="Arial" w:eastAsia="Arial" w:hAnsi="Arial"/>
          <w:sz w:val="18"/>
          <w:szCs w:val="18"/>
          <w:color w:val="auto"/>
        </w:rPr>
        <w:t>will vest based on the achievement of specified performance goals for the three-year period from January 2019 through December 2021. The second tranche will vest in three annual increments, each based on the achievement of specified performance goals for such increment, with any shares issued in settlement of these vested PRSUs required to be held (net of taxes) until the final vesting period is completed.</w:t>
      </w:r>
    </w:p>
    <w:p>
      <w:pPr>
        <w:spacing w:after="0" w:line="82" w:lineRule="exact"/>
        <w:rPr>
          <w:rFonts w:ascii="Arial" w:cs="Arial" w:eastAsia="Arial" w:hAnsi="Arial"/>
          <w:sz w:val="18"/>
          <w:szCs w:val="18"/>
          <w:color w:val="auto"/>
        </w:rPr>
      </w:pPr>
    </w:p>
    <w:p>
      <w:pPr>
        <w:ind w:left="860" w:right="20" w:hanging="424"/>
        <w:spacing w:after="0"/>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Tied performance goals to operational targets (revenue growth and profitability). </w:t>
      </w:r>
      <w:r>
        <w:rPr>
          <w:rFonts w:ascii="Arial" w:cs="Arial" w:eastAsia="Arial" w:hAnsi="Arial"/>
          <w:sz w:val="18"/>
          <w:szCs w:val="18"/>
          <w:color w:val="auto"/>
        </w:rPr>
        <w:t>To create long-term stockholder value,</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tranche of PRSUs will vest based on achievement of goals related to the compound annual growth rate of revenues for a three-year period from January 2019 through December 2021 (“Revenue CAGR”) and adjusted EBITDA margin for the 2021 fiscal year, conditioned on Mr. Courtot’s continuation as CEO through the date that performance is certified. These performance targets were aligned with external 2021 targets provided by management. The second tranche of PRSUs will vest in three annual increments based on the achievement of goals related to revenue growth and adjusted EBITDA margin for each of the 2019, 2020, and 2021 fiscal years, conditioned on Mr. Courtot’s continuation as CEO through the date that performance is certified for the relevant increment.</w:t>
      </w:r>
    </w:p>
    <w:p>
      <w:pPr>
        <w:spacing w:after="0" w:line="86" w:lineRule="exact"/>
        <w:rPr>
          <w:rFonts w:ascii="Arial" w:cs="Arial" w:eastAsia="Arial" w:hAnsi="Arial"/>
          <w:sz w:val="18"/>
          <w:szCs w:val="18"/>
          <w:color w:val="auto"/>
        </w:rPr>
      </w:pPr>
    </w:p>
    <w:p>
      <w:pPr>
        <w:ind w:left="860" w:right="80" w:hanging="424"/>
        <w:spacing w:after="0" w:line="242"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Changed our CEO’s change-in-control vesting acceleration provision from “single-trigger” to “double-trigger” for annual equity grants. </w:t>
      </w:r>
      <w:r>
        <w:rPr>
          <w:rFonts w:ascii="Arial" w:cs="Arial" w:eastAsia="Arial" w:hAnsi="Arial"/>
          <w:sz w:val="18"/>
          <w:szCs w:val="18"/>
          <w:color w:val="auto"/>
        </w:rPr>
        <w:t>The equity awards granted to Mr. Courtot before 2018 include single-trigger vesting acceleration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whereby following a change of control, Mr. Courtot would receive 100% vesting acceleration of these equity awards, subject to his continued service through the transaction. For his equity award granted in 2018, we changed the vesting acceleration benefit to a double-trigger provision, whereby he receives accelerated vesting only if his employment (i) is terminated by reason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5" w:right="439" w:bottom="1440" w:gutter="0" w:footer="0" w:header="0"/>
          <w:type w:val="continuous"/>
        </w:sectPr>
      </w:pPr>
    </w:p>
    <w:bookmarkStart w:id="31" w:name="page32"/>
    <w:bookmarkEnd w:id="31"/>
    <w:p>
      <w:pPr>
        <w:ind w:left="8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 or disability or (ii) is terminated by the Company for reasons other than cause or good reason within 12 months following a change in control.</w:t>
      </w:r>
    </w:p>
    <w:p>
      <w:pPr>
        <w:spacing w:after="0" w:line="80" w:lineRule="exact"/>
        <w:rPr>
          <w:sz w:val="20"/>
          <w:szCs w:val="20"/>
          <w:color w:val="auto"/>
        </w:rPr>
      </w:pPr>
    </w:p>
    <w:p>
      <w:pPr>
        <w:ind w:left="860" w:hanging="424"/>
        <w:spacing w:after="0" w:line="244"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Introduced stock ownership guidelines for non-employee directors and executive officers. </w:t>
      </w:r>
      <w:r>
        <w:rPr>
          <w:rFonts w:ascii="Arial" w:cs="Arial" w:eastAsia="Arial" w:hAnsi="Arial"/>
          <w:sz w:val="18"/>
          <w:szCs w:val="18"/>
          <w:color w:val="auto"/>
        </w:rPr>
        <w:t>We adopted stock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that require (i) each of our non-employee directors to own a number of shares of our common stock with a value equal to at least five times the value of his or her annual retainer, (ii) our CEO to own a number of shares of our common stock with a value equal to at least five times his or her annual base salary, and (iii) each of our other executive officers to own a number of shares of our common stock with a value equal to at least three times his or her annual base salary.</w:t>
      </w:r>
    </w:p>
    <w:p>
      <w:pPr>
        <w:spacing w:after="0" w:line="82" w:lineRule="exact"/>
        <w:rPr>
          <w:rFonts w:ascii="Arial" w:cs="Arial" w:eastAsia="Arial" w:hAnsi="Arial"/>
          <w:sz w:val="18"/>
          <w:szCs w:val="18"/>
          <w:color w:val="auto"/>
        </w:rPr>
      </w:pPr>
    </w:p>
    <w:p>
      <w:pPr>
        <w:ind w:left="860" w:hanging="424"/>
        <w:spacing w:after="0" w:line="24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Adopted a clawback policy for our current and former officers. </w:t>
      </w:r>
      <w:r>
        <w:rPr>
          <w:rFonts w:ascii="Arial" w:cs="Arial" w:eastAsia="Arial" w:hAnsi="Arial"/>
          <w:sz w:val="18"/>
          <w:szCs w:val="18"/>
          <w:color w:val="auto"/>
        </w:rPr>
        <w:t>The clawback policy requires that any current or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repay certain cash-based incentive compensation or performance-based equity compensation to us if our compensation committee determines his or her actions caused or partially caused us to materially restate all or a portion of our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Stockholder Engagement</w:t>
      </w:r>
    </w:p>
    <w:p>
      <w:pPr>
        <w:spacing w:after="0" w:line="126" w:lineRule="exact"/>
        <w:rPr>
          <w:sz w:val="20"/>
          <w:szCs w:val="20"/>
          <w:color w:val="auto"/>
        </w:rPr>
      </w:pPr>
    </w:p>
    <w:p>
      <w:pPr>
        <w:jc w:val="both"/>
        <w:ind w:right="140" w:firstLine="441"/>
        <w:spacing w:after="0" w:line="239" w:lineRule="auto"/>
        <w:rPr>
          <w:sz w:val="20"/>
          <w:szCs w:val="20"/>
          <w:color w:val="auto"/>
        </w:rPr>
      </w:pPr>
      <w:r>
        <w:rPr>
          <w:rFonts w:ascii="Arial" w:cs="Arial" w:eastAsia="Arial" w:hAnsi="Arial"/>
          <w:sz w:val="18"/>
          <w:szCs w:val="18"/>
          <w:color w:val="auto"/>
        </w:rPr>
        <w:t>In 2019, we have reached out to our top 24 stockholders, who held approximately 59% of our outstanding stock (or 69% excluding stock held by Mr. Courtot) as of December 31, 2018, to discuss the changes we had implemented for our 2019 compensation programs and other governance initiatives. To date in 2019, we spoke with 14 stockholders (who held approximately 42% of our outstanding stock (or 49% excluding stock held by Mr. Courtot) as of December 31, 2018).</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Our outreach included </w:t>
      </w:r>
      <w:r>
        <w:rPr>
          <w:rFonts w:ascii="Arial" w:cs="Arial" w:eastAsia="Arial" w:hAnsi="Arial"/>
          <w:sz w:val="18"/>
          <w:szCs w:val="18"/>
          <w:b w:val="1"/>
          <w:bCs w:val="1"/>
          <w:color w:val="60E205"/>
        </w:rPr>
        <w:t>24 stockholders</w:t>
      </w:r>
      <w:r>
        <w:rPr>
          <w:rFonts w:ascii="Arial" w:cs="Arial" w:eastAsia="Arial" w:hAnsi="Arial"/>
          <w:sz w:val="18"/>
          <w:szCs w:val="18"/>
          <w:b w:val="1"/>
          <w:bCs w:val="1"/>
          <w:color w:val="auto"/>
        </w:rPr>
        <w:t xml:space="preserve">, who held </w:t>
      </w:r>
      <w:r>
        <w:rPr>
          <w:rFonts w:ascii="Arial" w:cs="Arial" w:eastAsia="Arial" w:hAnsi="Arial"/>
          <w:sz w:val="18"/>
          <w:szCs w:val="18"/>
          <w:b w:val="1"/>
          <w:bCs w:val="1"/>
          <w:color w:val="60E205"/>
        </w:rPr>
        <w:t>69%</w:t>
      </w:r>
      <w:r>
        <w:rPr>
          <w:rFonts w:ascii="Arial" w:cs="Arial" w:eastAsia="Arial" w:hAnsi="Arial"/>
          <w:sz w:val="18"/>
          <w:szCs w:val="18"/>
          <w:b w:val="1"/>
          <w:bCs w:val="1"/>
          <w:color w:val="auto"/>
        </w:rPr>
        <w:t xml:space="preserve"> of our outstanding stock</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(excluding shares held by Philippe Courtot)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152400</wp:posOffset>
            </wp:positionV>
            <wp:extent cx="4545330" cy="2084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53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stockholders noted their support for the following changes:</w:t>
      </w:r>
    </w:p>
    <w:p>
      <w:pPr>
        <w:spacing w:after="0" w:line="117" w:lineRule="exact"/>
        <w:rPr>
          <w:sz w:val="20"/>
          <w:szCs w:val="20"/>
          <w:color w:val="auto"/>
        </w:rPr>
      </w:pPr>
    </w:p>
    <w:p>
      <w:pPr>
        <w:ind w:left="860" w:right="980" w:hanging="424"/>
        <w:spacing w:after="0" w:line="246"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introduction of PRSUs with a three-year performance period as a component of our CEO’s long-term incentive compensation.</w:t>
      </w:r>
    </w:p>
    <w:p>
      <w:pPr>
        <w:spacing w:after="0" w:line="102" w:lineRule="exact"/>
        <w:rPr>
          <w:rFonts w:ascii="Arial" w:cs="Arial" w:eastAsia="Arial" w:hAnsi="Arial"/>
          <w:sz w:val="18"/>
          <w:szCs w:val="18"/>
          <w:color w:val="auto"/>
        </w:rPr>
      </w:pPr>
    </w:p>
    <w:p>
      <w:pPr>
        <w:ind w:left="860" w:hanging="42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PRSU targets of revenue growth and profitability.</w:t>
      </w:r>
    </w:p>
    <w:p>
      <w:pPr>
        <w:spacing w:after="0" w:line="117" w:lineRule="exact"/>
        <w:rPr>
          <w:rFonts w:ascii="Arial" w:cs="Arial" w:eastAsia="Arial" w:hAnsi="Arial"/>
          <w:sz w:val="18"/>
          <w:szCs w:val="18"/>
          <w:color w:val="auto"/>
        </w:rPr>
      </w:pPr>
    </w:p>
    <w:p>
      <w:pPr>
        <w:ind w:left="860" w:right="20" w:hanging="424"/>
        <w:spacing w:after="0" w:line="246"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introduction of double-trigger vesting acceleration for our CEO’s annual equity award to replace prior single-trigger vesting acceleration upon a change in control.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440" w:top="287" w:right="519" w:bottom="1440" w:gutter="0" w:footer="0" w:header="0"/>
        </w:sectPr>
      </w:pPr>
    </w:p>
    <w:bookmarkStart w:id="32" w:name="page33"/>
    <w:bookmarkEnd w:id="32"/>
    <w:p>
      <w:pPr>
        <w:ind w:left="860" w:right="20" w:hanging="42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new corporate governance initiatives, such as our adoption of Stock Ownership Guidelines for our non-employee directors and executive officers and a robust clawback policy for certain cash-based incentive compensation and performance-based equity compensation paid to our current or former officers.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Highlights</w:t>
      </w:r>
    </w:p>
    <w:p>
      <w:pPr>
        <w:spacing w:after="0" w:line="122"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w:t>
      </w:r>
    </w:p>
    <w:p>
      <w:pPr>
        <w:spacing w:after="0" w:line="203"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205"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We intend to leverage our innovation, extensive expertise and position as a trusted provider of cloud-based security and compliance solutions to continue to grow our revenues and maintain strong profitability. In 2018, we continued our strong financial performance, including achieving the significant financial results set forth in the bullets and graphics below:</w:t>
      </w:r>
    </w:p>
    <w:p>
      <w:pPr>
        <w:spacing w:after="0" w:line="108" w:lineRule="exact"/>
        <w:rPr>
          <w:sz w:val="20"/>
          <w:szCs w:val="20"/>
          <w:color w:val="auto"/>
        </w:rPr>
      </w:pPr>
    </w:p>
    <w:p>
      <w:pPr>
        <w:ind w:left="860" w:right="380" w:hanging="316"/>
        <w:spacing w:after="0" w:line="246"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price of our common stock increased by 26% to $74.74 per share on December 31, 2018, as compared to $59.35 per share on December 29, 2017;</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Revenues increased by 21% to $278.9 million, as compared to $230.8 million in 2017;</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Net income increased by 42% to $57.3 million, as compared to $40.4 million in 2017;</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Non-GAAP Net income increased by 68% to $73.4 million, as compared to $43.7 million in 2017;</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EPS increased by 36% to $1.37, as compared to $1.01 in 2017;</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Non-GAAP EPS increased by 61% to $1.75, as compared to $1.09 in 2017; and</w:t>
      </w:r>
    </w:p>
    <w:p>
      <w:pPr>
        <w:spacing w:after="0" w:line="117" w:lineRule="exact"/>
        <w:rPr>
          <w:rFonts w:ascii="Arial" w:cs="Arial" w:eastAsia="Arial" w:hAnsi="Arial"/>
          <w:sz w:val="18"/>
          <w:szCs w:val="18"/>
          <w:color w:val="auto"/>
        </w:rPr>
      </w:pPr>
    </w:p>
    <w:p>
      <w:pPr>
        <w:ind w:left="860" w:right="360" w:hanging="316"/>
        <w:spacing w:after="0" w:line="246" w:lineRule="auto"/>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32% to $112.4 million, which represents 40% of our 2018 revenues, as compared to $84.9 million in 2017, which represents 37% of our 2017 revenues.</w:t>
      </w:r>
    </w:p>
    <w:p>
      <w:pPr>
        <w:spacing w:after="0" w:line="178" w:lineRule="exact"/>
        <w:rPr>
          <w:rFonts w:ascii="Arial" w:cs="Arial" w:eastAsia="Arial" w:hAnsi="Arial"/>
          <w:sz w:val="18"/>
          <w:szCs w:val="18"/>
          <w:color w:val="auto"/>
        </w:rPr>
      </w:pPr>
    </w:p>
    <w:p>
      <w:pPr>
        <w:ind w:right="80" w:firstLine="441"/>
        <w:spacing w:after="0" w:line="267" w:lineRule="auto"/>
        <w:rPr>
          <w:rFonts w:ascii="Arial" w:cs="Arial" w:eastAsia="Arial" w:hAnsi="Arial"/>
          <w:sz w:val="18"/>
          <w:szCs w:val="18"/>
          <w:color w:val="auto"/>
        </w:rPr>
      </w:pPr>
      <w:r>
        <w:rPr>
          <w:rFonts w:ascii="Arial" w:cs="Arial" w:eastAsia="Arial" w:hAnsi="Arial"/>
          <w:sz w:val="18"/>
          <w:szCs w:val="18"/>
          <w:color w:val="auto"/>
        </w:rPr>
        <w:t>* The reconciliation of net income to Adjusted EBITDA is set forth in the section entitled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in our Annual Report on Form 10-K filed with the SEC on February 27, 2019.</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87" w:right="519" w:bottom="1440" w:gutter="0" w:footer="0" w:header="0"/>
        </w:sectPr>
      </w:pPr>
    </w:p>
    <w:bookmarkStart w:id="33" w:name="page34"/>
    <w:bookmarkEnd w:id="3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2018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97790</wp:posOffset>
            </wp:positionV>
            <wp:extent cx="5188585" cy="5574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8858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Consistent with our pay-for-performance philosophy, our non-equity incentive plan pays cash compensation based on achievement of bookings, revenue growth and non-GAAP EPS. The compensation committee selected these three metrics, which measure sales growth and profitability, as the corporate performance metrics that best support our annual operating plan and enhanced long-term value creation. In 2018, the non-equity incentive plan paid out at 76.2% of target; non-GAAP EPS targets were exceeded but achievement on bookings and revenue growth was below the targets.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40"/>
          </w:cols>
          <w:pgMar w:left="440" w:top="265" w:right="6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Compensation-Setting Process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the Compensation Committee</w:t>
      </w:r>
    </w:p>
    <w:p>
      <w:pPr>
        <w:spacing w:after="0" w:line="122" w:lineRule="exact"/>
        <w:rPr>
          <w:sz w:val="20"/>
          <w:szCs w:val="20"/>
          <w:color w:val="auto"/>
        </w:rPr>
      </w:pPr>
    </w:p>
    <w:p>
      <w:pPr>
        <w:ind w:right="80" w:firstLine="441"/>
        <w:spacing w:after="0"/>
        <w:rPr>
          <w:sz w:val="20"/>
          <w:szCs w:val="20"/>
          <w:color w:val="auto"/>
        </w:rPr>
      </w:pPr>
      <w:r>
        <w:rPr>
          <w:rFonts w:ascii="Arial" w:cs="Arial" w:eastAsia="Arial" w:hAnsi="Arial"/>
          <w:sz w:val="18"/>
          <w:szCs w:val="18"/>
          <w:color w:val="auto"/>
        </w:rPr>
        <w:t>Our compensation committee operates under a written charter adopted by the committee and approved by our board of directors. The charter is available on our website. Each member of our compensation committee qualifies as (i) an “independent director” under the Nasdaq Stock Market requirements, and (ii) a “non-employee director” under Rule 16b-3 of the Exchange Act of 1934.</w:t>
      </w:r>
    </w:p>
    <w:p>
      <w:pPr>
        <w:spacing w:after="0" w:line="203" w:lineRule="exact"/>
        <w:rPr>
          <w:sz w:val="20"/>
          <w:szCs w:val="20"/>
          <w:color w:val="auto"/>
        </w:rPr>
      </w:pPr>
    </w:p>
    <w:p>
      <w:pPr>
        <w:ind w:right="360" w:firstLine="441"/>
        <w:spacing w:after="0"/>
        <w:rPr>
          <w:sz w:val="20"/>
          <w:szCs w:val="20"/>
          <w:color w:val="auto"/>
        </w:rPr>
      </w:pPr>
      <w:r>
        <w:rPr>
          <w:rFonts w:ascii="Arial" w:cs="Arial" w:eastAsia="Arial" w:hAnsi="Arial"/>
          <w:sz w:val="18"/>
          <w:szCs w:val="18"/>
          <w:color w:val="auto"/>
        </w:rPr>
        <w:t>Our compensation committee oversees our overall compensation philosophy, compensation plans, and benefits programs. Our compensation committee is responsible for reviewing, approving, and administering our annual and long-term incentive compensation plans and our employee benefit plans and for administering our equity incentive plans.</w:t>
      </w:r>
    </w:p>
    <w:p>
      <w:pPr>
        <w:spacing w:after="0" w:line="203"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color w:val="auto"/>
        </w:rPr>
        <w:t>To this end, our compensation committee establishes the performance objectives and certifies the performance achievement under our annual and long-term incentive compensation plans and approves the grant of equity awards under our equity incentive plans. Our compensation committee also reviews on a periodic basis the operations of our executive compensation program to determine whether they are properly coordinated and achieving their intended purposes. If our compensation committee determines that any aspect of our executive compensation program yields payments and benefits that are not reasonably related to executive and corporate performance, the committee may take steps to modify the program.</w:t>
      </w:r>
    </w:p>
    <w:p>
      <w:pPr>
        <w:spacing w:after="0" w:line="205"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Our compensation committee has the authority to engage independent outside consultants and obtain input from our management team, other employees, and external advisers. In 2018, our compensation committee engaged Compensia, Inc., or Compensia, a third party compensation consultant, to assist us with respect to the compensation of our executive officers, including our named executive officers.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Compensation Consultant</w:t>
      </w:r>
    </w:p>
    <w:p>
      <w:pPr>
        <w:spacing w:after="0" w:line="122" w:lineRule="exact"/>
        <w:rPr>
          <w:sz w:val="20"/>
          <w:szCs w:val="20"/>
          <w:color w:val="auto"/>
        </w:rPr>
      </w:pPr>
    </w:p>
    <w:p>
      <w:pPr>
        <w:ind w:right="100" w:firstLine="441"/>
        <w:spacing w:after="0" w:line="234" w:lineRule="auto"/>
        <w:rPr>
          <w:sz w:val="20"/>
          <w:szCs w:val="20"/>
          <w:color w:val="auto"/>
        </w:rPr>
      </w:pPr>
      <w:r>
        <w:rPr>
          <w:rFonts w:ascii="Arial" w:cs="Arial" w:eastAsia="Arial" w:hAnsi="Arial"/>
          <w:sz w:val="18"/>
          <w:szCs w:val="18"/>
          <w:color w:val="auto"/>
        </w:rPr>
        <w:t>In 2018, Compensia provided data on the compensation provided to executives in our compensation peer group and the market in general. The compensation peer group is selected on the basis of relevant industry, size, location and comparability of the business. This data was considered by our compensation committee in setting executive compensation in 2018. This process involved Compensia analyzing, reviewing and making recommendations to our compensation committee regarding (i) the compensation peer group and</w:t>
      </w:r>
    </w:p>
    <w:p>
      <w:pPr>
        <w:spacing w:after="0" w:line="3" w:lineRule="exact"/>
        <w:rPr>
          <w:sz w:val="20"/>
          <w:szCs w:val="20"/>
          <w:color w:val="auto"/>
        </w:rPr>
      </w:pPr>
    </w:p>
    <w:p>
      <w:pPr>
        <w:ind w:firstLine="4"/>
        <w:spacing w:after="0" w:line="237" w:lineRule="auto"/>
        <w:tabs>
          <w:tab w:leader="none" w:pos="2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In 2018, Compensia did not provide any services to us or receive any payments from us, except in its capacity as a consultant to our compensation committee. Based on the consideration of the various factors as set forth in the rules of the SEC and the Nasdaq Stock Market, our compensation committee believes that its relationship with Compensia and the work of Compensia on behalf of the committee has not raised any conflicts of interest.</w:t>
      </w:r>
    </w:p>
    <w:p>
      <w:pPr>
        <w:spacing w:after="0" w:line="95" w:lineRule="exact"/>
        <w:rPr>
          <w:sz w:val="20"/>
          <w:szCs w:val="20"/>
          <w:color w:val="auto"/>
        </w:rPr>
      </w:pPr>
    </w:p>
    <w:p>
      <w:pPr>
        <w:ind w:right="80" w:firstLine="441"/>
        <w:spacing w:after="0" w:line="239" w:lineRule="auto"/>
        <w:rPr>
          <w:sz w:val="20"/>
          <w:szCs w:val="20"/>
          <w:color w:val="auto"/>
        </w:rPr>
      </w:pPr>
      <w:r>
        <w:rPr>
          <w:rFonts w:ascii="Arial" w:cs="Arial" w:eastAsia="Arial" w:hAnsi="Arial"/>
          <w:sz w:val="18"/>
          <w:szCs w:val="18"/>
          <w:color w:val="auto"/>
        </w:rPr>
        <w:t>Effective February 2019, our compensation committee engaged Mercer (US) Inc. (Mercer), to provide advice and recommendations on executive officer and board of director compensation programs on a go-forward basis. Our engagement with Mercer includes substantially similar services as previously provided by Compensia, as noted above, and also includes support in refining our compensation programs to respond to the feedback we received from our stockholders in 2018.</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65" w:right="479" w:bottom="1440" w:gutter="0" w:footer="0" w:header="0"/>
        </w:sectPr>
      </w:pPr>
    </w:p>
    <w:bookmarkStart w:id="35" w:name="page36"/>
    <w:bookmarkEnd w:id="35"/>
    <w:p>
      <w:pPr>
        <w:jc w:val="both"/>
        <w:ind w:right="480" w:firstLine="44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2018, Mercer did not provide any services to us or receive any payments from us. Based on the consideration of the various factors set forth in the rules of the SEC and the Nasdaq Stock Market, our compensation committee believes that its relationship with Mercer and the work of Mercer on behalf of the committee has not raised any conflicts of interest.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Management</w:t>
      </w:r>
    </w:p>
    <w:p>
      <w:pPr>
        <w:spacing w:after="0" w:line="122" w:lineRule="exact"/>
        <w:rPr>
          <w:sz w:val="20"/>
          <w:szCs w:val="20"/>
          <w:color w:val="auto"/>
        </w:rPr>
      </w:pPr>
    </w:p>
    <w:p>
      <w:pPr>
        <w:ind w:right="120" w:firstLine="441"/>
        <w:spacing w:after="0" w:line="261" w:lineRule="auto"/>
        <w:rPr>
          <w:sz w:val="20"/>
          <w:szCs w:val="20"/>
          <w:color w:val="auto"/>
        </w:rPr>
      </w:pPr>
      <w:r>
        <w:rPr>
          <w:rFonts w:ascii="Arial" w:cs="Arial" w:eastAsia="Arial" w:hAnsi="Arial"/>
          <w:sz w:val="17"/>
          <w:szCs w:val="17"/>
          <w:color w:val="auto"/>
        </w:rPr>
        <w:t>During 2018, Ms. Fisher, Mr. Posey, and Rima Touma-Bruno, our Chief Human Resources Officer, typically attended our compensation committee’s meetings. Our compensation committee may invite to its meetings any other person that it deems appropriate. No named executive officer attends the portions of a meeting during which decisions regarding his or her compensation are made.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Companies</w:t>
      </w:r>
    </w:p>
    <w:p>
      <w:pPr>
        <w:spacing w:after="0" w:line="126" w:lineRule="exact"/>
        <w:rPr>
          <w:sz w:val="20"/>
          <w:szCs w:val="20"/>
          <w:color w:val="auto"/>
        </w:rPr>
      </w:pPr>
    </w:p>
    <w:p>
      <w:pPr>
        <w:ind w:right="280" w:firstLine="441"/>
        <w:spacing w:after="0"/>
        <w:rPr>
          <w:sz w:val="20"/>
          <w:szCs w:val="20"/>
          <w:color w:val="auto"/>
        </w:rPr>
      </w:pPr>
      <w:r>
        <w:rPr>
          <w:rFonts w:ascii="Arial" w:cs="Arial" w:eastAsia="Arial" w:hAnsi="Arial"/>
          <w:sz w:val="18"/>
          <w:szCs w:val="18"/>
          <w:color w:val="auto"/>
        </w:rPr>
        <w:t>With the assistance of Compensia, our compensation committee approved a list of peer companies for the committee to use in conducting a competitive market analysis of executive officer compensation. To represent the market in which we compete for talent we consider four primary company characteristics in determining the peer group each year:</w:t>
      </w:r>
    </w:p>
    <w:p>
      <w:pPr>
        <w:spacing w:after="0" w:line="108" w:lineRule="exact"/>
        <w:rPr>
          <w:sz w:val="20"/>
          <w:szCs w:val="20"/>
          <w:color w:val="auto"/>
        </w:rPr>
      </w:pPr>
    </w:p>
    <w:p>
      <w:pPr>
        <w:ind w:left="860" w:hanging="4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 and market capitalization.</w:t>
      </w:r>
    </w:p>
    <w:p>
      <w:pPr>
        <w:spacing w:after="0" w:line="117" w:lineRule="exact"/>
        <w:rPr>
          <w:rFonts w:ascii="Arial" w:cs="Arial" w:eastAsia="Arial" w:hAnsi="Arial"/>
          <w:sz w:val="18"/>
          <w:szCs w:val="18"/>
          <w:color w:val="auto"/>
        </w:rPr>
      </w:pPr>
    </w:p>
    <w:p>
      <w:pPr>
        <w:ind w:left="860" w:hanging="4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Software, Internet Software &amp; Services, and Technology Hardware &amp; Equipment GICS sub-industry.</w:t>
      </w:r>
    </w:p>
    <w:p>
      <w:pPr>
        <w:spacing w:after="0" w:line="117" w:lineRule="exact"/>
        <w:rPr>
          <w:rFonts w:ascii="Arial" w:cs="Arial" w:eastAsia="Arial" w:hAnsi="Arial"/>
          <w:sz w:val="18"/>
          <w:szCs w:val="18"/>
          <w:color w:val="auto"/>
        </w:rPr>
      </w:pPr>
    </w:p>
    <w:p>
      <w:pPr>
        <w:ind w:left="860" w:hanging="4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117" w:lineRule="exact"/>
        <w:rPr>
          <w:rFonts w:ascii="Arial" w:cs="Arial" w:eastAsia="Arial" w:hAnsi="Arial"/>
          <w:sz w:val="18"/>
          <w:szCs w:val="18"/>
          <w:color w:val="auto"/>
        </w:rPr>
      </w:pPr>
    </w:p>
    <w:p>
      <w:pPr>
        <w:ind w:left="860" w:hanging="4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Primarily companies in Northern California.</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of the public companies that our compensation committee approved as our compensation peer group in</w:t>
      </w:r>
    </w:p>
    <w:p>
      <w:pPr>
        <w:spacing w:after="0"/>
        <w:rPr>
          <w:sz w:val="20"/>
          <w:szCs w:val="20"/>
          <w:color w:val="auto"/>
        </w:rPr>
      </w:pPr>
      <w:r>
        <w:rPr>
          <w:rFonts w:ascii="Arial" w:cs="Arial" w:eastAsia="Arial" w:hAnsi="Arial"/>
          <w:sz w:val="18"/>
          <w:szCs w:val="18"/>
          <w:color w:val="auto"/>
        </w:rPr>
        <w:t>September 2017 and that was used to set 2018 compensation:</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Barracuda Networks, Inc.</w:t>
            </w:r>
          </w:p>
        </w:tc>
        <w:tc>
          <w:tcPr>
            <w:tcW w:w="4020" w:type="dxa"/>
            <w:vAlign w:val="bottom"/>
            <w:tcBorders>
              <w:top w:val="single" w:sz="8" w:color="auto"/>
            </w:tcBorders>
          </w:tcPr>
          <w:p>
            <w:pPr>
              <w:ind w:left="1520"/>
              <w:spacing w:after="0" w:line="195" w:lineRule="exact"/>
              <w:rPr>
                <w:sz w:val="20"/>
                <w:szCs w:val="20"/>
                <w:color w:val="auto"/>
              </w:rPr>
            </w:pPr>
            <w:r>
              <w:rPr>
                <w:rFonts w:ascii="Arial" w:cs="Arial" w:eastAsia="Arial" w:hAnsi="Arial"/>
                <w:sz w:val="18"/>
                <w:szCs w:val="18"/>
                <w:color w:val="auto"/>
              </w:rPr>
              <w:t>Imperva Inc.</w:t>
            </w:r>
          </w:p>
        </w:tc>
        <w:tc>
          <w:tcPr>
            <w:tcW w:w="348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Q2 Holdings, Inc.</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Callidus Software Inc.</w:t>
            </w:r>
          </w:p>
        </w:tc>
        <w:tc>
          <w:tcPr>
            <w:tcW w:w="4020" w:type="dxa"/>
            <w:vAlign w:val="bottom"/>
          </w:tcPr>
          <w:p>
            <w:pPr>
              <w:ind w:left="1520"/>
              <w:spacing w:after="0" w:line="202" w:lineRule="exact"/>
              <w:rPr>
                <w:sz w:val="20"/>
                <w:szCs w:val="20"/>
                <w:color w:val="auto"/>
              </w:rPr>
            </w:pPr>
            <w:r>
              <w:rPr>
                <w:rFonts w:ascii="Arial" w:cs="Arial" w:eastAsia="Arial" w:hAnsi="Arial"/>
                <w:sz w:val="18"/>
                <w:szCs w:val="18"/>
                <w:color w:val="auto"/>
              </w:rPr>
              <w:t>LogMeIn,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Rapid7, Inc.</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Ellie Mae, Inc.</w:t>
            </w:r>
          </w:p>
        </w:tc>
        <w:tc>
          <w:tcPr>
            <w:tcW w:w="4020" w:type="dxa"/>
            <w:vAlign w:val="bottom"/>
          </w:tcPr>
          <w:p>
            <w:pPr>
              <w:ind w:left="1520"/>
              <w:spacing w:after="0" w:line="202" w:lineRule="exact"/>
              <w:rPr>
                <w:sz w:val="20"/>
                <w:szCs w:val="20"/>
                <w:color w:val="auto"/>
              </w:rPr>
            </w:pPr>
            <w:r>
              <w:rPr>
                <w:rFonts w:ascii="Arial" w:cs="Arial" w:eastAsia="Arial" w:hAnsi="Arial"/>
                <w:sz w:val="18"/>
                <w:szCs w:val="18"/>
                <w:color w:val="auto"/>
              </w:rPr>
              <w:t>MINDBODY,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SecureWorks Corp.</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020" w:type="dxa"/>
            <w:vAlign w:val="bottom"/>
          </w:tcPr>
          <w:p>
            <w:pPr>
              <w:ind w:left="1520"/>
              <w:spacing w:after="0" w:line="202" w:lineRule="exact"/>
              <w:rPr>
                <w:sz w:val="20"/>
                <w:szCs w:val="20"/>
                <w:color w:val="auto"/>
              </w:rPr>
            </w:pPr>
            <w:r>
              <w:rPr>
                <w:rFonts w:ascii="Arial" w:cs="Arial" w:eastAsia="Arial" w:hAnsi="Arial"/>
                <w:sz w:val="18"/>
                <w:szCs w:val="18"/>
                <w:color w:val="auto"/>
              </w:rPr>
              <w:t>MuleSoft,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020" w:type="dxa"/>
            <w:vAlign w:val="bottom"/>
          </w:tcPr>
          <w:p>
            <w:pPr>
              <w:ind w:left="1520"/>
              <w:spacing w:after="0" w:line="202" w:lineRule="exact"/>
              <w:rPr>
                <w:sz w:val="20"/>
                <w:szCs w:val="20"/>
                <w:color w:val="auto"/>
              </w:rPr>
            </w:pPr>
            <w:r>
              <w:rPr>
                <w:rFonts w:ascii="Arial" w:cs="Arial" w:eastAsia="Arial" w:hAnsi="Arial"/>
                <w:sz w:val="18"/>
                <w:szCs w:val="18"/>
                <w:color w:val="auto"/>
              </w:rPr>
              <w:t>Palo Alto Networks</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SPS Commerce, Inc.</w:t>
            </w:r>
          </w:p>
        </w:tc>
      </w:tr>
      <w:tr>
        <w:trPr>
          <w:trHeight w:val="217"/>
        </w:trPr>
        <w:tc>
          <w:tcPr>
            <w:tcW w:w="3540" w:type="dxa"/>
            <w:vAlign w:val="bottom"/>
          </w:tcPr>
          <w:p>
            <w:pPr>
              <w:spacing w:after="0"/>
              <w:rPr>
                <w:sz w:val="20"/>
                <w:szCs w:val="20"/>
                <w:color w:val="auto"/>
              </w:rPr>
            </w:pPr>
            <w:r>
              <w:rPr>
                <w:rFonts w:ascii="Arial" w:cs="Arial" w:eastAsia="Arial" w:hAnsi="Arial"/>
                <w:sz w:val="18"/>
                <w:szCs w:val="18"/>
                <w:color w:val="auto"/>
              </w:rPr>
              <w:t>Gigamon Inc.</w:t>
            </w:r>
          </w:p>
        </w:tc>
        <w:tc>
          <w:tcPr>
            <w:tcW w:w="4020" w:type="dxa"/>
            <w:vAlign w:val="bottom"/>
          </w:tcPr>
          <w:p>
            <w:pPr>
              <w:ind w:left="1520"/>
              <w:spacing w:after="0"/>
              <w:rPr>
                <w:sz w:val="20"/>
                <w:szCs w:val="20"/>
                <w:color w:val="auto"/>
              </w:rPr>
            </w:pPr>
            <w:r>
              <w:rPr>
                <w:rFonts w:ascii="Arial" w:cs="Arial" w:eastAsia="Arial" w:hAnsi="Arial"/>
                <w:sz w:val="18"/>
                <w:szCs w:val="18"/>
                <w:color w:val="auto"/>
              </w:rPr>
              <w:t>Proofpoint, Inc.</w:t>
            </w:r>
          </w:p>
        </w:tc>
        <w:tc>
          <w:tcPr>
            <w:tcW w:w="3480" w:type="dxa"/>
            <w:vAlign w:val="bottom"/>
          </w:tcPr>
          <w:p>
            <w:pPr>
              <w:ind w:left="960"/>
              <w:spacing w:after="0"/>
              <w:rPr>
                <w:sz w:val="20"/>
                <w:szCs w:val="20"/>
                <w:color w:val="auto"/>
              </w:rPr>
            </w:pPr>
            <w:r>
              <w:rPr>
                <w:rFonts w:ascii="Arial" w:cs="Arial" w:eastAsia="Arial" w:hAnsi="Arial"/>
                <w:sz w:val="18"/>
                <w:szCs w:val="18"/>
                <w:color w:val="auto"/>
              </w:rPr>
              <w:t>Varonis Systems, Inc.</w:t>
            </w:r>
          </w:p>
        </w:tc>
      </w:tr>
      <w:tr>
        <w:trPr>
          <w:trHeight w:val="351"/>
        </w:trPr>
        <w:tc>
          <w:tcPr>
            <w:tcW w:w="3540" w:type="dxa"/>
            <w:vAlign w:val="bottom"/>
          </w:tcPr>
          <w:p>
            <w:pPr>
              <w:spacing w:after="0"/>
              <w:rPr>
                <w:sz w:val="24"/>
                <w:szCs w:val="24"/>
                <w:color w:val="auto"/>
              </w:rPr>
            </w:pPr>
          </w:p>
        </w:tc>
        <w:tc>
          <w:tcPr>
            <w:tcW w:w="4020" w:type="dxa"/>
            <w:vAlign w:val="bottom"/>
          </w:tcPr>
          <w:p>
            <w:pPr>
              <w:ind w:left="1880"/>
              <w:spacing w:after="0"/>
              <w:rPr>
                <w:sz w:val="20"/>
                <w:szCs w:val="20"/>
                <w:color w:val="auto"/>
              </w:rPr>
            </w:pPr>
            <w:r>
              <w:rPr>
                <w:rFonts w:ascii="Arial" w:cs="Arial" w:eastAsia="Arial" w:hAnsi="Arial"/>
                <w:sz w:val="18"/>
                <w:szCs w:val="18"/>
                <w:color w:val="auto"/>
              </w:rPr>
              <w:t>34</w:t>
            </w:r>
          </w:p>
        </w:tc>
        <w:tc>
          <w:tcPr>
            <w:tcW w:w="3480" w:type="dxa"/>
            <w:vAlign w:val="bottom"/>
          </w:tcPr>
          <w:p>
            <w:pPr>
              <w:spacing w:after="0"/>
              <w:rPr>
                <w:sz w:val="24"/>
                <w:szCs w:val="24"/>
                <w:color w:val="auto"/>
              </w:rPr>
            </w:pPr>
          </w:p>
        </w:tc>
      </w:tr>
    </w:tbl>
    <w:p>
      <w:pPr>
        <w:sectPr>
          <w:pgSz w:w="11900" w:h="16838" w:orient="portrait"/>
          <w:cols w:equalWidth="0" w:num="1">
            <w:col w:w="11040"/>
          </w:cols>
          <w:pgMar w:left="440" w:top="287" w:right="419" w:bottom="1440" w:gutter="0" w:footer="0" w:header="0"/>
        </w:sectPr>
      </w:pPr>
    </w:p>
    <w:bookmarkStart w:id="36" w:name="page37"/>
    <w:bookmarkEnd w:id="36"/>
    <w:p>
      <w:pPr>
        <w:ind w:right="200" w:firstLine="441"/>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assistance of Compensia, our compensation committee updated the compensation peer group in July 2018 to remove the companies no longer public, and reapply our peer group selection criteria given our continued growth and performance. This resulted in adding five new peer companies to the group and removing four companies. The following is a list of the public companies that our compensation committee approved as our compensation peer group in July 2018 that was used to set compensation for 2019:</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AppFolio, Inc.</w:t>
            </w:r>
          </w:p>
        </w:tc>
        <w:tc>
          <w:tcPr>
            <w:tcW w:w="4340" w:type="dxa"/>
            <w:vAlign w:val="bottom"/>
            <w:tcBorders>
              <w:top w:val="single" w:sz="8" w:color="auto"/>
            </w:tcBorders>
          </w:tcPr>
          <w:p>
            <w:pPr>
              <w:ind w:left="1840"/>
              <w:spacing w:after="0" w:line="195" w:lineRule="exact"/>
              <w:rPr>
                <w:sz w:val="20"/>
                <w:szCs w:val="20"/>
                <w:color w:val="auto"/>
              </w:rPr>
            </w:pPr>
            <w:r>
              <w:rPr>
                <w:rFonts w:ascii="Arial" w:cs="Arial" w:eastAsia="Arial" w:hAnsi="Arial"/>
                <w:sz w:val="18"/>
                <w:szCs w:val="18"/>
                <w:color w:val="auto"/>
              </w:rPr>
              <w:t>LogMeIn, Inc.</w:t>
            </w:r>
          </w:p>
        </w:tc>
        <w:tc>
          <w:tcPr>
            <w:tcW w:w="348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Rapid7,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Ellie Mae, Inc.</w:t>
            </w:r>
          </w:p>
        </w:tc>
        <w:tc>
          <w:tcPr>
            <w:tcW w:w="4340" w:type="dxa"/>
            <w:vAlign w:val="bottom"/>
          </w:tcPr>
          <w:p>
            <w:pPr>
              <w:ind w:left="1840"/>
              <w:spacing w:after="0" w:line="202" w:lineRule="exact"/>
              <w:rPr>
                <w:sz w:val="20"/>
                <w:szCs w:val="20"/>
                <w:color w:val="auto"/>
              </w:rPr>
            </w:pPr>
            <w:r>
              <w:rPr>
                <w:rFonts w:ascii="Arial" w:cs="Arial" w:eastAsia="Arial" w:hAnsi="Arial"/>
                <w:sz w:val="18"/>
                <w:szCs w:val="18"/>
                <w:color w:val="auto"/>
              </w:rPr>
              <w:t>MINDBODY,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SecureWorks Corp.</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340" w:type="dxa"/>
            <w:vAlign w:val="bottom"/>
          </w:tcPr>
          <w:p>
            <w:pPr>
              <w:ind w:left="1840"/>
              <w:spacing w:after="0" w:line="202" w:lineRule="exact"/>
              <w:rPr>
                <w:sz w:val="20"/>
                <w:szCs w:val="20"/>
                <w:color w:val="auto"/>
              </w:rPr>
            </w:pPr>
            <w:r>
              <w:rPr>
                <w:rFonts w:ascii="Arial" w:cs="Arial" w:eastAsia="Arial" w:hAnsi="Arial"/>
                <w:sz w:val="18"/>
                <w:szCs w:val="18"/>
                <w:color w:val="auto"/>
              </w:rPr>
              <w:t>New Relic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340" w:type="dxa"/>
            <w:vAlign w:val="bottom"/>
          </w:tcPr>
          <w:p>
            <w:pPr>
              <w:ind w:left="1840"/>
              <w:spacing w:after="0" w:line="202" w:lineRule="exact"/>
              <w:rPr>
                <w:sz w:val="20"/>
                <w:szCs w:val="20"/>
                <w:color w:val="auto"/>
              </w:rPr>
            </w:pPr>
            <w:r>
              <w:rPr>
                <w:rFonts w:ascii="Arial" w:cs="Arial" w:eastAsia="Arial" w:hAnsi="Arial"/>
                <w:sz w:val="18"/>
                <w:szCs w:val="18"/>
                <w:color w:val="auto"/>
              </w:rPr>
              <w:t>Palo Alto Networks</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Hortonworks, Inc.</w:t>
            </w:r>
          </w:p>
        </w:tc>
        <w:tc>
          <w:tcPr>
            <w:tcW w:w="4340" w:type="dxa"/>
            <w:vAlign w:val="bottom"/>
          </w:tcPr>
          <w:p>
            <w:pPr>
              <w:ind w:left="1840"/>
              <w:spacing w:after="0" w:line="202" w:lineRule="exact"/>
              <w:rPr>
                <w:sz w:val="20"/>
                <w:szCs w:val="20"/>
                <w:color w:val="auto"/>
              </w:rPr>
            </w:pPr>
            <w:r>
              <w:rPr>
                <w:rFonts w:ascii="Arial" w:cs="Arial" w:eastAsia="Arial" w:hAnsi="Arial"/>
                <w:sz w:val="18"/>
                <w:szCs w:val="18"/>
                <w:color w:val="auto"/>
              </w:rPr>
              <w:t>Proofpoint,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Varonis Systems, Inc.</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HubSpot, Inc.</w:t>
            </w:r>
          </w:p>
        </w:tc>
        <w:tc>
          <w:tcPr>
            <w:tcW w:w="4340" w:type="dxa"/>
            <w:vAlign w:val="bottom"/>
          </w:tcPr>
          <w:p>
            <w:pPr>
              <w:ind w:left="1840"/>
              <w:spacing w:after="0" w:line="202" w:lineRule="exact"/>
              <w:rPr>
                <w:sz w:val="20"/>
                <w:szCs w:val="20"/>
                <w:color w:val="auto"/>
              </w:rPr>
            </w:pPr>
            <w:r>
              <w:rPr>
                <w:rFonts w:ascii="Arial" w:cs="Arial" w:eastAsia="Arial" w:hAnsi="Arial"/>
                <w:sz w:val="18"/>
                <w:szCs w:val="18"/>
                <w:color w:val="auto"/>
              </w:rPr>
              <w:t>Q2 Holdings, Inc.</w:t>
            </w:r>
          </w:p>
        </w:tc>
        <w:tc>
          <w:tcPr>
            <w:tcW w:w="3480" w:type="dxa"/>
            <w:vAlign w:val="bottom"/>
          </w:tcPr>
          <w:p>
            <w:pPr>
              <w:ind w:left="960"/>
              <w:spacing w:after="0" w:line="202" w:lineRule="exact"/>
              <w:rPr>
                <w:sz w:val="20"/>
                <w:szCs w:val="20"/>
                <w:color w:val="auto"/>
              </w:rPr>
            </w:pPr>
            <w:r>
              <w:rPr>
                <w:rFonts w:ascii="Arial" w:cs="Arial" w:eastAsia="Arial" w:hAnsi="Arial"/>
                <w:sz w:val="18"/>
                <w:szCs w:val="18"/>
                <w:color w:val="auto"/>
              </w:rPr>
              <w:t>Zendesk, Inc.</w:t>
            </w: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Imperva Inc.</w:t>
            </w:r>
          </w:p>
        </w:tc>
        <w:tc>
          <w:tcPr>
            <w:tcW w:w="4340" w:type="dxa"/>
            <w:vAlign w:val="bottom"/>
          </w:tcPr>
          <w:p>
            <w:pPr>
              <w:spacing w:after="0"/>
              <w:rPr>
                <w:sz w:val="18"/>
                <w:szCs w:val="18"/>
                <w:color w:val="auto"/>
              </w:rPr>
            </w:pPr>
          </w:p>
        </w:tc>
        <w:tc>
          <w:tcPr>
            <w:tcW w:w="3480" w:type="dxa"/>
            <w:vAlign w:val="bottom"/>
          </w:tcPr>
          <w:p>
            <w:pPr>
              <w:spacing w:after="0"/>
              <w:rPr>
                <w:sz w:val="18"/>
                <w:szCs w:val="18"/>
                <w:color w:val="auto"/>
              </w:rPr>
            </w:pPr>
          </w:p>
        </w:tc>
      </w:tr>
    </w:tbl>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Peer Data</w:t>
      </w:r>
    </w:p>
    <w:p>
      <w:pPr>
        <w:spacing w:after="0" w:line="122" w:lineRule="exact"/>
        <w:rPr>
          <w:sz w:val="20"/>
          <w:szCs w:val="20"/>
          <w:color w:val="auto"/>
        </w:rPr>
      </w:pPr>
    </w:p>
    <w:p>
      <w:pPr>
        <w:ind w:right="100" w:firstLine="441"/>
        <w:spacing w:after="0" w:line="237" w:lineRule="auto"/>
        <w:rPr>
          <w:sz w:val="20"/>
          <w:szCs w:val="20"/>
          <w:color w:val="auto"/>
        </w:rPr>
      </w:pPr>
      <w:r>
        <w:rPr>
          <w:rFonts w:ascii="Arial" w:cs="Arial" w:eastAsia="Arial" w:hAnsi="Arial"/>
          <w:sz w:val="18"/>
          <w:szCs w:val="18"/>
          <w:color w:val="auto"/>
        </w:rPr>
        <w:t>Our compensation committee uses the compensation peer group and market data provided by Compensia (including custom cuts of survey data from Radford) to obtain a general understanding of compensation practices within our compensation peer group and the market in general. In setting the various elements of compensation for the named executive officers, our compensation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440" w:top="287"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 Mix</w:t>
      </w:r>
    </w:p>
    <w:p>
      <w:pPr>
        <w:spacing w:after="0" w:line="126"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As shown in the charts below, a significant portion of the target total direct compensation for the named executive officers that remained employed with us through the end of fiscal 2018 is at-risk variable pay (96.3% for the CEO and 93.1% for the NEOs other than Messrs. Courtot and Deeba). For the chart showing the target total direct compensation of the named executive officers (other than Messrs. Courtot and Deeba), each figure was separately calculated for each named executive officer, and the percentages shown in the chart represent the average of the figures for the three named executive officers.</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500" w:type="dxa"/>
            <w:vAlign w:val="bottom"/>
          </w:tcPr>
          <w:p>
            <w:pPr>
              <w:jc w:val="center"/>
              <w:ind w:right="570"/>
              <w:spacing w:after="0"/>
              <w:rPr>
                <w:sz w:val="20"/>
                <w:szCs w:val="20"/>
                <w:color w:val="auto"/>
              </w:rPr>
            </w:pPr>
            <w:r>
              <w:rPr>
                <w:rFonts w:ascii="Arial" w:cs="Arial" w:eastAsia="Arial" w:hAnsi="Arial"/>
                <w:sz w:val="18"/>
                <w:szCs w:val="18"/>
                <w:b w:val="1"/>
                <w:bCs w:val="1"/>
                <w:color w:val="auto"/>
              </w:rPr>
              <w:t>CEO</w:t>
            </w:r>
          </w:p>
        </w:tc>
        <w:tc>
          <w:tcPr>
            <w:tcW w:w="5420" w:type="dxa"/>
            <w:vAlign w:val="bottom"/>
          </w:tcPr>
          <w:p>
            <w:pPr>
              <w:ind w:left="640"/>
              <w:spacing w:after="0"/>
              <w:rPr>
                <w:sz w:val="20"/>
                <w:szCs w:val="20"/>
                <w:color w:val="auto"/>
              </w:rPr>
            </w:pPr>
            <w:r>
              <w:rPr>
                <w:rFonts w:ascii="Arial" w:cs="Arial" w:eastAsia="Arial" w:hAnsi="Arial"/>
                <w:sz w:val="18"/>
                <w:szCs w:val="18"/>
                <w:b w:val="1"/>
                <w:bCs w:val="1"/>
                <w:color w:val="auto"/>
                <w:w w:val="99"/>
              </w:rPr>
              <w:t>NEOS (OTHER THAN MESSRS. COURTOT AND DEEBA)</w:t>
            </w:r>
          </w:p>
        </w:tc>
      </w:tr>
      <w:tr>
        <w:trPr>
          <w:trHeight w:val="252"/>
        </w:trPr>
        <w:tc>
          <w:tcPr>
            <w:tcW w:w="4500" w:type="dxa"/>
            <w:vAlign w:val="bottom"/>
          </w:tcPr>
          <w:p>
            <w:pPr>
              <w:jc w:val="center"/>
              <w:ind w:right="570"/>
              <w:spacing w:after="0"/>
              <w:rPr>
                <w:sz w:val="20"/>
                <w:szCs w:val="20"/>
                <w:color w:val="auto"/>
              </w:rPr>
            </w:pPr>
            <w:r>
              <w:rPr>
                <w:rFonts w:ascii="Arial" w:cs="Arial" w:eastAsia="Arial" w:hAnsi="Arial"/>
                <w:sz w:val="18"/>
                <w:szCs w:val="18"/>
                <w:b w:val="1"/>
                <w:bCs w:val="1"/>
                <w:color w:val="auto"/>
                <w:w w:val="99"/>
              </w:rPr>
              <w:t>2018 TARGET COMPENSATION STRUCTURE</w:t>
            </w:r>
          </w:p>
        </w:tc>
        <w:tc>
          <w:tcPr>
            <w:tcW w:w="5420" w:type="dxa"/>
            <w:vAlign w:val="bottom"/>
          </w:tcPr>
          <w:p>
            <w:pPr>
              <w:ind w:left="660"/>
              <w:spacing w:after="0"/>
              <w:rPr>
                <w:sz w:val="20"/>
                <w:szCs w:val="20"/>
                <w:color w:val="auto"/>
              </w:rPr>
            </w:pPr>
            <w:r>
              <w:rPr>
                <w:rFonts w:ascii="Arial" w:cs="Arial" w:eastAsia="Arial" w:hAnsi="Arial"/>
                <w:sz w:val="18"/>
                <w:szCs w:val="18"/>
                <w:b w:val="1"/>
                <w:bCs w:val="1"/>
                <w:color w:val="auto"/>
                <w:w w:val="98"/>
              </w:rPr>
              <w:t>AVERAGE 2018 TARGET COMPENSATION STRUCTURE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128905</wp:posOffset>
            </wp:positionV>
            <wp:extent cx="5994400" cy="259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9440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126"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2018.</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12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 length negotiation. Our compensation committee typically reviews and considers adjustments to our named executive officers’ base salaries on an annual basis. When doing so, our compensation committee takes into account factors such as the named executive officer’s experience, skills, knowledge, responsibilities, and performance and the prevailing market conditions.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65" w:right="479" w:bottom="1440" w:gutter="0" w:footer="0" w:header="0"/>
        </w:sectPr>
      </w:pPr>
    </w:p>
    <w:bookmarkStart w:id="38" w:name="page39"/>
    <w:bookmarkEnd w:id="38"/>
    <w:p>
      <w:pPr>
        <w:ind w:firstLine="441"/>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compensation committee reviewed our executive compensation program, including base salary for our named executive officers. The committee evaluated the peer group compensation data provided by Compensia and other relevant factors, and determined, based on its judgment, that similar to 2017, no adjustments to the base salaries of our named executive officers should be made. Each named executive officer’s base salary during 2018 is listed in the table below.</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5900" w:type="dxa"/>
            <w:vAlign w:val="bottom"/>
            <w:gridSpan w:val="2"/>
          </w:tcPr>
          <w:p>
            <w:pPr>
              <w:jc w:val="right"/>
              <w:spacing w:after="0"/>
              <w:rPr>
                <w:sz w:val="20"/>
                <w:szCs w:val="20"/>
                <w:color w:val="auto"/>
              </w:rPr>
            </w:pPr>
            <w:r>
              <w:rPr>
                <w:rFonts w:ascii="Arial" w:cs="Arial" w:eastAsia="Arial" w:hAnsi="Arial"/>
                <w:sz w:val="14"/>
                <w:szCs w:val="14"/>
                <w:b w:val="1"/>
                <w:bCs w:val="1"/>
                <w:color w:val="auto"/>
              </w:rPr>
              <w:t>Base Salary</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Base Salary</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rPr>
              <w:t>for 2017</w:t>
            </w:r>
          </w:p>
        </w:tc>
        <w:tc>
          <w:tcPr>
            <w:tcW w:w="580" w:type="dxa"/>
            <w:vAlign w:val="bottom"/>
          </w:tcPr>
          <w:p>
            <w:pPr>
              <w:spacing w:after="0"/>
              <w:rPr>
                <w:sz w:val="15"/>
                <w:szCs w:val="15"/>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rPr>
              <w:t>for 2018</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50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$ 375,000</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$ 375,000</w:t>
            </w:r>
          </w:p>
        </w:tc>
        <w:tc>
          <w:tcPr>
            <w:tcW w:w="5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5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325,000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275,000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275,000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5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325,000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5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740" w:firstLine="441"/>
        <w:spacing w:after="0" w:line="267" w:lineRule="auto"/>
        <w:rPr>
          <w:sz w:val="20"/>
          <w:szCs w:val="20"/>
          <w:color w:val="auto"/>
        </w:rPr>
      </w:pPr>
      <w:r>
        <w:rPr>
          <w:rFonts w:ascii="Arial" w:cs="Arial" w:eastAsia="Arial" w:hAnsi="Arial"/>
          <w:sz w:val="18"/>
          <w:szCs w:val="18"/>
          <w:color w:val="auto"/>
        </w:rPr>
        <w:t>The total base salaries paid to our named executive officers during 2018 are set forth in the section entitled “</w:t>
      </w:r>
      <w:r>
        <w:rPr>
          <w:rFonts w:ascii="Arial" w:cs="Arial" w:eastAsia="Arial" w:hAnsi="Arial"/>
          <w:sz w:val="18"/>
          <w:szCs w:val="18"/>
          <w:i w:val="1"/>
          <w:iCs w:val="1"/>
          <w:color w:val="auto"/>
        </w:rPr>
        <w:t>2018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Non-Equity Incentive Plan Compensation</w:t>
      </w:r>
    </w:p>
    <w:p>
      <w:pPr>
        <w:spacing w:after="0" w:line="122"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committee selects challenging goals that are achievable only by strong performance.</w:t>
      </w:r>
    </w:p>
    <w:p>
      <w:pPr>
        <w:spacing w:after="0" w:line="202"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Our named executive officers participated in our 2018 Corporate Bonus Plan, which provides them with an opportunity to receive formula-based incentive amounts on a quarterly basis. Our compensation committee decided this was the most appropriate measure of time to determine achievement of short-term goals because it aligns with the time periods for which we give external guidance. Our named executive officers’ target bonus opportunities under the 2018 Corporate Bonus Plan are expressed as percentages of their base salaries as of the last day of the applicable quarter. For 2018, these percentages remained unchanged from 2017 and 2016, and the performance metrics used to determine bonuses continued to be (i) growth in our bookings for the applicable quarter over the same quarter of the prior year, (ii) growth in revenue from the same quarter in 2017 and (iii) non-GAAP earnings per diluted share, with all three metrics weighted equally. Our compensation committee selected these three metrics, which measure sales growth and profitability, as the corporate performance metrics that best supported our annual operating plan and enhanced long-term value creation.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three metrics were calculated as follows:</w:t>
      </w:r>
    </w:p>
    <w:p>
      <w:pPr>
        <w:spacing w:after="0" w:line="117" w:lineRule="exact"/>
        <w:rPr>
          <w:sz w:val="20"/>
          <w:szCs w:val="20"/>
          <w:color w:val="auto"/>
        </w:rPr>
      </w:pPr>
    </w:p>
    <w:p>
      <w:pPr>
        <w:ind w:left="860" w:right="120" w:hanging="316"/>
        <w:spacing w:after="0" w:line="239"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107" w:lineRule="exact"/>
        <w:rPr>
          <w:rFonts w:ascii="Arial" w:cs="Arial" w:eastAsia="Arial" w:hAnsi="Arial"/>
          <w:sz w:val="18"/>
          <w:szCs w:val="18"/>
          <w:color w:val="auto"/>
        </w:rPr>
      </w:pPr>
    </w:p>
    <w:p>
      <w:pPr>
        <w:ind w:left="860" w:hanging="316"/>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was determined in accordance with GAAP and set forth in our quarterly and annual financial statements.</w:t>
      </w:r>
    </w:p>
    <w:p>
      <w:pPr>
        <w:spacing w:after="0" w:line="117" w:lineRule="exact"/>
        <w:rPr>
          <w:rFonts w:ascii="Arial" w:cs="Arial" w:eastAsia="Arial" w:hAnsi="Arial"/>
          <w:sz w:val="18"/>
          <w:szCs w:val="18"/>
          <w:color w:val="auto"/>
        </w:rPr>
      </w:pPr>
    </w:p>
    <w:p>
      <w:pPr>
        <w:ind w:left="860" w:right="80" w:hanging="316"/>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Non-GAAP earnings per diluted share measure was calculated as GAAP net income less stock-based compensation expense, acquisition-related expenses (except for ordinary course advisory fees), and non-recurring charges under the 2018 Corporate Bonus Plan, divided by weighted average shares (diluted) for the applicable quarter.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87" w:right="439" w:bottom="1440" w:gutter="0" w:footer="0" w:header="0"/>
        </w:sectPr>
      </w:pPr>
    </w:p>
    <w:bookmarkStart w:id="39" w:name="page40"/>
    <w:bookmarkEnd w:id="39"/>
    <w:p>
      <w:pPr>
        <w:ind w:right="80" w:firstLine="441"/>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could be evaluated on organic foreseeable results rather than extraordinary transactions outside the scope of the compensation committee’s forecasts. No adjustments were made in 2018.</w:t>
      </w:r>
    </w:p>
    <w:p>
      <w:pPr>
        <w:spacing w:after="0" w:line="205" w:lineRule="exact"/>
        <w:rPr>
          <w:sz w:val="20"/>
          <w:szCs w:val="20"/>
          <w:color w:val="auto"/>
        </w:rPr>
      </w:pPr>
    </w:p>
    <w:p>
      <w:pPr>
        <w:ind w:right="560" w:firstLine="441"/>
        <w:spacing w:after="0"/>
        <w:rPr>
          <w:sz w:val="20"/>
          <w:szCs w:val="20"/>
          <w:color w:val="auto"/>
        </w:rPr>
      </w:pPr>
      <w:r>
        <w:rPr>
          <w:rFonts w:ascii="Arial" w:cs="Arial" w:eastAsia="Arial" w:hAnsi="Arial"/>
          <w:sz w:val="18"/>
          <w:szCs w:val="18"/>
          <w:color w:val="auto"/>
        </w:rPr>
        <w:t>For 2018, each named executive officer’s target bonus opportunity (expressed as a percentage of his or her base salary in the applicable quarter) remained unchanged from 2017 and is listed in the table below. Each named executive officer’s target bonus opportunity represents the maximum amount that the named executive officer could receive under the 2018 Corporate Bonus Plan.</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660" w:type="dxa"/>
            <w:vAlign w:val="bottom"/>
            <w:gridSpan w:val="2"/>
          </w:tcPr>
          <w:p>
            <w:pPr>
              <w:jc w:val="center"/>
              <w:ind w:left="5514"/>
              <w:spacing w:after="0"/>
              <w:rPr>
                <w:sz w:val="20"/>
                <w:szCs w:val="20"/>
                <w:color w:val="auto"/>
              </w:rPr>
            </w:pPr>
            <w:r>
              <w:rPr>
                <w:rFonts w:ascii="Arial" w:cs="Arial" w:eastAsia="Arial" w:hAnsi="Arial"/>
                <w:sz w:val="14"/>
                <w:szCs w:val="14"/>
                <w:b w:val="1"/>
                <w:bCs w:val="1"/>
                <w:color w:val="auto"/>
              </w:rPr>
              <w:t>(and Maximum)</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56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Bonus for 2018</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56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6660" w:type="dxa"/>
            <w:vAlign w:val="bottom"/>
            <w:gridSpan w:val="2"/>
          </w:tcPr>
          <w:p>
            <w:pPr>
              <w:jc w:val="center"/>
              <w:ind w:left="5494"/>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6660" w:type="dxa"/>
            <w:vAlign w:val="bottom"/>
            <w:gridSpan w:val="2"/>
            <w:shd w:val="clear" w:color="auto" w:fill="CCEEFF"/>
          </w:tcPr>
          <w:p>
            <w:pPr>
              <w:jc w:val="center"/>
              <w:ind w:left="5494"/>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6660" w:type="dxa"/>
            <w:vAlign w:val="bottom"/>
            <w:gridSpan w:val="2"/>
          </w:tcPr>
          <w:p>
            <w:pPr>
              <w:jc w:val="center"/>
              <w:ind w:left="5494"/>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6660" w:type="dxa"/>
            <w:vAlign w:val="bottom"/>
            <w:gridSpan w:val="2"/>
            <w:shd w:val="clear" w:color="auto" w:fill="CCEEFF"/>
          </w:tcPr>
          <w:p>
            <w:pPr>
              <w:jc w:val="center"/>
              <w:ind w:left="5494"/>
              <w:spacing w:after="0" w:line="20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target award amounts for our named executive officers in each quarter of 2018 were as follows: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Corporate Bonus Plan Target Awards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Q1</w:t>
            </w:r>
          </w:p>
        </w:tc>
        <w:tc>
          <w:tcPr>
            <w:tcW w:w="38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Q3</w:t>
            </w:r>
          </w:p>
        </w:tc>
        <w:tc>
          <w:tcPr>
            <w:tcW w:w="38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432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5"/>
                <w:szCs w:val="15"/>
                <w:color w:val="auto"/>
              </w:rPr>
            </w:pPr>
          </w:p>
        </w:tc>
        <w:tc>
          <w:tcPr>
            <w:tcW w:w="66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3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$ 375,000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34,375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34,375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34,375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34,375</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4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40,625</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4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37,500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37,500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37,500</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37,500</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441"/>
        <w:spacing w:after="0"/>
        <w:rPr>
          <w:sz w:val="20"/>
          <w:szCs w:val="20"/>
          <w:color w:val="auto"/>
        </w:rPr>
      </w:pPr>
      <w:r>
        <w:rPr>
          <w:rFonts w:ascii="Arial" w:cs="Arial" w:eastAsia="Arial" w:hAnsi="Arial"/>
          <w:sz w:val="18"/>
          <w:szCs w:val="18"/>
          <w:color w:val="auto"/>
        </w:rPr>
        <w:t>Each named executive officer’s bonus is paid as a percentage of his or her target incentive amount based on the weighted average of the payout percentages for each applicable measure. To be eligible for a quarterly bonus payment under our 2018 Corporate Bonus Plan, an individual must be employed as of the last day of the quarter.</w:t>
      </w:r>
    </w:p>
    <w:p>
      <w:pPr>
        <w:spacing w:after="0" w:line="203" w:lineRule="exact"/>
        <w:rPr>
          <w:sz w:val="20"/>
          <w:szCs w:val="20"/>
          <w:color w:val="auto"/>
        </w:rPr>
      </w:pPr>
    </w:p>
    <w:p>
      <w:pPr>
        <w:ind w:right="560" w:firstLine="441"/>
        <w:spacing w:after="0" w:line="246" w:lineRule="auto"/>
        <w:rPr>
          <w:sz w:val="20"/>
          <w:szCs w:val="20"/>
          <w:color w:val="auto"/>
        </w:rPr>
      </w:pPr>
      <w:r>
        <w:rPr>
          <w:rFonts w:ascii="Arial" w:cs="Arial" w:eastAsia="Arial" w:hAnsi="Arial"/>
          <w:sz w:val="18"/>
          <w:szCs w:val="18"/>
          <w:color w:val="auto"/>
        </w:rPr>
        <w:t>Based on the achievement against the applicable performance measures discussed below, the quarterly and aggregate actual amounts awarded for 2018 to our named executive officers were as follows: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2018 Corporate Bonus Plan—Actual Award Amount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860" w:type="dxa"/>
            <w:vAlign w:val="bottom"/>
            <w:gridSpan w:val="2"/>
          </w:tcPr>
          <w:p>
            <w:pPr>
              <w:jc w:val="right"/>
              <w:spacing w:after="0"/>
              <w:rPr>
                <w:sz w:val="20"/>
                <w:szCs w:val="20"/>
                <w:color w:val="auto"/>
              </w:rPr>
            </w:pPr>
            <w:r>
              <w:rPr>
                <w:rFonts w:ascii="Arial" w:cs="Arial" w:eastAsia="Arial" w:hAnsi="Arial"/>
                <w:sz w:val="14"/>
                <w:szCs w:val="14"/>
                <w:b w:val="1"/>
                <w:bCs w:val="1"/>
                <w:color w:val="auto"/>
              </w:rPr>
              <w:t>Q1 Award</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Q2 Award</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Q3 Award</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Q4 Award</w:t>
            </w:r>
          </w:p>
        </w:tc>
        <w:tc>
          <w:tcPr>
            <w:tcW w:w="3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4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$ 92,587</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$ 85,084</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$ 57,098</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1"/>
              </w:rPr>
              <w:t>$ 50,984</w:t>
            </w: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2"/>
              </w:rPr>
              <w:t>$ 285,753</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40,121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36,870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24,742</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22,093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123,826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33,948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31,198</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20,936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18,694</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104,776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Sumedh S. Thakar</w:t>
            </w:r>
          </w:p>
        </w:tc>
        <w:tc>
          <w:tcPr>
            <w:tcW w:w="4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40,121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36,870</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24,742</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22,093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123,826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Deeba</w:t>
            </w:r>
          </w:p>
        </w:tc>
        <w:tc>
          <w:tcPr>
            <w:tcW w:w="4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37,035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34,034</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71,068**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80" w:type="dxa"/>
            <w:vAlign w:val="bottom"/>
          </w:tcPr>
          <w:p>
            <w:pPr>
              <w:jc w:val="right"/>
              <w:ind w:right="193"/>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87" w:right="419" w:bottom="1440" w:gutter="0" w:footer="0" w:header="0"/>
        </w:sectPr>
      </w:pPr>
    </w:p>
    <w:bookmarkStart w:id="40" w:name="page41"/>
    <w:bookmarkEnd w:id="40"/>
    <w:p>
      <w:pPr>
        <w:ind w:left="440" w:hanging="436"/>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269240</wp:posOffset>
            </wp:positionV>
            <wp:extent cx="6946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 cy="8890"/>
                    </a:xfrm>
                    <a:prstGeom prst="rect">
                      <a:avLst/>
                    </a:prstGeom>
                    <a:noFill/>
                  </pic:spPr>
                </pic:pic>
              </a:graphicData>
            </a:graphic>
          </wp:anchor>
        </w:drawing>
        <w:t>Mr. Deeba resigned from his position effective August 2, 2018.</w:t>
      </w: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total amount does not equal the sum of the quarterly payouts due to rounding.</w:t>
      </w:r>
    </w:p>
    <w:p>
      <w:pPr>
        <w:spacing w:after="0" w:line="212" w:lineRule="exact"/>
        <w:rPr>
          <w:sz w:val="20"/>
          <w:szCs w:val="20"/>
          <w:color w:val="auto"/>
        </w:rPr>
      </w:pPr>
    </w:p>
    <w:p>
      <w:pPr>
        <w:ind w:right="620" w:firstLine="441"/>
        <w:spacing w:after="0" w:line="246" w:lineRule="auto"/>
        <w:rPr>
          <w:sz w:val="20"/>
          <w:szCs w:val="20"/>
          <w:color w:val="auto"/>
        </w:rPr>
      </w:pPr>
      <w:r>
        <w:rPr>
          <w:rFonts w:ascii="Arial" w:cs="Arial" w:eastAsia="Arial" w:hAnsi="Arial"/>
          <w:sz w:val="18"/>
          <w:szCs w:val="18"/>
          <w:color w:val="auto"/>
        </w:rPr>
        <w:t>For each of the three equally-weighted measures, the payout percentage was capped at 100%. Our compensation committee believed that achieving the top end of the targets would be sufficiently challenging and incentivize top end performance.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Q2</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Q3</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3"/>
              </w:rPr>
              <w:t>Target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spacing w:after="0" w:line="155" w:lineRule="exact"/>
              <w:rPr>
                <w:sz w:val="20"/>
                <w:szCs w:val="20"/>
                <w:color w:val="auto"/>
              </w:rPr>
            </w:pPr>
            <w:r>
              <w:rPr>
                <w:rFonts w:ascii="Arial" w:cs="Arial" w:eastAsia="Arial" w:hAnsi="Arial"/>
                <w:sz w:val="14"/>
                <w:szCs w:val="14"/>
                <w:b w:val="1"/>
                <w:bCs w:val="1"/>
                <w:color w:val="auto"/>
              </w:rPr>
              <w:t>Payout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260" w:type="dxa"/>
            <w:vAlign w:val="bottom"/>
          </w:tcPr>
          <w:p>
            <w:pPr>
              <w:spacing w:after="0"/>
              <w:rPr>
                <w:sz w:val="13"/>
                <w:szCs w:val="13"/>
                <w:color w:val="auto"/>
              </w:rPr>
            </w:pP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Target</w:t>
            </w:r>
          </w:p>
        </w:tc>
        <w:tc>
          <w:tcPr>
            <w:tcW w:w="70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Actual</w:t>
            </w:r>
          </w:p>
        </w:tc>
        <w:tc>
          <w:tcPr>
            <w:tcW w:w="5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w w:val="98"/>
              </w:rPr>
              <w:t>Payout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3"/>
              </w:rPr>
              <w:t>Target</w:t>
            </w: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spacing w:after="0" w:line="155" w:lineRule="exact"/>
              <w:rPr>
                <w:sz w:val="20"/>
                <w:szCs w:val="20"/>
                <w:color w:val="auto"/>
              </w:rPr>
            </w:pPr>
            <w:r>
              <w:rPr>
                <w:rFonts w:ascii="Arial" w:cs="Arial" w:eastAsia="Arial" w:hAnsi="Arial"/>
                <w:sz w:val="14"/>
                <w:szCs w:val="14"/>
                <w:b w:val="1"/>
                <w:bCs w:val="1"/>
                <w:color w:val="auto"/>
              </w:rPr>
              <w:t>Payout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Bookings Growth</w:t>
            </w:r>
          </w:p>
        </w:tc>
        <w:tc>
          <w:tcPr>
            <w:tcW w:w="7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24.8%</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96.4%</w:t>
            </w:r>
          </w:p>
        </w:tc>
        <w:tc>
          <w:tcPr>
            <w:tcW w:w="68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23.8%</w:t>
            </w: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72.3%</w:t>
            </w:r>
          </w:p>
        </w:tc>
        <w:tc>
          <w:tcPr>
            <w:tcW w:w="6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24.3%</w:t>
            </w:r>
          </w:p>
        </w:tc>
        <w:tc>
          <w:tcPr>
            <w:tcW w:w="5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760" w:type="dxa"/>
            <w:vAlign w:val="bottom"/>
            <w:tcBorders>
              <w:right w:val="single" w:sz="8" w:color="CCEEFF"/>
            </w:tcBorders>
            <w:gridSpan w:val="3"/>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25.7%</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Rev Growth</w:t>
            </w:r>
          </w:p>
        </w:tc>
        <w:tc>
          <w:tcPr>
            <w:tcW w:w="1420" w:type="dxa"/>
            <w:vAlign w:val="bottom"/>
            <w:gridSpan w:val="3"/>
          </w:tcPr>
          <w:p>
            <w:pPr>
              <w:jc w:val="right"/>
              <w:ind w:right="120"/>
              <w:spacing w:after="0"/>
              <w:rPr>
                <w:sz w:val="20"/>
                <w:szCs w:val="20"/>
                <w:color w:val="auto"/>
              </w:rPr>
            </w:pPr>
            <w:r>
              <w:rPr>
                <w:rFonts w:ascii="Arial" w:cs="Arial" w:eastAsia="Arial" w:hAnsi="Arial"/>
                <w:sz w:val="14"/>
                <w:szCs w:val="14"/>
                <w:color w:val="auto"/>
              </w:rPr>
              <w:t>21.8%</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22.2%</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color w:val="auto"/>
              </w:rPr>
              <w:t>23.2%</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23.3%</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21.7%</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20.5%</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83%</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22.0%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18.0%</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Non-GAAP EPS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$ 0.36</w:t>
            </w: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$ 0.36</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$ 0.33</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$ 0.39</w:t>
            </w:r>
          </w:p>
        </w:tc>
        <w:tc>
          <w:tcPr>
            <w:tcW w:w="260" w:type="dxa"/>
            <w:vAlign w:val="bottom"/>
            <w:tcBorders>
              <w:right w:val="single" w:sz="8" w:color="CCEEFF"/>
            </w:tcBorders>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$ 0.40</w:t>
            </w:r>
          </w:p>
        </w:tc>
        <w:tc>
          <w:tcPr>
            <w:tcW w:w="1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$ 0.49</w:t>
            </w:r>
          </w:p>
        </w:tc>
        <w:tc>
          <w:tcPr>
            <w:tcW w:w="1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$ 0.42</w:t>
            </w:r>
          </w:p>
        </w:tc>
        <w:tc>
          <w:tcPr>
            <w:tcW w:w="24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$ 0.51</w:t>
            </w:r>
          </w:p>
        </w:tc>
        <w:tc>
          <w:tcPr>
            <w:tcW w:w="24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7"/>
        </w:trPr>
        <w:tc>
          <w:tcPr>
            <w:tcW w:w="1840" w:type="dxa"/>
            <w:vAlign w:val="bottom"/>
            <w:gridSpan w:val="2"/>
          </w:tcPr>
          <w:p>
            <w:pPr>
              <w:spacing w:after="0"/>
              <w:rPr>
                <w:sz w:val="20"/>
                <w:szCs w:val="20"/>
                <w:color w:val="auto"/>
              </w:rPr>
            </w:pPr>
            <w:r>
              <w:rPr>
                <w:rFonts w:ascii="Arial" w:cs="Arial" w:eastAsia="Arial" w:hAnsi="Arial"/>
                <w:sz w:val="14"/>
                <w:szCs w:val="14"/>
                <w:color w:val="auto"/>
              </w:rPr>
              <w:t>Weighted Payout</w:t>
            </w: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98.8%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90.8%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color w:val="auto"/>
              </w:rPr>
              <w:t>60.9%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694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100" w:hanging="436"/>
        <w:spacing w:after="0" w:line="239"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compensations programs that would be harmful to us.</w:t>
      </w: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ind w:right="160" w:firstLine="441"/>
        <w:spacing w:after="0" w:line="237" w:lineRule="auto"/>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In 2018, we issued equity in the form of restricted stock units. Time-based restricted stock units serve to retain executive officers over a long-term period and align with our objective of long-term shareholder value creation. Time-based restricted stock units (“RSUs”) have a lesser dilutive effect than stock options and provide a floor of certain value delivered even if the stock price declines (as an RSU would never be “out of the money,” unlike stock options). Performance-based restricted stock units (“PRSUs”) serve to incentivize management to achieve specific operational goals which also drive long-term shareholder value creation.</w:t>
      </w:r>
    </w:p>
    <w:p>
      <w:pPr>
        <w:spacing w:after="0" w:line="203"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On an annual basis, we evaluate granting equity awards to our named executive officers to provide additional incentive to continue providing services to us. In 2017, we moved the timeframe from the spring to the fall so that the equity awards could be factored into our annual forward-looking guidance to our common stockholders. In 2018, we issued equity in the form of RSUs.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and we therefore take into consideration factors such as:</w:t>
      </w:r>
    </w:p>
    <w:p>
      <w:pPr>
        <w:spacing w:after="0" w:line="111" w:lineRule="exact"/>
        <w:rPr>
          <w:sz w:val="20"/>
          <w:szCs w:val="20"/>
          <w:color w:val="auto"/>
        </w:rPr>
      </w:pPr>
    </w:p>
    <w:p>
      <w:pPr>
        <w:ind w:left="860" w:hanging="31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named executive officer’s performance, contributions, responsibilities, and experience;</w:t>
      </w:r>
    </w:p>
    <w:p>
      <w:pPr>
        <w:spacing w:after="0" w:line="117" w:lineRule="exact"/>
        <w:rPr>
          <w:rFonts w:ascii="Arial" w:cs="Arial" w:eastAsia="Arial" w:hAnsi="Arial"/>
          <w:sz w:val="18"/>
          <w:szCs w:val="18"/>
          <w:color w:val="auto"/>
        </w:rPr>
      </w:pPr>
    </w:p>
    <w:p>
      <w:pPr>
        <w:ind w:left="860" w:right="500" w:hanging="316"/>
        <w:spacing w:after="0" w:line="246"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102" w:lineRule="exact"/>
        <w:rPr>
          <w:rFonts w:ascii="Arial" w:cs="Arial" w:eastAsia="Arial" w:hAnsi="Arial"/>
          <w:sz w:val="18"/>
          <w:szCs w:val="18"/>
          <w:color w:val="auto"/>
        </w:rPr>
      </w:pPr>
    </w:p>
    <w:p>
      <w:pPr>
        <w:ind w:left="860" w:hanging="31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compensation analysis performed by our human resources department and/or our independent compensation consultant;</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compensation peer group and market data provided by our independent compensation consultant;</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equity award recommendations of management;</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and internal equity considerations.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440" w:top="472" w:right="419" w:bottom="1440" w:gutter="0" w:footer="0" w:header="0"/>
        </w:sectPr>
      </w:pPr>
    </w:p>
    <w:bookmarkStart w:id="41" w:name="page42"/>
    <w:bookmarkEnd w:id="41"/>
    <w:p>
      <w:pPr>
        <w:ind w:right="40" w:firstLine="441"/>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periodically grant equity awards to new executive hires and to our named executive officers to recognize corporate and individual performance or in connection with a promotion, see Special Equity Awards below.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w:t>
      </w:r>
    </w:p>
    <w:p>
      <w:pPr>
        <w:spacing w:after="0" w:line="185" w:lineRule="exact"/>
        <w:rPr>
          <w:sz w:val="20"/>
          <w:szCs w:val="20"/>
          <w:color w:val="auto"/>
        </w:rPr>
      </w:pPr>
    </w:p>
    <w:p>
      <w:pPr>
        <w:ind w:right="1080" w:firstLine="441"/>
        <w:spacing w:after="0" w:line="267" w:lineRule="auto"/>
        <w:rPr>
          <w:sz w:val="20"/>
          <w:szCs w:val="20"/>
          <w:color w:val="auto"/>
        </w:rPr>
      </w:pPr>
      <w:r>
        <w:rPr>
          <w:rFonts w:ascii="Arial" w:cs="Arial" w:eastAsia="Arial" w:hAnsi="Arial"/>
          <w:sz w:val="18"/>
          <w:szCs w:val="18"/>
          <w:color w:val="auto"/>
        </w:rPr>
        <w:t>The equity awards granted to our named executive officers in 2018 are set forth in the sections entitled “</w:t>
      </w:r>
      <w:r>
        <w:rPr>
          <w:rFonts w:ascii="Arial" w:cs="Arial" w:eastAsia="Arial" w:hAnsi="Arial"/>
          <w:sz w:val="18"/>
          <w:szCs w:val="18"/>
          <w:i w:val="1"/>
          <w:iCs w:val="1"/>
          <w:color w:val="auto"/>
        </w:rPr>
        <w:t>2018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2018 Table</w:t>
      </w:r>
      <w:r>
        <w:rPr>
          <w:rFonts w:ascii="Arial" w:cs="Arial" w:eastAsia="Arial" w:hAnsi="Arial"/>
          <w:sz w:val="18"/>
          <w:szCs w:val="18"/>
          <w:color w:val="auto"/>
        </w:rPr>
        <w:t>” below.</w:t>
      </w:r>
    </w:p>
    <w:p>
      <w:pPr>
        <w:spacing w:after="0" w:line="2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Equity Grants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Ms. Fisher and Messrs. Posey and Thakar</w:t>
      </w:r>
    </w:p>
    <w:p>
      <w:pPr>
        <w:spacing w:after="0" w:line="122" w:lineRule="exact"/>
        <w:rPr>
          <w:sz w:val="20"/>
          <w:szCs w:val="20"/>
          <w:color w:val="auto"/>
        </w:rPr>
      </w:pPr>
    </w:p>
    <w:p>
      <w:pPr>
        <w:jc w:val="both"/>
        <w:ind w:right="300" w:firstLine="441"/>
        <w:spacing w:after="0" w:line="237" w:lineRule="auto"/>
        <w:rPr>
          <w:sz w:val="20"/>
          <w:szCs w:val="20"/>
          <w:color w:val="auto"/>
        </w:rPr>
      </w:pPr>
      <w:r>
        <w:rPr>
          <w:rFonts w:ascii="Arial" w:cs="Arial" w:eastAsia="Arial" w:hAnsi="Arial"/>
          <w:sz w:val="18"/>
          <w:szCs w:val="18"/>
          <w:color w:val="auto"/>
        </w:rPr>
        <w:t>In 2018, our compensation committee determined that the equity awards for 2019 to be granted to our named executive officers (other than Messrs. Courtot and Deeba) should be in the form of time-based RSUs because they have a less dilutive effect than stock options and provide the named executive officers with a floor of certain value delivered even if the stock price declines (an RSU would never be “out of the money”, while a stock option could be). These time-based RSUs vest over four years and serve to retain executive officers over a long-term period and align with our objective of long-term shareholder value creation. The independent members of our board of directors approved the equity awards to these named executive officers in October 2018.</w:t>
      </w:r>
    </w:p>
    <w:p>
      <w:pPr>
        <w:spacing w:after="0" w:line="205" w:lineRule="exact"/>
        <w:rPr>
          <w:sz w:val="20"/>
          <w:szCs w:val="20"/>
          <w:color w:val="auto"/>
        </w:rPr>
      </w:pPr>
    </w:p>
    <w:p>
      <w:pPr>
        <w:ind w:right="180" w:firstLine="441"/>
        <w:spacing w:after="0" w:line="239" w:lineRule="auto"/>
        <w:rPr>
          <w:sz w:val="20"/>
          <w:szCs w:val="20"/>
          <w:color w:val="auto"/>
        </w:rPr>
      </w:pPr>
      <w:r>
        <w:rPr>
          <w:rFonts w:ascii="Arial" w:cs="Arial" w:eastAsia="Arial" w:hAnsi="Arial"/>
          <w:sz w:val="18"/>
          <w:szCs w:val="18"/>
          <w:color w:val="auto"/>
        </w:rPr>
        <w:t>The vesting of the RSUs granted to our named executive officers is subject to the applicable named executive officer’s continued service with us as of each vesting date. In addition, the vesting of these RSUs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in this proxy statement. The number of shares of our common stock covered by these RSUs and their intended value at the time of grant is listed in the table below.</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October</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October</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432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RSUs</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Melissa B. Fisher</w:t>
            </w:r>
          </w:p>
        </w:tc>
        <w:tc>
          <w:tcPr>
            <w:tcW w:w="4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40,667</w:t>
            </w:r>
          </w:p>
        </w:tc>
        <w:tc>
          <w:tcPr>
            <w:tcW w:w="4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$3,438,000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4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23,468</w:t>
            </w: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1,984,000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4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67,104</w:t>
            </w: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5,673,000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Courtot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feedback from our stockholders, our compensation committee determined that the equity award to be granted to</w:t>
      </w:r>
    </w:p>
    <w:p>
      <w:pPr>
        <w:spacing w:after="0" w:line="234" w:lineRule="auto"/>
        <w:rPr>
          <w:sz w:val="20"/>
          <w:szCs w:val="20"/>
          <w:color w:val="auto"/>
        </w:rPr>
      </w:pPr>
      <w:r>
        <w:rPr>
          <w:rFonts w:ascii="Arial" w:cs="Arial" w:eastAsia="Arial" w:hAnsi="Arial"/>
          <w:sz w:val="18"/>
          <w:szCs w:val="18"/>
          <w:color w:val="auto"/>
        </w:rPr>
        <w:t>Mr. Courtot should be a mix of time-based RSUs and performance-based restricted stock units (“PRSUs”). The independent members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approved the equity award to Mr. Courtot in December 2018.</w:t>
      </w:r>
    </w:p>
    <w:p>
      <w:pPr>
        <w:spacing w:after="0" w:line="194" w:lineRule="exact"/>
        <w:rPr>
          <w:sz w:val="20"/>
          <w:szCs w:val="20"/>
          <w:color w:val="auto"/>
        </w:rPr>
      </w:pPr>
    </w:p>
    <w:p>
      <w:pPr>
        <w:jc w:val="both"/>
        <w:ind w:firstLine="441"/>
        <w:spacing w:after="0" w:line="251"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The vesting of the time -based RSUs granted to Mr. Courtot is subject to his continued service with us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date. These time-based RSUs vest over four years and serve to retain executive officers over a long-term period and align with our objective of long-term shareholder value creation.</w:t>
      </w:r>
    </w:p>
    <w:p>
      <w:pPr>
        <w:spacing w:after="0" w:line="174" w:lineRule="exact"/>
        <w:rPr>
          <w:sz w:val="20"/>
          <w:szCs w:val="20"/>
          <w:color w:val="auto"/>
        </w:rPr>
      </w:pPr>
    </w:p>
    <w:p>
      <w:pPr>
        <w:jc w:val="both"/>
        <w:ind w:right="300" w:firstLine="441"/>
        <w:spacing w:after="0" w:line="251" w:lineRule="auto"/>
        <w:rPr>
          <w:sz w:val="20"/>
          <w:szCs w:val="20"/>
          <w:color w:val="auto"/>
        </w:rPr>
      </w:pPr>
      <w:r>
        <w:rPr>
          <w:rFonts w:ascii="Arial" w:cs="Arial" w:eastAsia="Arial" w:hAnsi="Arial"/>
          <w:sz w:val="18"/>
          <w:szCs w:val="18"/>
          <w:i w:val="1"/>
          <w:iCs w:val="1"/>
          <w:color w:val="auto"/>
        </w:rPr>
        <w:t xml:space="preserve">Performance -based RSUs: </w:t>
      </w:r>
      <w:r>
        <w:rPr>
          <w:rFonts w:ascii="Arial" w:cs="Arial" w:eastAsia="Arial" w:hAnsi="Arial"/>
          <w:sz w:val="18"/>
          <w:szCs w:val="18"/>
          <w:color w:val="auto"/>
        </w:rPr>
        <w:t>The vesting of the PRSUs granted to Mr. Courtot is subject to the achievement of certain revenue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targets and his continued service with us, as described further below. Based on the feedback from our stockholders that the performance period for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87"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equity awards should be at least three years, our board of directors divided Mr. Courtot’s PRSUs into two tranches:</w:t>
      </w:r>
    </w:p>
    <w:p>
      <w:pPr>
        <w:spacing w:after="0" w:line="117" w:lineRule="exact"/>
        <w:rPr>
          <w:sz w:val="20"/>
          <w:szCs w:val="20"/>
          <w:color w:val="auto"/>
        </w:rPr>
      </w:pPr>
    </w:p>
    <w:p>
      <w:pPr>
        <w:ind w:left="860" w:right="100" w:hanging="316"/>
        <w:spacing w:after="0" w:line="238"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tranche (covering 33,089 of the target number of PRSUs) will vest based on Revenue CAGR for a three-year period from January 2019 through December 2021 and adjusted EBITDA margin for the 2021 fiscal year, conditioned on Mr. Courtot’s continued status as CEO through the date that performance is certified. These performance targets were aligned with external 2021 targets provided by management to investors, specifically in 2021, year over year revenue growth percent of low 20s to mid 20s and adjusted EBITDA margins of 40% to 42%.</w:t>
      </w:r>
    </w:p>
    <w:p>
      <w:pPr>
        <w:spacing w:after="0" w:line="108" w:lineRule="exact"/>
        <w:rPr>
          <w:rFonts w:ascii="Arial" w:cs="Arial" w:eastAsia="Arial" w:hAnsi="Arial"/>
          <w:sz w:val="18"/>
          <w:szCs w:val="18"/>
          <w:color w:val="auto"/>
        </w:rPr>
      </w:pPr>
    </w:p>
    <w:p>
      <w:pPr>
        <w:ind w:left="860" w:right="160" w:hanging="316"/>
        <w:spacing w:after="0" w:line="239"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second tranche (covering 33,088 of the target number of PRSUs) will vest in three annual increments based on the achievement of goals related to revenue growth and adjusted EBITDA margin for each of the 2019, 2020, and 2021 fiscal years, conditioned on Mr. Courtot’s continued status as CEO through the date that performance is certified. The 2019 revenue growth and adjusted EBITDA margin goals are higher than the 2019 annual guidance provided to investors.</w:t>
      </w:r>
    </w:p>
    <w:p>
      <w:pPr>
        <w:spacing w:after="0" w:line="202" w:lineRule="exact"/>
        <w:rPr>
          <w:sz w:val="20"/>
          <w:szCs w:val="20"/>
          <w:color w:val="auto"/>
        </w:rPr>
      </w:pPr>
    </w:p>
    <w:p>
      <w:pPr>
        <w:ind w:right="80" w:firstLine="441"/>
        <w:spacing w:after="0" w:line="239" w:lineRule="auto"/>
        <w:rPr>
          <w:sz w:val="20"/>
          <w:szCs w:val="20"/>
          <w:color w:val="auto"/>
        </w:rPr>
      </w:pPr>
      <w:r>
        <w:rPr>
          <w:rFonts w:ascii="Arial" w:cs="Arial" w:eastAsia="Arial" w:hAnsi="Arial"/>
          <w:sz w:val="18"/>
          <w:szCs w:val="18"/>
          <w:color w:val="auto"/>
        </w:rPr>
        <w:t>In addition, the vesting of the time-based RSUs and the PRSUs granted to Mr. Courtot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 The number of shares of our common stock covered by these time-based RSUs and PRSUs and their intended value at the time of grant is listed in the table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Intended</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Intended Value</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Time-</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Value of</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PRSUs at</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PRSUs at</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PRSUs at</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PRSUs at</w:t>
            </w:r>
          </w:p>
        </w:tc>
        <w:tc>
          <w:tcPr>
            <w:tcW w:w="0" w:type="dxa"/>
            <w:vAlign w:val="bottom"/>
          </w:tcPr>
          <w:p>
            <w:pPr>
              <w:spacing w:after="0"/>
              <w:rPr>
                <w:sz w:val="1"/>
                <w:szCs w:val="1"/>
                <w:color w:val="auto"/>
              </w:rPr>
            </w:pPr>
          </w:p>
        </w:tc>
      </w:t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9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Based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Time-Based</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Target Level of</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Target Level of</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 Level</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Maximum Level</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RSUs</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Performance</w:t>
            </w: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Performance</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Performance</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Performance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9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8"/>
              </w:rPr>
              <w:t>56,250</w:t>
            </w:r>
          </w:p>
        </w:tc>
        <w:tc>
          <w:tcPr>
            <w:tcW w:w="2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$4,250,000</w:t>
            </w:r>
          </w:p>
        </w:tc>
        <w:tc>
          <w:tcPr>
            <w:tcW w:w="2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66,177</w:t>
            </w: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$5,000,000</w:t>
            </w: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132,354</w:t>
            </w:r>
          </w:p>
        </w:tc>
        <w:tc>
          <w:tcPr>
            <w:tcW w:w="2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560" w:firstLine="441"/>
        <w:spacing w:after="0"/>
        <w:rPr>
          <w:sz w:val="20"/>
          <w:szCs w:val="20"/>
          <w:color w:val="auto"/>
        </w:rPr>
      </w:pPr>
      <w:r>
        <w:rPr>
          <w:rFonts w:ascii="Arial" w:cs="Arial" w:eastAsia="Arial" w:hAnsi="Arial"/>
          <w:sz w:val="18"/>
          <w:szCs w:val="18"/>
          <w:color w:val="auto"/>
        </w:rPr>
        <w:t>For each of the equity awards granted to our named executive officers in 2018, the intended value of each equity award was translated into a number of shares by dividing the dollar amount by the average of the closing prices of our common stock for the 30 trading days ending one week before the date of grant.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Deeba</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grant Mr. Deeba any equity awards in 2018 due to his resignation.</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Special Equity Grants</w:t>
      </w:r>
    </w:p>
    <w:p>
      <w:pPr>
        <w:spacing w:after="0" w:line="126"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Outside of the ordinary course annual grant process, in July 2018, our compensation committee approved special bonus RSU grants to Mr. Posey and Mr. Thakar, as described below. The intent of these grants was to serve as a one-time special bonus to each of these named executive officers in recognition of significant growth milestones that the company achieved, including reaching 1,000 employees worldwide, growth in the price of our stock and broadening of product offerings, and the respective named executive officer’s role in achieving these successes. While our compensation committee does not make off-cycle grants as a general matter, it thought that these grants would provide immediate retention, motivation, and recognition. These special bonus grants vested over a period of two years (which is shorter than the vesting period for their annual grants), given the special recognition nature of the grants.</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2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48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July RSUs</w:t>
            </w:r>
          </w:p>
        </w:tc>
        <w:tc>
          <w:tcPr>
            <w:tcW w:w="74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July RSUs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Bruce K. Posey</w:t>
            </w:r>
          </w:p>
        </w:tc>
        <w:tc>
          <w:tcPr>
            <w:tcW w:w="4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4,442</w:t>
            </w:r>
          </w:p>
        </w:tc>
        <w:tc>
          <w:tcPr>
            <w:tcW w:w="7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400,000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5,552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jc w:val="right"/>
              <w:ind w:right="1456"/>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87" w:right="419" w:bottom="1440" w:gutter="0" w:footer="0" w:header="0"/>
        </w:sectPr>
      </w:pPr>
    </w:p>
    <w:bookmarkStart w:id="43" w:name="page44"/>
    <w:bookmarkEnd w:id="43"/>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Retirement and Other Benefits</w:t>
      </w:r>
    </w:p>
    <w:p>
      <w:pPr>
        <w:spacing w:after="0" w:line="122"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retirement plan that provides eligible employees with an opportunity to save for retirement on a tax advantaged basis. All participants’ interests in their deferrals are 100% vested when contributed. We match 50%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Sections 401(a) and 501(a) of the Internal Revenue Code (the “Code”). As a tax-qualified retirement plan, contributions to the 401(k) plan and earnings on those contributions are not taxable to the employees until distributed from the 401(k) plan, and all contributions are deductible by us when made.</w:t>
      </w:r>
    </w:p>
    <w:p>
      <w:pPr>
        <w:spacing w:after="0" w:line="20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2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We generally do not provide perquisites or other personal benefits to our named executive officers. In 2018, we made a one-time payment on behalf of Mr. Courtot to cover the cost associated with a filing required to be made by him under the Hart-Scott Rodino Antitrust Improvements Act of 1976. This figure comprises a Hart-Scott-Rodino filing fee paid on behalf of the executive ($125,000).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committee will approve and periodically review all future practices with respect to perquisites or other personal benefits.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122"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Ms. Fisher’s employment offer letter provides for certain protections in the event of termination of her employment under specified circumstances. In addition, certain equity awards granted to our named executive officers provide for acceleration of vesting upon termination of their employment under specified circumstances or upon a change in control of the Company.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203" w:lineRule="exact"/>
        <w:rPr>
          <w:sz w:val="20"/>
          <w:szCs w:val="20"/>
          <w:color w:val="auto"/>
        </w:rPr>
      </w:pPr>
    </w:p>
    <w:p>
      <w:pPr>
        <w:ind w:right="20" w:firstLine="441"/>
        <w:spacing w:after="0" w:line="246"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Hedging and Pledging Policy</w:t>
      </w:r>
    </w:p>
    <w:p>
      <w:pPr>
        <w:spacing w:after="0" w:line="122"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We have implemented an insider trading policy that prohibits our named executive officers and directors from trading in derivative securities (including hedging) with respect to our common stock, pledging company securities as collateral, or holding company securities in a margin account.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69" w:right="439" w:bottom="1440" w:gutter="0" w:footer="0" w:header="0"/>
        </w:sectPr>
      </w:pPr>
    </w:p>
    <w:bookmarkStart w:id="44" w:name="page45"/>
    <w:bookmarkEnd w:id="44"/>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Ownership Guidelines</w:t>
      </w:r>
    </w:p>
    <w:p>
      <w:pPr>
        <w:spacing w:after="0" w:line="122" w:lineRule="exact"/>
        <w:rPr>
          <w:sz w:val="20"/>
          <w:szCs w:val="20"/>
          <w:color w:val="auto"/>
        </w:rPr>
      </w:pPr>
    </w:p>
    <w:p>
      <w:pPr>
        <w:jc w:val="both"/>
        <w:ind w:right="220" w:firstLine="441"/>
        <w:spacing w:after="0" w:line="239"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 officers), in order to more closely align their interests with the long-term interests of our stockholders. In March 2019, we amended these guidelines to also require that all shares subject to performance-based vesting generally must be held and not disposed of for at least three years from the date of grant of the underlying award.</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460" w:type="dxa"/>
            <w:vAlign w:val="bottom"/>
            <w:gridSpan w:val="2"/>
          </w:tcPr>
          <w:p>
            <w:pPr>
              <w:jc w:val="center"/>
              <w:ind w:left="2234"/>
              <w:spacing w:after="0"/>
              <w:rPr>
                <w:sz w:val="20"/>
                <w:szCs w:val="20"/>
                <w:color w:val="auto"/>
              </w:rPr>
            </w:pPr>
            <w:r>
              <w:rPr>
                <w:rFonts w:ascii="Arial" w:cs="Arial" w:eastAsia="Arial" w:hAnsi="Arial"/>
                <w:sz w:val="14"/>
                <w:szCs w:val="14"/>
                <w:b w:val="1"/>
                <w:bCs w:val="1"/>
                <w:color w:val="auto"/>
              </w:rPr>
              <w:t>Stock Ownership Requirement</w:t>
            </w:r>
          </w:p>
        </w:tc>
        <w:tc>
          <w:tcPr>
            <w:tcW w:w="2200" w:type="dxa"/>
            <w:vAlign w:val="bottom"/>
            <w:gridSpan w:val="2"/>
          </w:tcPr>
          <w:p>
            <w:pPr>
              <w:jc w:val="center"/>
              <w:ind w:left="1148"/>
              <w:spacing w:after="0"/>
              <w:rPr>
                <w:sz w:val="20"/>
                <w:szCs w:val="20"/>
                <w:color w:val="auto"/>
              </w:rPr>
            </w:pPr>
            <w:r>
              <w:rPr>
                <w:rFonts w:ascii="Arial" w:cs="Arial" w:eastAsia="Arial" w:hAnsi="Arial"/>
                <w:sz w:val="14"/>
                <w:szCs w:val="14"/>
                <w:b w:val="1"/>
                <w:bCs w:val="1"/>
                <w:color w:val="auto"/>
              </w:rPr>
              <w:t>In Compliance</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234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as a Multiple of Base Salary</w:t>
            </w:r>
          </w:p>
        </w:tc>
        <w:tc>
          <w:tcPr>
            <w:tcW w:w="1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34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5.0</w:t>
            </w:r>
          </w:p>
        </w:tc>
        <w:tc>
          <w:tcPr>
            <w:tcW w:w="1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460" w:type="dxa"/>
            <w:vAlign w:val="bottom"/>
            <w:gridSpan w:val="2"/>
          </w:tcPr>
          <w:p>
            <w:pPr>
              <w:jc w:val="center"/>
              <w:ind w:left="2234"/>
              <w:spacing w:after="0" w:line="202" w:lineRule="exact"/>
              <w:rPr>
                <w:sz w:val="20"/>
                <w:szCs w:val="20"/>
                <w:color w:val="auto"/>
              </w:rPr>
            </w:pPr>
            <w:r>
              <w:rPr>
                <w:rFonts w:ascii="Arial" w:cs="Arial" w:eastAsia="Arial" w:hAnsi="Arial"/>
                <w:sz w:val="18"/>
                <w:szCs w:val="18"/>
                <w:color w:val="auto"/>
              </w:rPr>
              <w:t>3.0</w:t>
            </w:r>
          </w:p>
        </w:tc>
        <w:tc>
          <w:tcPr>
            <w:tcW w:w="122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460" w:type="dxa"/>
            <w:vAlign w:val="bottom"/>
            <w:gridSpan w:val="2"/>
            <w:shd w:val="clear" w:color="auto" w:fill="CCEEFF"/>
          </w:tcPr>
          <w:p>
            <w:pPr>
              <w:jc w:val="center"/>
              <w:ind w:left="2234"/>
              <w:spacing w:after="0" w:line="202" w:lineRule="exact"/>
              <w:rPr>
                <w:sz w:val="20"/>
                <w:szCs w:val="20"/>
                <w:color w:val="auto"/>
              </w:rPr>
            </w:pPr>
            <w:r>
              <w:rPr>
                <w:rFonts w:ascii="Arial" w:cs="Arial" w:eastAsia="Arial" w:hAnsi="Arial"/>
                <w:sz w:val="18"/>
                <w:szCs w:val="18"/>
                <w:color w:val="auto"/>
              </w:rPr>
              <w:t>3.0</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4460" w:type="dxa"/>
            <w:vAlign w:val="bottom"/>
            <w:gridSpan w:val="2"/>
          </w:tcPr>
          <w:p>
            <w:pPr>
              <w:jc w:val="center"/>
              <w:ind w:left="2234"/>
              <w:spacing w:after="0"/>
              <w:rPr>
                <w:sz w:val="20"/>
                <w:szCs w:val="20"/>
                <w:color w:val="auto"/>
              </w:rPr>
            </w:pPr>
            <w:r>
              <w:rPr>
                <w:rFonts w:ascii="Arial" w:cs="Arial" w:eastAsia="Arial" w:hAnsi="Arial"/>
                <w:sz w:val="18"/>
                <w:szCs w:val="18"/>
                <w:color w:val="auto"/>
              </w:rPr>
              <w:t>3.0</w:t>
            </w:r>
          </w:p>
        </w:tc>
        <w:tc>
          <w:tcPr>
            <w:tcW w:w="1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Clawback Policy</w:t>
      </w:r>
    </w:p>
    <w:p>
      <w:pPr>
        <w:spacing w:after="0" w:line="12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In February 2019, we adopted a clawback policy that prevents our executive officers from benefiting from erroneously-paid cash-based incentive compensation or performance-based equity compensation that result from the officers’ misconduct. This policy helps foster and maintain a culture that emphasizes integrity and accountability. Our clawback policy permits us to require that any of our current or former officers who is (or was) subject to Section 16 of the Securities Exchange Act of 1934, as amended, repay certain cash-based incentive compensation or performance-based equity compensation to us if our compensation committee determines that such an officer’s actions caused or partially caused us to materially restate all or a portion of our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22" w:lineRule="exact"/>
        <w:rPr>
          <w:sz w:val="20"/>
          <w:szCs w:val="20"/>
          <w:color w:val="auto"/>
        </w:rPr>
      </w:pPr>
    </w:p>
    <w:p>
      <w:pPr>
        <w:ind w:firstLine="441"/>
        <w:spacing w:after="0" w:line="246"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197" w:lineRule="exact"/>
        <w:rPr>
          <w:sz w:val="20"/>
          <w:szCs w:val="20"/>
          <w:color w:val="auto"/>
        </w:rPr>
      </w:pPr>
    </w:p>
    <w:p>
      <w:pPr>
        <w:ind w:right="20" w:firstLine="441"/>
        <w:spacing w:after="0" w:line="237" w:lineRule="auto"/>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executives generally will not be deductible in 2018 or future years, to the extent that it exceeds $1 million.</w:t>
      </w:r>
    </w:p>
    <w:p>
      <w:pPr>
        <w:spacing w:after="0" w:line="205" w:lineRule="exact"/>
        <w:rPr>
          <w:sz w:val="20"/>
          <w:szCs w:val="20"/>
          <w:color w:val="auto"/>
        </w:rPr>
      </w:pPr>
    </w:p>
    <w:p>
      <w:pPr>
        <w:ind w:right="120" w:firstLine="441"/>
        <w:spacing w:after="0" w:line="239"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intends to continue to compensate our executives in a manner consistent with the best interests of our company and our stockholders, even if such compensation is not fully deductible.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“Parachute Payments” and Deferred Compensation</w:t>
      </w:r>
    </w:p>
    <w:p>
      <w:pPr>
        <w:spacing w:after="0" w:line="122" w:lineRule="exact"/>
        <w:rPr>
          <w:sz w:val="20"/>
          <w:szCs w:val="20"/>
          <w:color w:val="auto"/>
        </w:rPr>
      </w:pPr>
    </w:p>
    <w:p>
      <w:pPr>
        <w:jc w:val="both"/>
        <w:ind w:right="200" w:firstLine="441"/>
        <w:spacing w:after="0"/>
        <w:rPr>
          <w:sz w:val="20"/>
          <w:szCs w:val="20"/>
          <w:color w:val="auto"/>
        </w:rPr>
      </w:pPr>
      <w:r>
        <w:rPr>
          <w:rFonts w:ascii="Arial" w:cs="Arial" w:eastAsia="Arial" w:hAnsi="Arial"/>
          <w:sz w:val="18"/>
          <w:szCs w:val="18"/>
          <w:color w:val="auto"/>
        </w:rPr>
        <w:t>Under Sections 280G and 4999 of the Code, certain service providers may be subject to an excise tax if they receive payments or benefits in connection with a change in control that exceeds certain prescribed limits, and we, or a successor, may forfeit a deduction on the amounts subject to this excise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69" w:right="459" w:bottom="1440" w:gutter="0" w:footer="0" w:header="0"/>
        </w:sectPr>
      </w:pPr>
    </w:p>
    <w:bookmarkStart w:id="45" w:name="page46"/>
    <w:bookmarkEnd w:id="45"/>
    <w:p>
      <w:pPr>
        <w:ind w:right="2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 Also, Section 409A of the Code imposes significant additional taxes on a service provider in the event the service provider receives “deferred compensation” that does not meet the requirements of Section 409A of the Code.</w:t>
      </w:r>
    </w:p>
    <w:p>
      <w:pPr>
        <w:spacing w:after="0" w:line="197"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color w:val="auto"/>
        </w:rPr>
        <w:t>In 2018,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Considerations</w:t>
      </w:r>
    </w:p>
    <w:p>
      <w:pPr>
        <w:spacing w:after="0" w:line="12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Accounting guidance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This authoritative accounting guidance also requires us to recognize the compensation cost of share-based payment awards in our income statements over the period that the named executive officer or director is required to provide services to us in exchange for the vesting of the equity award.</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 Considerations</w:t>
      </w:r>
    </w:p>
    <w:p>
      <w:pPr>
        <w:spacing w:after="0" w:line="122"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Our compensation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2018, our compensation committee had engaged Compensia to independently review our executive compensation program and in fiscal year 2019, our compensation committee engaged Mercer as its compensation consultant to review our program going forward. Our compensation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113" w:lineRule="exact"/>
        <w:rPr>
          <w:sz w:val="20"/>
          <w:szCs w:val="20"/>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Balance among short and long-term incentives, cash and equity, fixed and variable pay</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performance metrics as targets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Caps on pay</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Holding period requirement for PRSUs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Anti-hedging policies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Double-trigger change in control requirement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87"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08" w:lineRule="exact"/>
        <w:rPr>
          <w:sz w:val="20"/>
          <w:szCs w:val="20"/>
          <w:color w:val="auto"/>
        </w:rPr>
      </w:pPr>
    </w:p>
    <w:p>
      <w:pPr>
        <w:ind w:right="460" w:firstLine="441"/>
        <w:spacing w:after="0" w:line="251"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92" w:lineRule="exact"/>
        <w:rPr>
          <w:sz w:val="20"/>
          <w:szCs w:val="20"/>
          <w:color w:val="auto"/>
        </w:rPr>
      </w:pPr>
    </w:p>
    <w:p>
      <w:pPr>
        <w:ind w:right="140" w:firstLine="441"/>
        <w:spacing w:after="0" w:line="23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the Company’s Annual Report on Form 10-K for the year ended December 31, 2018, filed with the SEC on February 27, 2019.</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Sandra E. Bergeron (Chair)</w:t>
      </w:r>
    </w:p>
    <w:p>
      <w:pPr>
        <w:ind w:left="440"/>
        <w:spacing w:after="0" w:line="234" w:lineRule="auto"/>
        <w:rPr>
          <w:sz w:val="20"/>
          <w:szCs w:val="20"/>
          <w:color w:val="auto"/>
        </w:rPr>
      </w:pPr>
      <w:r>
        <w:rPr>
          <w:rFonts w:ascii="Arial" w:cs="Arial" w:eastAsia="Arial" w:hAnsi="Arial"/>
          <w:sz w:val="18"/>
          <w:szCs w:val="18"/>
          <w:color w:val="auto"/>
        </w:rPr>
        <w:t>Patricia Hatter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Peter Pace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Summary Compensation Table</w:t>
      </w:r>
    </w:p>
    <w:p>
      <w:pPr>
        <w:spacing w:after="0" w:line="126" w:lineRule="exact"/>
        <w:rPr>
          <w:sz w:val="20"/>
          <w:szCs w:val="20"/>
          <w:color w:val="auto"/>
        </w:rPr>
      </w:pPr>
    </w:p>
    <w:p>
      <w:pPr>
        <w:ind w:right="80" w:firstLine="441"/>
        <w:spacing w:after="0" w:line="246"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fiscal years 2018, 2017 and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 Plan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 (2)</w:t>
            </w:r>
          </w:p>
        </w:tc>
        <w:tc>
          <w:tcPr>
            <w:tcW w:w="100" w:type="dxa"/>
            <w:vAlign w:val="bottom"/>
          </w:tcPr>
          <w:p>
            <w:pPr>
              <w:spacing w:after="0"/>
              <w:rPr>
                <w:sz w:val="15"/>
                <w:szCs w:val="15"/>
                <w:color w:val="auto"/>
              </w:rPr>
            </w:pPr>
          </w:p>
        </w:tc>
        <w:tc>
          <w:tcPr>
            <w:tcW w:w="1560" w:type="dxa"/>
            <w:vAlign w:val="bottom"/>
          </w:tcPr>
          <w:p>
            <w:pPr>
              <w:jc w:val="right"/>
              <w:ind w:right="508"/>
              <w:spacing w:after="0"/>
              <w:rPr>
                <w:sz w:val="20"/>
                <w:szCs w:val="20"/>
                <w:color w:val="auto"/>
              </w:rPr>
            </w:pPr>
            <w:r>
              <w:rPr>
                <w:rFonts w:ascii="Arial" w:cs="Arial" w:eastAsia="Arial" w:hAnsi="Arial"/>
                <w:sz w:val="14"/>
                <w:szCs w:val="14"/>
                <w:b w:val="1"/>
                <w:bCs w:val="1"/>
                <w:color w:val="auto"/>
              </w:rPr>
              <w:t>($) (3)</w:t>
            </w:r>
          </w:p>
        </w:tc>
        <w:tc>
          <w:tcPr>
            <w:tcW w:w="1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Philippe F. Courtot</w:t>
            </w:r>
          </w:p>
        </w:tc>
        <w:tc>
          <w:tcPr>
            <w:tcW w:w="1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375,000</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8,310,345</w:t>
            </w: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285,753</w:t>
            </w:r>
          </w:p>
        </w:tc>
        <w:tc>
          <w:tcPr>
            <w:tcW w:w="1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125,000(5)</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9,096,098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Chairman, President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375,000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22,021,699(6)</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353,137</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22,749,836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and Chief Executive Officer</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366,859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5,269,550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214,064</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5,850,473</w:t>
            </w:r>
          </w:p>
        </w:tc>
        <w:tc>
          <w:tcPr>
            <w:tcW w:w="0" w:type="dxa"/>
            <w:vAlign w:val="bottom"/>
          </w:tcPr>
          <w:p>
            <w:pPr>
              <w:spacing w:after="0"/>
              <w:rPr>
                <w:sz w:val="1"/>
                <w:szCs w:val="1"/>
                <w:color w:val="auto"/>
              </w:rPr>
            </w:pPr>
          </w:p>
        </w:tc>
      </w:tr>
      <w:tr>
        <w:trPr>
          <w:trHeight w:val="167"/>
        </w:trPr>
        <w:tc>
          <w:tcPr>
            <w:tcW w:w="3640" w:type="dxa"/>
            <w:vAlign w:val="bottom"/>
            <w:gridSpan w:val="3"/>
          </w:tcPr>
          <w:p>
            <w:pPr>
              <w:spacing w:after="0"/>
              <w:rPr>
                <w:sz w:val="20"/>
                <w:szCs w:val="20"/>
                <w:color w:val="auto"/>
              </w:rPr>
            </w:pPr>
            <w:r>
              <w:rPr>
                <w:rFonts w:ascii="Arial" w:cs="Arial" w:eastAsia="Arial" w:hAnsi="Arial"/>
                <w:sz w:val="14"/>
                <w:szCs w:val="14"/>
                <w:color w:val="auto"/>
              </w:rPr>
              <w:t>Melissa B. Fisher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w w:val="98"/>
              </w:rPr>
              <w:t>325,000</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3,099,232</w:t>
            </w:r>
          </w:p>
        </w:tc>
        <w:tc>
          <w:tcPr>
            <w:tcW w:w="100" w:type="dxa"/>
            <w:vAlign w:val="bottom"/>
          </w:tcPr>
          <w:p>
            <w:pPr>
              <w:spacing w:after="0"/>
              <w:rPr>
                <w:sz w:val="14"/>
                <w:szCs w:val="14"/>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123,826</w:t>
            </w:r>
          </w:p>
        </w:tc>
        <w:tc>
          <w:tcPr>
            <w:tcW w:w="100" w:type="dxa"/>
            <w:vAlign w:val="bottom"/>
          </w:tcPr>
          <w:p>
            <w:pPr>
              <w:spacing w:after="0"/>
              <w:rPr>
                <w:sz w:val="14"/>
                <w:szCs w:val="14"/>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9,250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3,557,308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ind w:left="280"/>
              <w:spacing w:after="0"/>
              <w:rPr>
                <w:sz w:val="20"/>
                <w:szCs w:val="20"/>
                <w:color w:val="auto"/>
              </w:rPr>
            </w:pPr>
            <w:r>
              <w:rPr>
                <w:rFonts w:ascii="Arial" w:cs="Arial" w:eastAsia="Arial" w:hAnsi="Arial"/>
                <w:sz w:val="14"/>
                <w:szCs w:val="14"/>
                <w:color w:val="auto"/>
              </w:rPr>
              <w:t>Chief Financial Officer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w w:val="98"/>
              </w:rPr>
              <w:t>325,000</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4,532,329</w:t>
            </w:r>
          </w:p>
        </w:tc>
        <w:tc>
          <w:tcPr>
            <w:tcW w:w="100" w:type="dxa"/>
            <w:vAlign w:val="bottom"/>
          </w:tcPr>
          <w:p>
            <w:pPr>
              <w:spacing w:after="0"/>
              <w:rPr>
                <w:sz w:val="14"/>
                <w:szCs w:val="14"/>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153,026</w:t>
            </w:r>
          </w:p>
        </w:tc>
        <w:tc>
          <w:tcPr>
            <w:tcW w:w="100" w:type="dxa"/>
            <w:vAlign w:val="bottom"/>
          </w:tcPr>
          <w:p>
            <w:pPr>
              <w:spacing w:after="0"/>
              <w:rPr>
                <w:sz w:val="14"/>
                <w:szCs w:val="14"/>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7,618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5,017,973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600" w:type="dxa"/>
            <w:vAlign w:val="bottom"/>
          </w:tcPr>
          <w:p>
            <w:pPr>
              <w:ind w:left="80"/>
              <w:spacing w:after="0" w:line="157" w:lineRule="exact"/>
              <w:rPr>
                <w:sz w:val="20"/>
                <w:szCs w:val="20"/>
                <w:color w:val="auto"/>
              </w:rPr>
            </w:pPr>
            <w:r>
              <w:rPr>
                <w:rFonts w:ascii="Arial" w:cs="Arial" w:eastAsia="Arial" w:hAnsi="Arial"/>
                <w:sz w:val="14"/>
                <w:szCs w:val="14"/>
                <w:color w:val="auto"/>
                <w:w w:val="98"/>
              </w:rPr>
              <w:t>219,167</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715,721</w:t>
            </w:r>
          </w:p>
        </w:tc>
        <w:tc>
          <w:tcPr>
            <w:tcW w:w="100" w:type="dxa"/>
            <w:vAlign w:val="bottom"/>
          </w:tcPr>
          <w:p>
            <w:pPr>
              <w:spacing w:after="0"/>
              <w:rPr>
                <w:sz w:val="13"/>
                <w:szCs w:val="13"/>
                <w:color w:val="auto"/>
              </w:rPr>
            </w:pPr>
          </w:p>
        </w:tc>
        <w:tc>
          <w:tcPr>
            <w:tcW w:w="10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810,431</w:t>
            </w:r>
          </w:p>
        </w:tc>
        <w:tc>
          <w:tcPr>
            <w:tcW w:w="100" w:type="dxa"/>
            <w:vAlign w:val="bottom"/>
          </w:tcPr>
          <w:p>
            <w:pPr>
              <w:spacing w:after="0"/>
              <w:rPr>
                <w:sz w:val="13"/>
                <w:szCs w:val="13"/>
                <w:color w:val="auto"/>
              </w:rPr>
            </w:pPr>
          </w:p>
        </w:tc>
        <w:tc>
          <w:tcPr>
            <w:tcW w:w="160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76,971</w:t>
            </w:r>
          </w:p>
        </w:tc>
        <w:tc>
          <w:tcPr>
            <w:tcW w:w="100" w:type="dxa"/>
            <w:vAlign w:val="bottom"/>
          </w:tcPr>
          <w:p>
            <w:pPr>
              <w:spacing w:after="0"/>
              <w:rPr>
                <w:sz w:val="13"/>
                <w:szCs w:val="13"/>
                <w:color w:val="auto"/>
              </w:rPr>
            </w:pPr>
          </w:p>
        </w:tc>
        <w:tc>
          <w:tcPr>
            <w:tcW w:w="1660" w:type="dxa"/>
            <w:vAlign w:val="bottom"/>
            <w:gridSpan w:val="2"/>
          </w:tcPr>
          <w:p>
            <w:pPr>
              <w:jc w:val="right"/>
              <w:ind w:right="680"/>
              <w:spacing w:after="0" w:line="15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1,822,290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Bruce K. Posey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275,000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2,210,930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104,776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5,107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2,595,814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Vice President, General</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275,000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1,198,605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129,484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Counsel and Corporate Secretary</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266,859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382,569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405,228</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80,729</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1,137,423</w:t>
            </w:r>
          </w:p>
        </w:tc>
        <w:tc>
          <w:tcPr>
            <w:tcW w:w="0" w:type="dxa"/>
            <w:vAlign w:val="bottom"/>
          </w:tcPr>
          <w:p>
            <w:pPr>
              <w:spacing w:after="0"/>
              <w:rPr>
                <w:sz w:val="1"/>
                <w:szCs w:val="1"/>
                <w:color w:val="auto"/>
              </w:rPr>
            </w:pPr>
          </w:p>
        </w:tc>
      </w:tr>
      <w:tr>
        <w:trPr>
          <w:trHeight w:val="167"/>
        </w:trPr>
        <w:tc>
          <w:tcPr>
            <w:tcW w:w="3640" w:type="dxa"/>
            <w:vAlign w:val="bottom"/>
            <w:gridSpan w:val="3"/>
          </w:tcPr>
          <w:p>
            <w:pPr>
              <w:spacing w:after="0"/>
              <w:rPr>
                <w:sz w:val="20"/>
                <w:szCs w:val="20"/>
                <w:color w:val="auto"/>
              </w:rPr>
            </w:pPr>
            <w:r>
              <w:rPr>
                <w:rFonts w:ascii="Arial" w:cs="Arial" w:eastAsia="Arial" w:hAnsi="Arial"/>
                <w:sz w:val="14"/>
                <w:szCs w:val="14"/>
                <w:color w:val="auto"/>
              </w:rPr>
              <w:t>Sumedh S. Thakar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w w:val="98"/>
              </w:rPr>
              <w:t>325,000</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5,641,991</w:t>
            </w:r>
          </w:p>
        </w:tc>
        <w:tc>
          <w:tcPr>
            <w:tcW w:w="100" w:type="dxa"/>
            <w:vAlign w:val="bottom"/>
          </w:tcPr>
          <w:p>
            <w:pPr>
              <w:spacing w:after="0"/>
              <w:rPr>
                <w:sz w:val="14"/>
                <w:szCs w:val="14"/>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123,826</w:t>
            </w:r>
          </w:p>
        </w:tc>
        <w:tc>
          <w:tcPr>
            <w:tcW w:w="100" w:type="dxa"/>
            <w:vAlign w:val="bottom"/>
          </w:tcPr>
          <w:p>
            <w:pPr>
              <w:spacing w:after="0"/>
              <w:rPr>
                <w:sz w:val="14"/>
                <w:szCs w:val="14"/>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9,250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6,100,067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tcPr>
          <w:p>
            <w:pPr>
              <w:ind w:left="280"/>
              <w:spacing w:after="0"/>
              <w:rPr>
                <w:sz w:val="20"/>
                <w:szCs w:val="20"/>
                <w:color w:val="auto"/>
              </w:rPr>
            </w:pPr>
            <w:r>
              <w:rPr>
                <w:rFonts w:ascii="Arial" w:cs="Arial" w:eastAsia="Arial" w:hAnsi="Arial"/>
                <w:sz w:val="14"/>
                <w:szCs w:val="14"/>
                <w:color w:val="auto"/>
              </w:rPr>
              <w:t>Chief Product Officer</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w w:val="98"/>
              </w:rPr>
              <w:t>325,000</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7,339,879</w:t>
            </w:r>
          </w:p>
        </w:tc>
        <w:tc>
          <w:tcPr>
            <w:tcW w:w="100" w:type="dxa"/>
            <w:vAlign w:val="bottom"/>
          </w:tcPr>
          <w:p>
            <w:pPr>
              <w:spacing w:after="0"/>
              <w:rPr>
                <w:sz w:val="14"/>
                <w:szCs w:val="14"/>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153,026</w:t>
            </w:r>
          </w:p>
        </w:tc>
        <w:tc>
          <w:tcPr>
            <w:tcW w:w="100" w:type="dxa"/>
            <w:vAlign w:val="bottom"/>
          </w:tcPr>
          <w:p>
            <w:pPr>
              <w:spacing w:after="0"/>
              <w:rPr>
                <w:sz w:val="14"/>
                <w:szCs w:val="14"/>
                <w:color w:val="auto"/>
              </w:rPr>
            </w:pPr>
          </w:p>
        </w:tc>
        <w:tc>
          <w:tcPr>
            <w:tcW w:w="1560" w:type="dxa"/>
            <w:vAlign w:val="bottom"/>
          </w:tcPr>
          <w:p>
            <w:pPr>
              <w:jc w:val="right"/>
              <w:ind w:right="428"/>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7,826,905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3"/>
                <w:szCs w:val="13"/>
                <w:color w:val="auto"/>
              </w:rPr>
            </w:pPr>
          </w:p>
        </w:tc>
        <w:tc>
          <w:tcPr>
            <w:tcW w:w="600" w:type="dxa"/>
            <w:vAlign w:val="bottom"/>
          </w:tcPr>
          <w:p>
            <w:pPr>
              <w:ind w:left="80"/>
              <w:spacing w:after="0" w:line="157" w:lineRule="exact"/>
              <w:rPr>
                <w:sz w:val="20"/>
                <w:szCs w:val="20"/>
                <w:color w:val="auto"/>
              </w:rPr>
            </w:pPr>
            <w:r>
              <w:rPr>
                <w:rFonts w:ascii="Arial" w:cs="Arial" w:eastAsia="Arial" w:hAnsi="Arial"/>
                <w:sz w:val="14"/>
                <w:szCs w:val="14"/>
                <w:color w:val="auto"/>
                <w:w w:val="98"/>
              </w:rPr>
              <w:t>308,718</w:t>
            </w:r>
          </w:p>
        </w:tc>
        <w:tc>
          <w:tcPr>
            <w:tcW w:w="10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auto"/>
              </w:rPr>
              <w:t>1,433,318</w:t>
            </w:r>
          </w:p>
        </w:tc>
        <w:tc>
          <w:tcPr>
            <w:tcW w:w="100" w:type="dxa"/>
            <w:vAlign w:val="bottom"/>
          </w:tcPr>
          <w:p>
            <w:pPr>
              <w:spacing w:after="0"/>
              <w:rPr>
                <w:sz w:val="13"/>
                <w:szCs w:val="13"/>
                <w:color w:val="auto"/>
              </w:rPr>
            </w:pPr>
          </w:p>
        </w:tc>
        <w:tc>
          <w:tcPr>
            <w:tcW w:w="10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1,519,542</w:t>
            </w:r>
          </w:p>
        </w:tc>
        <w:tc>
          <w:tcPr>
            <w:tcW w:w="100" w:type="dxa"/>
            <w:vAlign w:val="bottom"/>
          </w:tcPr>
          <w:p>
            <w:pPr>
              <w:spacing w:after="0"/>
              <w:rPr>
                <w:sz w:val="13"/>
                <w:szCs w:val="13"/>
                <w:color w:val="auto"/>
              </w:rPr>
            </w:pPr>
          </w:p>
        </w:tc>
        <w:tc>
          <w:tcPr>
            <w:tcW w:w="160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94,896</w:t>
            </w:r>
          </w:p>
        </w:tc>
        <w:tc>
          <w:tcPr>
            <w:tcW w:w="100" w:type="dxa"/>
            <w:vAlign w:val="bottom"/>
          </w:tcPr>
          <w:p>
            <w:pPr>
              <w:spacing w:after="0"/>
              <w:rPr>
                <w:sz w:val="13"/>
                <w:szCs w:val="13"/>
                <w:color w:val="auto"/>
              </w:rPr>
            </w:pPr>
          </w:p>
        </w:tc>
        <w:tc>
          <w:tcPr>
            <w:tcW w:w="156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4,944</w:t>
            </w: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3,361,418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Amer S. Deeba (4)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191,543</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$ 71,068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8,963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Former Chief Commercial Officer</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300,000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1,276,222</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141,255</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10,422</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1,727,899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8"/>
              </w:rPr>
              <w:t>283,718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506,523</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87,500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5,170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40" w:right="40" w:hanging="436"/>
        <w:spacing w:after="0" w:line="234"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unit awards and option awards are shown at their aggregate grant date fair value as determined in accordance with FASB, ASC Topic 718. The fair value of each option grant is 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2018, filed with the SEC on February 27, 2019.</w:t>
      </w:r>
    </w:p>
    <w:p>
      <w:pPr>
        <w:spacing w:after="0" w:line="5" w:lineRule="exact"/>
        <w:rPr>
          <w:rFonts w:ascii="Arial" w:cs="Arial" w:eastAsia="Arial" w:hAnsi="Arial"/>
          <w:sz w:val="18"/>
          <w:szCs w:val="18"/>
          <w:color w:val="auto"/>
        </w:rPr>
      </w:pPr>
    </w:p>
    <w:p>
      <w:pPr>
        <w:ind w:left="440" w:hanging="436"/>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Non-equity incentive plan payments for 2018 were paid under our 2018 Corporate Bonus Plan as described in the narrative above.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440" w:top="265" w:right="419" w:bottom="1440" w:gutter="0" w:footer="0" w:header="0"/>
        </w:sectPr>
      </w:pPr>
    </w:p>
    <w:bookmarkStart w:id="47" w:name="page48"/>
    <w:bookmarkEnd w:id="47"/>
    <w:p>
      <w:pPr>
        <w:ind w:left="440" w:hanging="436"/>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Reflects 401(k) matching contributions by Qualys, except for Mr. Courtot.</w:t>
      </w:r>
    </w:p>
    <w:p>
      <w:pPr>
        <w:ind w:left="440" w:hanging="436"/>
        <w:spacing w:after="0" w:line="23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Deeba resigned from his position with the Company effective as of August 2, 2018.</w:t>
      </w:r>
    </w:p>
    <w:p>
      <w:pPr>
        <w:ind w:left="440" w:hanging="436"/>
        <w:spacing w:after="0" w:line="23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figure comprises a Hart-Scott-Rodino filing fee paid on behalf of Mr. Courtot.</w:t>
      </w:r>
    </w:p>
    <w:p>
      <w:pPr>
        <w:ind w:left="440" w:right="80" w:hanging="436"/>
        <w:spacing w:after="0" w:line="239"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three grants made in 2017: $6.8 million for Mr. Courtot’s annual refresh award for 2017, $7.9 million for Mr. Courtot’s annual refresh award for 2018 and $7.3 million for a catch-up award granted because the Compensation Committee determined that the value of the equity awards in the prior three years were not competitive with the value of the equity awards provided by companies in our compensation peer group to their similarly situated executives.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2018 Table</w:t>
      </w:r>
    </w:p>
    <w:p>
      <w:pPr>
        <w:spacing w:after="0" w:line="126" w:lineRule="exact"/>
        <w:rPr>
          <w:sz w:val="20"/>
          <w:szCs w:val="20"/>
          <w:color w:val="auto"/>
        </w:rPr>
      </w:pPr>
    </w:p>
    <w:p>
      <w:pPr>
        <w:ind w:right="320" w:firstLine="441"/>
        <w:spacing w:after="0" w:line="246"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Estimated Future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Payouts Under Non-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Equity Incentive Plan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Equity Grants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All Other</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Exercise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Awards:</w:t>
            </w: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or Base</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Price of</w:t>
            </w: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Plan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Shares of</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92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Name</w:t>
            </w:r>
          </w:p>
        </w:tc>
        <w:tc>
          <w:tcPr>
            <w:tcW w:w="110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Threshold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Stock or</w:t>
            </w:r>
          </w:p>
        </w:tc>
        <w:tc>
          <w:tcPr>
            <w:tcW w:w="78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Awards</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52"/>
        </w:trPr>
        <w:tc>
          <w:tcPr>
            <w:tcW w:w="29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40"/>
              <w:spacing w:after="0" w:line="152" w:lineRule="exact"/>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left="136"/>
              <w:spacing w:after="0" w:line="152" w:lineRule="exact"/>
              <w:rPr>
                <w:sz w:val="20"/>
                <w:szCs w:val="20"/>
                <w:color w:val="auto"/>
              </w:rPr>
            </w:pPr>
            <w:r>
              <w:rPr>
                <w:rFonts w:ascii="Arial" w:cs="Arial" w:eastAsia="Arial" w:hAnsi="Arial"/>
                <w:sz w:val="14"/>
                <w:szCs w:val="14"/>
                <w:b w:val="1"/>
                <w:bCs w:val="1"/>
                <w:color w:val="auto"/>
              </w:rPr>
              <w:t>(1)</w:t>
            </w:r>
          </w:p>
        </w:tc>
        <w:tc>
          <w:tcPr>
            <w:tcW w:w="840" w:type="dxa"/>
            <w:vAlign w:val="bottom"/>
            <w:gridSpan w:val="2"/>
          </w:tcPr>
          <w:p>
            <w:pPr>
              <w:jc w:val="center"/>
              <w:ind w:left="100"/>
              <w:spacing w:after="0" w:line="152" w:lineRule="exact"/>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3"/>
                <w:szCs w:val="13"/>
                <w:color w:val="auto"/>
              </w:rPr>
            </w:pPr>
          </w:p>
        </w:tc>
        <w:tc>
          <w:tcPr>
            <w:tcW w:w="6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3"/>
                <w:szCs w:val="13"/>
                <w:color w:val="auto"/>
              </w:rPr>
            </w:pPr>
          </w:p>
        </w:tc>
        <w:tc>
          <w:tcPr>
            <w:tcW w:w="960" w:type="dxa"/>
            <w:vAlign w:val="bottom"/>
            <w:gridSpan w:val="2"/>
          </w:tcPr>
          <w:p>
            <w:pPr>
              <w:jc w:val="center"/>
              <w:ind w:right="300"/>
              <w:spacing w:after="0" w:line="152" w:lineRule="exact"/>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3"/>
                <w:szCs w:val="13"/>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8"/>
              </w:rPr>
              <w:t>Options</w:t>
            </w:r>
          </w:p>
        </w:tc>
        <w:tc>
          <w:tcPr>
            <w:tcW w:w="114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/Share)</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($)(3)</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94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Philippe F. Courtot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1/1/2018</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line="170" w:lineRule="exact"/>
              <w:rPr>
                <w:sz w:val="20"/>
                <w:szCs w:val="20"/>
                <w:color w:val="auto"/>
              </w:rPr>
            </w:pPr>
            <w:r>
              <w:rPr>
                <w:rFonts w:ascii="Arial" w:cs="Arial" w:eastAsia="Arial" w:hAnsi="Arial"/>
                <w:sz w:val="17"/>
                <w:szCs w:val="17"/>
                <w:color w:val="auto"/>
                <w:w w:val="98"/>
              </w:rPr>
              <w:t>Bonus Plan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line="170" w:lineRule="exact"/>
              <w:rPr>
                <w:sz w:val="20"/>
                <w:szCs w:val="20"/>
                <w:color w:val="auto"/>
              </w:rPr>
            </w:pPr>
            <w:r>
              <w:rPr>
                <w:rFonts w:ascii="Arial" w:cs="Arial" w:eastAsia="Arial" w:hAnsi="Arial"/>
                <w:sz w:val="17"/>
                <w:szCs w:val="17"/>
                <w:color w:val="auto"/>
                <w:w w:val="99"/>
              </w:rPr>
              <w:t>$ 93,750</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ind w:left="40"/>
              <w:spacing w:after="0" w:line="170" w:lineRule="exact"/>
              <w:rPr>
                <w:sz w:val="20"/>
                <w:szCs w:val="20"/>
                <w:color w:val="auto"/>
              </w:rPr>
            </w:pPr>
            <w:r>
              <w:rPr>
                <w:rFonts w:ascii="Arial" w:cs="Arial" w:eastAsia="Arial" w:hAnsi="Arial"/>
                <w:sz w:val="17"/>
                <w:szCs w:val="17"/>
                <w:color w:val="auto"/>
                <w:w w:val="97"/>
              </w:rPr>
              <w:t>375,000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4"/>
              <w:spacing w:after="0" w:line="170"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ind w:left="340"/>
              <w:spacing w:after="0" w:line="170"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70"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1"/>
              <w:spacing w:after="0" w:line="170"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12/21/2018</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2012 Plan</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122,427(4)</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8,310,345(4)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tcPr>
          <w:p>
            <w:pPr>
              <w:spacing w:after="0" w:line="183" w:lineRule="exact"/>
              <w:rPr>
                <w:sz w:val="20"/>
                <w:szCs w:val="20"/>
                <w:color w:val="auto"/>
              </w:rPr>
            </w:pPr>
            <w:r>
              <w:rPr>
                <w:rFonts w:ascii="Arial" w:cs="Arial" w:eastAsia="Arial" w:hAnsi="Arial"/>
                <w:sz w:val="17"/>
                <w:szCs w:val="17"/>
                <w:color w:val="auto"/>
              </w:rPr>
              <w:t>Melissa B. Fisher</w:t>
            </w:r>
          </w:p>
        </w:tc>
        <w:tc>
          <w:tcPr>
            <w:tcW w:w="11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1/1/2018</w:t>
            </w:r>
          </w:p>
        </w:tc>
        <w:tc>
          <w:tcPr>
            <w:tcW w:w="1120" w:type="dxa"/>
            <w:vAlign w:val="bottom"/>
            <w:gridSpan w:val="2"/>
          </w:tcPr>
          <w:p>
            <w:pPr>
              <w:ind w:left="240"/>
              <w:spacing w:after="0" w:line="183" w:lineRule="exact"/>
              <w:rPr>
                <w:sz w:val="20"/>
                <w:szCs w:val="20"/>
                <w:color w:val="auto"/>
              </w:rPr>
            </w:pPr>
            <w:r>
              <w:rPr>
                <w:rFonts w:ascii="Arial" w:cs="Arial" w:eastAsia="Arial" w:hAnsi="Arial"/>
                <w:sz w:val="17"/>
                <w:szCs w:val="17"/>
                <w:color w:val="auto"/>
                <w:w w:val="98"/>
              </w:rPr>
              <w:t>Bonus Plan</w:t>
            </w:r>
          </w:p>
        </w:tc>
        <w:tc>
          <w:tcPr>
            <w:tcW w:w="840" w:type="dxa"/>
            <w:vAlign w:val="bottom"/>
            <w:gridSpan w:val="2"/>
          </w:tcPr>
          <w:p>
            <w:pPr>
              <w:jc w:val="center"/>
              <w:ind w:left="100"/>
              <w:spacing w:after="0" w:line="183" w:lineRule="exact"/>
              <w:rPr>
                <w:sz w:val="20"/>
                <w:szCs w:val="20"/>
                <w:color w:val="auto"/>
              </w:rPr>
            </w:pPr>
            <w:r>
              <w:rPr>
                <w:rFonts w:ascii="Arial" w:cs="Arial" w:eastAsia="Arial" w:hAnsi="Arial"/>
                <w:sz w:val="17"/>
                <w:szCs w:val="17"/>
                <w:color w:val="auto"/>
                <w:w w:val="99"/>
              </w:rPr>
              <w:t>$ 40,625</w:t>
            </w:r>
          </w:p>
        </w:tc>
        <w:tc>
          <w:tcPr>
            <w:tcW w:w="260" w:type="dxa"/>
            <w:vAlign w:val="bottom"/>
          </w:tcPr>
          <w:p>
            <w:pPr>
              <w:spacing w:after="0"/>
              <w:rPr>
                <w:sz w:val="15"/>
                <w:szCs w:val="15"/>
                <w:color w:val="auto"/>
              </w:rPr>
            </w:pPr>
          </w:p>
        </w:tc>
        <w:tc>
          <w:tcPr>
            <w:tcW w:w="660" w:type="dxa"/>
            <w:vAlign w:val="bottom"/>
          </w:tcPr>
          <w:p>
            <w:pPr>
              <w:ind w:left="40"/>
              <w:spacing w:after="0" w:line="183" w:lineRule="exact"/>
              <w:rPr>
                <w:sz w:val="20"/>
                <w:szCs w:val="20"/>
                <w:color w:val="auto"/>
              </w:rPr>
            </w:pPr>
            <w:r>
              <w:rPr>
                <w:rFonts w:ascii="Arial" w:cs="Arial" w:eastAsia="Arial" w:hAnsi="Arial"/>
                <w:sz w:val="17"/>
                <w:szCs w:val="17"/>
                <w:color w:val="auto"/>
                <w:w w:val="97"/>
              </w:rPr>
              <w:t>162,500</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700" w:type="dxa"/>
            <w:vAlign w:val="bottom"/>
          </w:tcPr>
          <w:p>
            <w:pPr>
              <w:ind w:left="340"/>
              <w:spacing w:after="0" w:line="183"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5"/>
                <w:szCs w:val="15"/>
                <w:color w:val="auto"/>
              </w:rPr>
            </w:pPr>
          </w:p>
        </w:tc>
        <w:tc>
          <w:tcPr>
            <w:tcW w:w="840" w:type="dxa"/>
            <w:vAlign w:val="bottom"/>
            <w:gridSpan w:val="2"/>
          </w:tcPr>
          <w:p>
            <w:pPr>
              <w:jc w:val="center"/>
              <w:ind w:right="220"/>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10/25/2018</w:t>
            </w:r>
          </w:p>
        </w:tc>
        <w:tc>
          <w:tcPr>
            <w:tcW w:w="1120" w:type="dxa"/>
            <w:vAlign w:val="bottom"/>
            <w:gridSpan w:val="2"/>
          </w:tcPr>
          <w:p>
            <w:pPr>
              <w:ind w:left="240"/>
              <w:spacing w:after="0"/>
              <w:rPr>
                <w:sz w:val="20"/>
                <w:szCs w:val="20"/>
                <w:color w:val="auto"/>
              </w:rPr>
            </w:pPr>
            <w:r>
              <w:rPr>
                <w:rFonts w:ascii="Arial" w:cs="Arial" w:eastAsia="Arial" w:hAnsi="Arial"/>
                <w:sz w:val="17"/>
                <w:szCs w:val="17"/>
                <w:color w:val="auto"/>
              </w:rPr>
              <w:t>2012 Plan</w:t>
            </w:r>
          </w:p>
        </w:tc>
        <w:tc>
          <w:tcPr>
            <w:tcW w:w="18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40,667</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3,099,232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Bruce K. Posey</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1/1/2018</w:t>
            </w:r>
          </w:p>
        </w:tc>
        <w:tc>
          <w:tcPr>
            <w:tcW w:w="1120" w:type="dxa"/>
            <w:vAlign w:val="bottom"/>
            <w:gridSpan w:val="2"/>
            <w:shd w:val="clear" w:color="auto" w:fill="CCEEFF"/>
          </w:tcPr>
          <w:p>
            <w:pPr>
              <w:ind w:left="240"/>
              <w:spacing w:after="0" w:line="183" w:lineRule="exact"/>
              <w:rPr>
                <w:sz w:val="20"/>
                <w:szCs w:val="20"/>
                <w:color w:val="auto"/>
              </w:rPr>
            </w:pPr>
            <w:r>
              <w:rPr>
                <w:rFonts w:ascii="Arial" w:cs="Arial" w:eastAsia="Arial" w:hAnsi="Arial"/>
                <w:sz w:val="17"/>
                <w:szCs w:val="17"/>
                <w:color w:val="auto"/>
                <w:w w:val="98"/>
              </w:rPr>
              <w:t>Bonus Plan</w:t>
            </w:r>
          </w:p>
        </w:tc>
        <w:tc>
          <w:tcPr>
            <w:tcW w:w="840" w:type="dxa"/>
            <w:vAlign w:val="bottom"/>
            <w:gridSpan w:val="2"/>
            <w:shd w:val="clear" w:color="auto" w:fill="CCEEFF"/>
          </w:tcPr>
          <w:p>
            <w:pPr>
              <w:jc w:val="center"/>
              <w:ind w:left="100"/>
              <w:spacing w:after="0" w:line="183" w:lineRule="exact"/>
              <w:rPr>
                <w:sz w:val="20"/>
                <w:szCs w:val="20"/>
                <w:color w:val="auto"/>
              </w:rPr>
            </w:pPr>
            <w:r>
              <w:rPr>
                <w:rFonts w:ascii="Arial" w:cs="Arial" w:eastAsia="Arial" w:hAnsi="Arial"/>
                <w:sz w:val="17"/>
                <w:szCs w:val="17"/>
                <w:color w:val="auto"/>
                <w:w w:val="99"/>
              </w:rPr>
              <w:t>$ 34,375</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ind w:left="40"/>
              <w:spacing w:after="0" w:line="183" w:lineRule="exact"/>
              <w:rPr>
                <w:sz w:val="20"/>
                <w:szCs w:val="20"/>
                <w:color w:val="auto"/>
              </w:rPr>
            </w:pPr>
            <w:r>
              <w:rPr>
                <w:rFonts w:ascii="Arial" w:cs="Arial" w:eastAsia="Arial" w:hAnsi="Arial"/>
                <w:sz w:val="17"/>
                <w:szCs w:val="17"/>
                <w:color w:val="auto"/>
                <w:w w:val="97"/>
              </w:rPr>
              <w:t>137,500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ind w:left="340"/>
              <w:spacing w:after="0" w:line="183"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220"/>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10/25/2018</w:t>
            </w:r>
          </w:p>
        </w:tc>
        <w:tc>
          <w:tcPr>
            <w:tcW w:w="112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2012 Plan</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23,468</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1,788,496</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7/26/2018</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2012 Plan</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4,442</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422,434</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40" w:type="dxa"/>
            <w:vAlign w:val="bottom"/>
            <w:gridSpan w:val="2"/>
          </w:tcPr>
          <w:p>
            <w:pPr>
              <w:spacing w:after="0" w:line="183" w:lineRule="exact"/>
              <w:rPr>
                <w:sz w:val="20"/>
                <w:szCs w:val="20"/>
                <w:color w:val="auto"/>
              </w:rPr>
            </w:pPr>
            <w:r>
              <w:rPr>
                <w:rFonts w:ascii="Arial" w:cs="Arial" w:eastAsia="Arial" w:hAnsi="Arial"/>
                <w:sz w:val="17"/>
                <w:szCs w:val="17"/>
                <w:color w:val="auto"/>
              </w:rPr>
              <w:t>Sumedh S. Thakar</w:t>
            </w:r>
          </w:p>
        </w:tc>
        <w:tc>
          <w:tcPr>
            <w:tcW w:w="2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1/1/2018</w:t>
            </w:r>
          </w:p>
        </w:tc>
        <w:tc>
          <w:tcPr>
            <w:tcW w:w="1120" w:type="dxa"/>
            <w:vAlign w:val="bottom"/>
            <w:gridSpan w:val="2"/>
          </w:tcPr>
          <w:p>
            <w:pPr>
              <w:ind w:left="240"/>
              <w:spacing w:after="0" w:line="183" w:lineRule="exact"/>
              <w:rPr>
                <w:sz w:val="20"/>
                <w:szCs w:val="20"/>
                <w:color w:val="auto"/>
              </w:rPr>
            </w:pPr>
            <w:r>
              <w:rPr>
                <w:rFonts w:ascii="Arial" w:cs="Arial" w:eastAsia="Arial" w:hAnsi="Arial"/>
                <w:sz w:val="17"/>
                <w:szCs w:val="17"/>
                <w:color w:val="auto"/>
                <w:w w:val="98"/>
              </w:rPr>
              <w:t>Bonus Plan</w:t>
            </w:r>
          </w:p>
        </w:tc>
        <w:tc>
          <w:tcPr>
            <w:tcW w:w="840" w:type="dxa"/>
            <w:vAlign w:val="bottom"/>
            <w:gridSpan w:val="2"/>
          </w:tcPr>
          <w:p>
            <w:pPr>
              <w:jc w:val="center"/>
              <w:ind w:left="100"/>
              <w:spacing w:after="0" w:line="183" w:lineRule="exact"/>
              <w:rPr>
                <w:sz w:val="20"/>
                <w:szCs w:val="20"/>
                <w:color w:val="auto"/>
              </w:rPr>
            </w:pPr>
            <w:r>
              <w:rPr>
                <w:rFonts w:ascii="Arial" w:cs="Arial" w:eastAsia="Arial" w:hAnsi="Arial"/>
                <w:sz w:val="17"/>
                <w:szCs w:val="17"/>
                <w:color w:val="auto"/>
                <w:w w:val="99"/>
              </w:rPr>
              <w:t>$ 40,625</w:t>
            </w:r>
          </w:p>
        </w:tc>
        <w:tc>
          <w:tcPr>
            <w:tcW w:w="260" w:type="dxa"/>
            <w:vAlign w:val="bottom"/>
          </w:tcPr>
          <w:p>
            <w:pPr>
              <w:spacing w:after="0"/>
              <w:rPr>
                <w:sz w:val="15"/>
                <w:szCs w:val="15"/>
                <w:color w:val="auto"/>
              </w:rPr>
            </w:pPr>
          </w:p>
        </w:tc>
        <w:tc>
          <w:tcPr>
            <w:tcW w:w="660" w:type="dxa"/>
            <w:vAlign w:val="bottom"/>
          </w:tcPr>
          <w:p>
            <w:pPr>
              <w:ind w:left="40"/>
              <w:spacing w:after="0" w:line="183" w:lineRule="exact"/>
              <w:rPr>
                <w:sz w:val="20"/>
                <w:szCs w:val="20"/>
                <w:color w:val="auto"/>
              </w:rPr>
            </w:pPr>
            <w:r>
              <w:rPr>
                <w:rFonts w:ascii="Arial" w:cs="Arial" w:eastAsia="Arial" w:hAnsi="Arial"/>
                <w:sz w:val="17"/>
                <w:szCs w:val="17"/>
                <w:color w:val="auto"/>
                <w:w w:val="97"/>
              </w:rPr>
              <w:t>162,500</w:t>
            </w:r>
          </w:p>
        </w:tc>
        <w:tc>
          <w:tcPr>
            <w:tcW w:w="120" w:type="dxa"/>
            <w:vAlign w:val="bottom"/>
          </w:tcPr>
          <w:p>
            <w:pPr>
              <w:spacing w:after="0"/>
              <w:rPr>
                <w:sz w:val="15"/>
                <w:szCs w:val="15"/>
                <w:color w:val="auto"/>
              </w:rPr>
            </w:pPr>
          </w:p>
        </w:tc>
        <w:tc>
          <w:tcPr>
            <w:tcW w:w="960" w:type="dxa"/>
            <w:vAlign w:val="bottom"/>
            <w:gridSpan w:val="2"/>
          </w:tcPr>
          <w:p>
            <w:pPr>
              <w:jc w:val="right"/>
              <w:ind w:right="400"/>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700" w:type="dxa"/>
            <w:vAlign w:val="bottom"/>
          </w:tcPr>
          <w:p>
            <w:pPr>
              <w:ind w:left="340"/>
              <w:spacing w:after="0" w:line="183"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5"/>
                <w:szCs w:val="15"/>
                <w:color w:val="auto"/>
              </w:rPr>
            </w:pPr>
          </w:p>
        </w:tc>
        <w:tc>
          <w:tcPr>
            <w:tcW w:w="840" w:type="dxa"/>
            <w:vAlign w:val="bottom"/>
            <w:gridSpan w:val="2"/>
          </w:tcPr>
          <w:p>
            <w:pPr>
              <w:jc w:val="center"/>
              <w:ind w:right="220"/>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10/25/2018</w:t>
            </w:r>
          </w:p>
        </w:tc>
        <w:tc>
          <w:tcPr>
            <w:tcW w:w="112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2012 Plan</w:t>
            </w:r>
          </w:p>
        </w:tc>
        <w:tc>
          <w:tcPr>
            <w:tcW w:w="180" w:type="dxa"/>
            <w:vAlign w:val="bottom"/>
          </w:tcPr>
          <w:p>
            <w:pPr>
              <w:spacing w:after="0"/>
              <w:rPr>
                <w:sz w:val="16"/>
                <w:szCs w:val="16"/>
                <w:color w:val="auto"/>
              </w:rPr>
            </w:pPr>
          </w:p>
        </w:tc>
        <w:tc>
          <w:tcPr>
            <w:tcW w:w="920" w:type="dxa"/>
            <w:vAlign w:val="bottom"/>
            <w:gridSpan w:val="2"/>
          </w:tcPr>
          <w:p>
            <w:pPr>
              <w:ind w:left="400"/>
              <w:spacing w:after="0" w:line="189" w:lineRule="exact"/>
              <w:rPr>
                <w:sz w:val="20"/>
                <w:szCs w:val="20"/>
                <w:color w:val="auto"/>
              </w:rPr>
            </w:pPr>
            <w:r>
              <w:rPr>
                <w:rFonts w:ascii="Arial" w:cs="Arial" w:eastAsia="Arial" w:hAnsi="Arial"/>
                <w:sz w:val="17"/>
                <w:szCs w:val="17"/>
                <w:color w:val="auto"/>
              </w:rPr>
              <w:t>—</w:t>
            </w:r>
          </w:p>
        </w:tc>
        <w:tc>
          <w:tcPr>
            <w:tcW w:w="660" w:type="dxa"/>
            <w:vAlign w:val="bottom"/>
          </w:tcPr>
          <w:p>
            <w:pPr>
              <w:ind w:left="40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67,104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ind w:left="340"/>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840" w:type="dxa"/>
            <w:vAlign w:val="bottom"/>
            <w:gridSpan w:val="2"/>
          </w:tcPr>
          <w:p>
            <w:pPr>
              <w:jc w:val="center"/>
              <w:ind w:right="22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5,113,996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7/26/2018</w:t>
            </w:r>
          </w:p>
        </w:tc>
        <w:tc>
          <w:tcPr>
            <w:tcW w:w="1120" w:type="dxa"/>
            <w:vAlign w:val="bottom"/>
            <w:gridSpan w:val="2"/>
          </w:tcPr>
          <w:p>
            <w:pPr>
              <w:ind w:left="240"/>
              <w:spacing w:after="0"/>
              <w:rPr>
                <w:sz w:val="20"/>
                <w:szCs w:val="20"/>
                <w:color w:val="auto"/>
              </w:rPr>
            </w:pPr>
            <w:r>
              <w:rPr>
                <w:rFonts w:ascii="Arial" w:cs="Arial" w:eastAsia="Arial" w:hAnsi="Arial"/>
                <w:sz w:val="17"/>
                <w:szCs w:val="17"/>
                <w:color w:val="auto"/>
              </w:rPr>
              <w:t>2012 Plan</w:t>
            </w:r>
          </w:p>
        </w:tc>
        <w:tc>
          <w:tcPr>
            <w:tcW w:w="18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5,552</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527,995</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Amer S. Deeba</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1/1/2018</w:t>
            </w:r>
          </w:p>
        </w:tc>
        <w:tc>
          <w:tcPr>
            <w:tcW w:w="112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w w:val="98"/>
              </w:rPr>
              <w:t>Bonus Plan</w:t>
            </w:r>
          </w:p>
        </w:tc>
        <w:tc>
          <w:tcPr>
            <w:tcW w:w="840" w:type="dxa"/>
            <w:vAlign w:val="bottom"/>
            <w:gridSpan w:val="2"/>
            <w:shd w:val="clear" w:color="auto" w:fill="CCEEFF"/>
          </w:tcPr>
          <w:p>
            <w:pPr>
              <w:jc w:val="center"/>
              <w:ind w:left="100"/>
              <w:spacing w:after="0" w:line="189" w:lineRule="exact"/>
              <w:rPr>
                <w:sz w:val="20"/>
                <w:szCs w:val="20"/>
                <w:color w:val="auto"/>
              </w:rPr>
            </w:pPr>
            <w:r>
              <w:rPr>
                <w:rFonts w:ascii="Arial" w:cs="Arial" w:eastAsia="Arial" w:hAnsi="Arial"/>
                <w:sz w:val="17"/>
                <w:szCs w:val="17"/>
                <w:color w:val="auto"/>
                <w:w w:val="99"/>
              </w:rPr>
              <w:t>$ 37,500</w:t>
            </w: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w w:val="97"/>
              </w:rPr>
              <w:t>150,000</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440" w:right="80" w:hanging="436"/>
        <w:spacing w:after="0" w:line="234"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2018 Corporate Bonus Plan. Awards granted under the “2012 Plan” represent awards granted under our 2012 Equity Incentive Plan.</w:t>
      </w:r>
    </w:p>
    <w:p>
      <w:pPr>
        <w:spacing w:after="0" w:line="1" w:lineRule="exact"/>
        <w:rPr>
          <w:rFonts w:ascii="Arial" w:cs="Arial" w:eastAsia="Arial" w:hAnsi="Arial"/>
          <w:sz w:val="18"/>
          <w:szCs w:val="18"/>
          <w:color w:val="auto"/>
        </w:rPr>
      </w:pPr>
    </w:p>
    <w:p>
      <w:pPr>
        <w:ind w:left="440" w:right="220" w:hanging="436"/>
        <w:spacing w:after="0" w:line="234"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reported in this column represent the payout under the 2018 Corporate Bonus Plan based on the minimum amounts payable for certain levels of performance for all three performance measures. Payout could be zero if performance comes in below minimum levels for all three measures.</w:t>
      </w:r>
    </w:p>
    <w:p>
      <w:pPr>
        <w:spacing w:after="0" w:line="2" w:lineRule="exact"/>
        <w:rPr>
          <w:rFonts w:ascii="Arial" w:cs="Arial" w:eastAsia="Arial" w:hAnsi="Arial"/>
          <w:sz w:val="18"/>
          <w:szCs w:val="18"/>
          <w:color w:val="auto"/>
        </w:rPr>
      </w:pPr>
    </w:p>
    <w:p>
      <w:pPr>
        <w:ind w:left="440" w:right="160" w:hanging="436"/>
        <w:spacing w:after="0" w:line="234"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of RSU awards, calculated in accordance with FASB ASC Topic 718.</w:t>
      </w:r>
    </w:p>
    <w:p>
      <w:pPr>
        <w:spacing w:after="0" w:line="1" w:lineRule="exact"/>
        <w:rPr>
          <w:rFonts w:ascii="Arial" w:cs="Arial" w:eastAsia="Arial" w:hAnsi="Arial"/>
          <w:sz w:val="18"/>
          <w:szCs w:val="18"/>
          <w:color w:val="auto"/>
        </w:rPr>
      </w:pPr>
    </w:p>
    <w:p>
      <w:pPr>
        <w:ind w:left="440" w:right="120" w:hanging="436"/>
        <w:spacing w:after="0" w:line="239"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represent the number of restricted stock units covered by the award granted to Mr. Courtot and the grant date fair value of the award, assuming achievement of the performance goals for the PRSUs covered by the award at target levels. For achievement of the performance goals for the PRSUs covered by the award at maximum levels, the number of restricted stock units is 188,604, and the grant date fair value of the award is $12,128,595.</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440" w:top="283" w:right="4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2018 Year-End Table</w:t>
      </w:r>
    </w:p>
    <w:p>
      <w:pPr>
        <w:spacing w:after="0" w:line="126" w:lineRule="exact"/>
        <w:rPr>
          <w:sz w:val="20"/>
          <w:szCs w:val="20"/>
          <w:color w:val="auto"/>
        </w:rPr>
      </w:pPr>
    </w:p>
    <w:p>
      <w:pPr>
        <w:ind w:right="360" w:firstLine="441"/>
        <w:spacing w:after="0" w:line="246" w:lineRule="auto"/>
        <w:rPr>
          <w:sz w:val="20"/>
          <w:szCs w:val="20"/>
          <w:color w:val="auto"/>
        </w:rPr>
      </w:pPr>
      <w:r>
        <w:rPr>
          <w:rFonts w:ascii="Arial" w:cs="Arial" w:eastAsia="Arial" w:hAnsi="Arial"/>
          <w:sz w:val="18"/>
          <w:szCs w:val="18"/>
          <w:color w:val="auto"/>
        </w:rPr>
        <w:t>The following tables present, for each of our named executive officers, information regarding outstanding stock options and other equity awards held as of December 31,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Option Awards (1)</w:t>
            </w: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440"/>
              <w:spacing w:after="0" w:line="143" w:lineRule="exact"/>
              <w:rPr>
                <w:sz w:val="20"/>
                <w:szCs w:val="20"/>
                <w:color w:val="auto"/>
              </w:rPr>
            </w:pPr>
            <w:r>
              <w:rPr>
                <w:rFonts w:ascii="Arial" w:cs="Arial" w:eastAsia="Arial" w:hAnsi="Arial"/>
                <w:sz w:val="14"/>
                <w:szCs w:val="14"/>
                <w:b w:val="1"/>
                <w:bCs w:val="1"/>
                <w:color w:val="auto"/>
              </w:rPr>
              <w:t>Option</w:t>
            </w: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Awards—</w:t>
            </w:r>
          </w:p>
        </w:tc>
        <w:tc>
          <w:tcPr>
            <w:tcW w:w="1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Awards—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Number of</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Securities</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Securities</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Underlying</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2"/>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Vesting</w:t>
            </w:r>
          </w:p>
        </w:tc>
        <w:tc>
          <w:tcPr>
            <w:tcW w:w="14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Unexercised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Unexercised</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278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Commencement</w:t>
            </w: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rPr>
              <w:t>Options (#)</w:t>
            </w:r>
          </w:p>
        </w:tc>
        <w:tc>
          <w:tcPr>
            <w:tcW w:w="15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Options (#)</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5"/>
        </w:trPr>
        <w:tc>
          <w:tcPr>
            <w:tcW w:w="2780" w:type="dxa"/>
            <w:vAlign w:val="bottom"/>
            <w:gridSpan w:val="3"/>
          </w:tcPr>
          <w:p>
            <w:pPr>
              <w:spacing w:after="0"/>
              <w:rPr>
                <w:sz w:val="20"/>
                <w:szCs w:val="20"/>
                <w:color w:val="auto"/>
              </w:rPr>
            </w:pPr>
            <w:r>
              <w:rPr>
                <w:rFonts w:ascii="Arial" w:cs="Arial" w:eastAsia="Arial" w:hAnsi="Arial"/>
                <w:sz w:val="14"/>
                <w:szCs w:val="14"/>
                <w:b w:val="1"/>
                <w:bCs w:val="1"/>
                <w:color w:val="auto"/>
              </w:rPr>
              <w:t>Officer</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Grant Date</w:t>
            </w:r>
          </w:p>
        </w:tc>
        <w:tc>
          <w:tcPr>
            <w:tcW w:w="2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Exercisable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Unexercisable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Price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4/28/2016</w:t>
            </w:r>
          </w:p>
        </w:tc>
        <w:tc>
          <w:tcPr>
            <w:tcW w:w="14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473"/>
              <w:spacing w:after="0" w:line="189" w:lineRule="exact"/>
              <w:rPr>
                <w:sz w:val="20"/>
                <w:szCs w:val="20"/>
                <w:color w:val="auto"/>
              </w:rPr>
            </w:pPr>
            <w:r>
              <w:rPr>
                <w:rFonts w:ascii="Arial" w:cs="Arial" w:eastAsia="Arial" w:hAnsi="Arial"/>
                <w:sz w:val="18"/>
                <w:szCs w:val="18"/>
                <w:color w:val="auto"/>
              </w:rPr>
              <w:t>4/28/2016</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333,333(2)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17"/>
              <w:spacing w:after="0" w:line="189" w:lineRule="exact"/>
              <w:rPr>
                <w:sz w:val="20"/>
                <w:szCs w:val="20"/>
                <w:color w:val="auto"/>
              </w:rPr>
            </w:pPr>
            <w:r>
              <w:rPr>
                <w:rFonts w:ascii="Arial" w:cs="Arial" w:eastAsia="Arial" w:hAnsi="Arial"/>
                <w:sz w:val="18"/>
                <w:szCs w:val="18"/>
                <w:color w:val="auto"/>
              </w:rPr>
              <w:t>166,667</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2/6/2014</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1/25/2015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398,000(3)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4/28/2016</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4/28/2016</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37,774(4)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417"/>
              <w:spacing w:after="0" w:line="202" w:lineRule="exact"/>
              <w:rPr>
                <w:sz w:val="20"/>
                <w:szCs w:val="20"/>
                <w:color w:val="auto"/>
              </w:rPr>
            </w:pPr>
            <w:r>
              <w:rPr>
                <w:rFonts w:ascii="Arial" w:cs="Arial" w:eastAsia="Arial" w:hAnsi="Arial"/>
                <w:sz w:val="18"/>
                <w:szCs w:val="18"/>
                <w:color w:val="auto"/>
              </w:rPr>
              <w:t>22,637</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25.56</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4/28/2016</w:t>
            </w:r>
          </w:p>
        </w:tc>
        <w:tc>
          <w:tcPr>
            <w:tcW w:w="14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473"/>
              <w:spacing w:after="0" w:line="201" w:lineRule="exact"/>
              <w:rPr>
                <w:sz w:val="20"/>
                <w:szCs w:val="20"/>
                <w:color w:val="auto"/>
              </w:rPr>
            </w:pPr>
            <w:r>
              <w:rPr>
                <w:rFonts w:ascii="Arial" w:cs="Arial" w:eastAsia="Arial" w:hAnsi="Arial"/>
                <w:sz w:val="18"/>
                <w:szCs w:val="18"/>
                <w:color w:val="auto"/>
              </w:rPr>
              <w:t>4/28/2016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24,200(2)</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17"/>
              <w:spacing w:after="0" w:line="201" w:lineRule="exact"/>
              <w:rPr>
                <w:sz w:val="20"/>
                <w:szCs w:val="20"/>
                <w:color w:val="auto"/>
              </w:rPr>
            </w:pPr>
            <w:r>
              <w:rPr>
                <w:rFonts w:ascii="Arial" w:cs="Arial" w:eastAsia="Arial" w:hAnsi="Arial"/>
                <w:sz w:val="18"/>
                <w:szCs w:val="18"/>
                <w:color w:val="auto"/>
              </w:rPr>
              <w:t>12,100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7/30/2015</w:t>
            </w:r>
          </w:p>
        </w:tc>
        <w:tc>
          <w:tcPr>
            <w:tcW w:w="14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473"/>
              <w:spacing w:after="0" w:line="202" w:lineRule="exact"/>
              <w:rPr>
                <w:sz w:val="20"/>
                <w:szCs w:val="20"/>
                <w:color w:val="auto"/>
              </w:rPr>
            </w:pPr>
            <w:r>
              <w:rPr>
                <w:rFonts w:ascii="Arial" w:cs="Arial" w:eastAsia="Arial" w:hAnsi="Arial"/>
                <w:sz w:val="18"/>
                <w:szCs w:val="18"/>
                <w:color w:val="auto"/>
              </w:rPr>
              <w:t>5/21/2016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15,000(5)</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37.28</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6/6/2012</w:t>
            </w:r>
          </w:p>
        </w:tc>
        <w:tc>
          <w:tcPr>
            <w:tcW w:w="140" w:type="dxa"/>
            <w:vAlign w:val="bottom"/>
            <w:shd w:val="clear" w:color="auto" w:fill="CCEEFF"/>
          </w:tcPr>
          <w:p>
            <w:pPr>
              <w:spacing w:after="0"/>
              <w:rPr>
                <w:sz w:val="18"/>
                <w:szCs w:val="18"/>
                <w:color w:val="auto"/>
              </w:rPr>
            </w:pPr>
          </w:p>
        </w:tc>
        <w:tc>
          <w:tcPr>
            <w:tcW w:w="20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5/21/2012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Sumedh S. Thakar</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4/28/2016</w:t>
            </w:r>
          </w:p>
        </w:tc>
        <w:tc>
          <w:tcPr>
            <w:tcW w:w="140" w:type="dxa"/>
            <w:vAlign w:val="bottom"/>
          </w:tcPr>
          <w:p>
            <w:pPr>
              <w:spacing w:after="0"/>
              <w:rPr>
                <w:sz w:val="17"/>
                <w:szCs w:val="17"/>
                <w:color w:val="auto"/>
              </w:rPr>
            </w:pPr>
          </w:p>
        </w:tc>
        <w:tc>
          <w:tcPr>
            <w:tcW w:w="2060" w:type="dxa"/>
            <w:vAlign w:val="bottom"/>
          </w:tcPr>
          <w:p>
            <w:pPr>
              <w:jc w:val="right"/>
              <w:ind w:right="473"/>
              <w:spacing w:after="0" w:line="201" w:lineRule="exact"/>
              <w:rPr>
                <w:sz w:val="20"/>
                <w:szCs w:val="20"/>
                <w:color w:val="auto"/>
              </w:rPr>
            </w:pPr>
            <w:r>
              <w:rPr>
                <w:rFonts w:ascii="Arial" w:cs="Arial" w:eastAsia="Arial" w:hAnsi="Arial"/>
                <w:sz w:val="18"/>
                <w:szCs w:val="18"/>
                <w:color w:val="auto"/>
              </w:rPr>
              <w:t>4/28/2016</w:t>
            </w:r>
          </w:p>
        </w:tc>
        <w:tc>
          <w:tcPr>
            <w:tcW w:w="1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90,666(2)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417"/>
              <w:spacing w:after="0" w:line="201" w:lineRule="exact"/>
              <w:rPr>
                <w:sz w:val="20"/>
                <w:szCs w:val="20"/>
                <w:color w:val="auto"/>
              </w:rPr>
            </w:pPr>
            <w:r>
              <w:rPr>
                <w:rFonts w:ascii="Arial" w:cs="Arial" w:eastAsia="Arial" w:hAnsi="Arial"/>
                <w:sz w:val="18"/>
                <w:szCs w:val="18"/>
                <w:color w:val="auto"/>
              </w:rPr>
              <w:t>45,334</w:t>
            </w:r>
          </w:p>
        </w:tc>
        <w:tc>
          <w:tcPr>
            <w:tcW w:w="1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25.56</w:t>
            </w: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7/30/2015</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7/30/2015</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37.28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10/30/2014</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10/30/2014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75,000(3)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8/1/2014</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6/1/2014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23.51</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5/2/2014</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5/2/2014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32,500(3)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10/31/2013</w:t>
            </w:r>
          </w:p>
        </w:tc>
        <w:tc>
          <w:tcPr>
            <w:tcW w:w="140" w:type="dxa"/>
            <w:vAlign w:val="bottom"/>
          </w:tcPr>
          <w:p>
            <w:pPr>
              <w:spacing w:after="0"/>
              <w:rPr>
                <w:sz w:val="17"/>
                <w:szCs w:val="17"/>
                <w:color w:val="auto"/>
              </w:rPr>
            </w:pPr>
          </w:p>
        </w:tc>
        <w:tc>
          <w:tcPr>
            <w:tcW w:w="2060" w:type="dxa"/>
            <w:vAlign w:val="bottom"/>
          </w:tcPr>
          <w:p>
            <w:pPr>
              <w:jc w:val="right"/>
              <w:ind w:right="473"/>
              <w:spacing w:after="0" w:line="202" w:lineRule="exact"/>
              <w:rPr>
                <w:sz w:val="20"/>
                <w:szCs w:val="20"/>
                <w:color w:val="auto"/>
              </w:rPr>
            </w:pPr>
            <w:r>
              <w:rPr>
                <w:rFonts w:ascii="Arial" w:cs="Arial" w:eastAsia="Arial" w:hAnsi="Arial"/>
                <w:sz w:val="18"/>
                <w:szCs w:val="18"/>
                <w:color w:val="auto"/>
              </w:rPr>
              <w:t>10/31/2013</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75,000(3)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20.80</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10/30/2023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2/7/2013</w:t>
            </w:r>
          </w:p>
        </w:tc>
        <w:tc>
          <w:tcPr>
            <w:tcW w:w="140" w:type="dxa"/>
            <w:vAlign w:val="bottom"/>
          </w:tcPr>
          <w:p>
            <w:pPr>
              <w:spacing w:after="0"/>
              <w:rPr>
                <w:sz w:val="18"/>
                <w:szCs w:val="18"/>
                <w:color w:val="auto"/>
              </w:rPr>
            </w:pPr>
          </w:p>
        </w:tc>
        <w:tc>
          <w:tcPr>
            <w:tcW w:w="2060" w:type="dxa"/>
            <w:vAlign w:val="bottom"/>
          </w:tcPr>
          <w:p>
            <w:pPr>
              <w:jc w:val="right"/>
              <w:ind w:right="473"/>
              <w:spacing w:after="0"/>
              <w:rPr>
                <w:sz w:val="20"/>
                <w:szCs w:val="20"/>
                <w:color w:val="auto"/>
              </w:rPr>
            </w:pPr>
            <w:r>
              <w:rPr>
                <w:rFonts w:ascii="Arial" w:cs="Arial" w:eastAsia="Arial" w:hAnsi="Arial"/>
                <w:sz w:val="18"/>
                <w:szCs w:val="18"/>
                <w:color w:val="auto"/>
              </w:rPr>
              <w:t>2/7/2013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20,611(3)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116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stock options referenced in this table were granted under the 2012 Plan.</w:t>
      </w:r>
    </w:p>
    <w:p>
      <w:pPr>
        <w:ind w:left="440" w:right="760" w:hanging="436"/>
        <w:spacing w:after="0" w:line="23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of our common stock subject to this stock option vest monthly starting on the one month anniversary of the vesting commencement date.</w:t>
      </w:r>
    </w:p>
    <w:p>
      <w:pPr>
        <w:spacing w:after="0" w:line="1" w:lineRule="exact"/>
        <w:rPr>
          <w:rFonts w:ascii="Arial" w:cs="Arial" w:eastAsia="Arial" w:hAnsi="Arial"/>
          <w:sz w:val="18"/>
          <w:szCs w:val="18"/>
          <w:color w:val="auto"/>
        </w:rPr>
      </w:pPr>
    </w:p>
    <w:p>
      <w:pPr>
        <w:ind w:left="440" w:hanging="436"/>
        <w:spacing w:after="0" w:line="23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these options was fully vested as of December 31, 2018.</w:t>
      </w:r>
    </w:p>
    <w:p>
      <w:pPr>
        <w:ind w:left="440" w:right="220" w:hanging="436"/>
        <w:spacing w:after="0" w:line="234"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of our common stock subject to this stock option vest on the one-year anniversary of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subject to this stock option vest monthly thereafter.</w:t>
      </w:r>
    </w:p>
    <w:p>
      <w:pPr>
        <w:spacing w:after="0" w:line="1" w:lineRule="exact"/>
        <w:rPr>
          <w:rFonts w:ascii="Arial" w:cs="Arial" w:eastAsia="Arial" w:hAnsi="Arial"/>
          <w:sz w:val="18"/>
          <w:szCs w:val="18"/>
          <w:color w:val="auto"/>
        </w:rPr>
      </w:pPr>
    </w:p>
    <w:p>
      <w:pPr>
        <w:ind w:left="440" w:right="760" w:hanging="436"/>
        <w:spacing w:after="0" w:line="246"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of our common stock subject to this stock option vest monthly starting on the one month anniversary of the vesting commencement date.</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40"/>
          </w:cols>
          <w:pgMar w:left="440" w:top="265" w:right="4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Stock Awards (1)</w:t>
            </w:r>
          </w:p>
        </w:tc>
        <w:tc>
          <w:tcPr>
            <w:tcW w:w="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8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Number of Shares or Units of</w:t>
            </w:r>
          </w:p>
        </w:tc>
        <w:tc>
          <w:tcPr>
            <w:tcW w:w="23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Market Value of Shares or Units of</w:t>
            </w:r>
          </w:p>
        </w:tc>
        <w:tc>
          <w:tcPr>
            <w:tcW w:w="0" w:type="dxa"/>
            <w:vAlign w:val="bottom"/>
          </w:tcPr>
          <w:p>
            <w:pPr>
              <w:spacing w:after="0"/>
              <w:rPr>
                <w:sz w:val="1"/>
                <w:szCs w:val="1"/>
                <w:color w:val="auto"/>
              </w:rPr>
            </w:pPr>
          </w:p>
        </w:tc>
      </w:t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 That Have Not</w:t>
            </w:r>
          </w:p>
        </w:tc>
        <w:tc>
          <w:tcPr>
            <w:tcW w:w="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Stock That Have Not Vested</w:t>
            </w:r>
          </w:p>
        </w:tc>
        <w:tc>
          <w:tcPr>
            <w:tcW w:w="0" w:type="dxa"/>
            <w:vAlign w:val="bottom"/>
          </w:tcPr>
          <w:p>
            <w:pPr>
              <w:spacing w:after="0"/>
              <w:rPr>
                <w:sz w:val="1"/>
                <w:szCs w:val="1"/>
                <w:color w:val="auto"/>
              </w:rPr>
            </w:pPr>
          </w:p>
        </w:tc>
      </w:tr>
      <w:tr>
        <w:trPr>
          <w:trHeight w:val="182"/>
        </w:trPr>
        <w:tc>
          <w:tcPr>
            <w:tcW w:w="1720" w:type="dxa"/>
            <w:vAlign w:val="bottom"/>
            <w:gridSpan w:val="2"/>
            <w:vMerge w:val="continue"/>
          </w:tcPr>
          <w:p>
            <w:pPr>
              <w:spacing w:after="0"/>
              <w:rPr>
                <w:sz w:val="15"/>
                <w:szCs w:val="15"/>
                <w:color w:val="auto"/>
              </w:rPr>
            </w:pPr>
          </w:p>
        </w:tc>
        <w:tc>
          <w:tcPr>
            <w:tcW w:w="3400" w:type="dxa"/>
            <w:vAlign w:val="bottom"/>
          </w:tcPr>
          <w:p>
            <w:pPr>
              <w:spacing w:after="0"/>
              <w:rPr>
                <w:sz w:val="15"/>
                <w:szCs w:val="15"/>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rPr>
              <w:t>Grant Date</w:t>
            </w:r>
          </w:p>
        </w:tc>
        <w:tc>
          <w:tcPr>
            <w:tcW w:w="240" w:type="dxa"/>
            <w:vAlign w:val="bottom"/>
          </w:tcPr>
          <w:p>
            <w:pPr>
              <w:spacing w:after="0"/>
              <w:rPr>
                <w:sz w:val="15"/>
                <w:szCs w:val="15"/>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Vested (#)</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 (11)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3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12/21/2018</w:t>
            </w:r>
          </w:p>
        </w:tc>
        <w:tc>
          <w:tcPr>
            <w:tcW w:w="24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8"/>
                <w:szCs w:val="18"/>
                <w:color w:val="auto"/>
              </w:rPr>
              <w:t>33,089(2)</w:t>
            </w: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2,473,072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12/21/2018</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33,088(3)</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2,472,997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12/21/2018</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56,250(4)</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4,204,125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111,924(5)</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8,365,200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22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111,430(6)</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8,328,278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Melissa B. Fisher</w:t>
            </w:r>
          </w:p>
        </w:tc>
        <w:tc>
          <w:tcPr>
            <w:tcW w:w="4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10/25/2018</w:t>
            </w:r>
          </w:p>
        </w:tc>
        <w:tc>
          <w:tcPr>
            <w:tcW w:w="2260" w:type="dxa"/>
            <w:vAlign w:val="bottom"/>
            <w:gridSpan w:val="2"/>
          </w:tcPr>
          <w:p>
            <w:pPr>
              <w:jc w:val="right"/>
              <w:ind w:right="281"/>
              <w:spacing w:after="0" w:line="201" w:lineRule="exact"/>
              <w:rPr>
                <w:sz w:val="20"/>
                <w:szCs w:val="20"/>
                <w:color w:val="auto"/>
              </w:rPr>
            </w:pPr>
            <w:r>
              <w:rPr>
                <w:rFonts w:ascii="Arial" w:cs="Arial" w:eastAsia="Arial" w:hAnsi="Arial"/>
                <w:sz w:val="18"/>
                <w:szCs w:val="18"/>
                <w:color w:val="auto"/>
              </w:rPr>
              <w:t>40,667(7)</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1" w:lineRule="exact"/>
              <w:rPr>
                <w:sz w:val="20"/>
                <w:szCs w:val="20"/>
                <w:color w:val="auto"/>
              </w:rPr>
            </w:pPr>
            <w:r>
              <w:rPr>
                <w:rFonts w:ascii="Arial" w:cs="Arial" w:eastAsia="Arial" w:hAnsi="Arial"/>
                <w:sz w:val="18"/>
                <w:szCs w:val="18"/>
                <w:color w:val="auto"/>
              </w:rPr>
              <w:t>3,039,452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10/27/2017</w:t>
            </w:r>
          </w:p>
        </w:tc>
        <w:tc>
          <w:tcPr>
            <w:tcW w:w="22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26,923(5)</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2,012,225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4/28/2017</w:t>
            </w:r>
          </w:p>
        </w:tc>
        <w:tc>
          <w:tcPr>
            <w:tcW w:w="22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43,037(6)</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3,216,585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4/28/2016</w:t>
            </w:r>
          </w:p>
        </w:tc>
        <w:tc>
          <w:tcPr>
            <w:tcW w:w="2260" w:type="dxa"/>
            <w:vAlign w:val="bottom"/>
            <w:gridSpan w:val="2"/>
          </w:tcPr>
          <w:p>
            <w:pPr>
              <w:jc w:val="right"/>
              <w:ind w:right="281"/>
              <w:spacing w:after="0"/>
              <w:rPr>
                <w:sz w:val="20"/>
                <w:szCs w:val="20"/>
                <w:color w:val="auto"/>
              </w:rPr>
            </w:pPr>
            <w:r>
              <w:rPr>
                <w:rFonts w:ascii="Arial" w:cs="Arial" w:eastAsia="Arial" w:hAnsi="Arial"/>
                <w:sz w:val="18"/>
                <w:szCs w:val="18"/>
                <w:color w:val="auto"/>
              </w:rPr>
              <w:t>11,890(8)</w:t>
            </w:r>
          </w:p>
        </w:tc>
        <w:tc>
          <w:tcPr>
            <w:tcW w:w="220" w:type="dxa"/>
            <w:vAlign w:val="bottom"/>
          </w:tcPr>
          <w:p>
            <w:pPr>
              <w:spacing w:after="0"/>
              <w:rPr>
                <w:sz w:val="18"/>
                <w:szCs w:val="18"/>
                <w:color w:val="auto"/>
              </w:rPr>
            </w:pPr>
          </w:p>
        </w:tc>
        <w:tc>
          <w:tcPr>
            <w:tcW w:w="2360" w:type="dxa"/>
            <w:vAlign w:val="bottom"/>
            <w:gridSpan w:val="2"/>
          </w:tcPr>
          <w:p>
            <w:pPr>
              <w:jc w:val="right"/>
              <w:ind w:right="556"/>
              <w:spacing w:after="0"/>
              <w:rPr>
                <w:sz w:val="20"/>
                <w:szCs w:val="20"/>
                <w:color w:val="auto"/>
              </w:rPr>
            </w:pPr>
            <w:r>
              <w:rPr>
                <w:rFonts w:ascii="Arial" w:cs="Arial" w:eastAsia="Arial" w:hAnsi="Arial"/>
                <w:sz w:val="18"/>
                <w:szCs w:val="18"/>
                <w:color w:val="auto"/>
              </w:rPr>
              <w:t>888,659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44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10/25/2018</w:t>
            </w:r>
          </w:p>
        </w:tc>
        <w:tc>
          <w:tcPr>
            <w:tcW w:w="2260" w:type="dxa"/>
            <w:vAlign w:val="bottom"/>
            <w:gridSpan w:val="2"/>
            <w:shd w:val="clear" w:color="auto" w:fill="CCEEFF"/>
          </w:tcPr>
          <w:p>
            <w:pPr>
              <w:jc w:val="right"/>
              <w:ind w:right="281"/>
              <w:spacing w:after="0" w:line="201" w:lineRule="exact"/>
              <w:rPr>
                <w:sz w:val="20"/>
                <w:szCs w:val="20"/>
                <w:color w:val="auto"/>
              </w:rPr>
            </w:pPr>
            <w:r>
              <w:rPr>
                <w:rFonts w:ascii="Arial" w:cs="Arial" w:eastAsia="Arial" w:hAnsi="Arial"/>
                <w:sz w:val="18"/>
                <w:szCs w:val="18"/>
                <w:color w:val="auto"/>
              </w:rPr>
              <w:t>23,468(7)</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1" w:lineRule="exact"/>
              <w:rPr>
                <w:sz w:val="20"/>
                <w:szCs w:val="20"/>
                <w:color w:val="auto"/>
              </w:rPr>
            </w:pPr>
            <w:r>
              <w:rPr>
                <w:rFonts w:ascii="Arial" w:cs="Arial" w:eastAsia="Arial" w:hAnsi="Arial"/>
                <w:sz w:val="18"/>
                <w:szCs w:val="18"/>
                <w:color w:val="auto"/>
              </w:rPr>
              <w:t>1,753,998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7/26/2018</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3,887(9)</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290,514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10,615(5)</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793,365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22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7,392(6)</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552,478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22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5,946(10)</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444,404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Sumedh S. Thakar</w:t>
            </w:r>
          </w:p>
        </w:tc>
        <w:tc>
          <w:tcPr>
            <w:tcW w:w="44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10/25/2018</w:t>
            </w:r>
          </w:p>
        </w:tc>
        <w:tc>
          <w:tcPr>
            <w:tcW w:w="2260" w:type="dxa"/>
            <w:vAlign w:val="bottom"/>
            <w:gridSpan w:val="2"/>
          </w:tcPr>
          <w:p>
            <w:pPr>
              <w:jc w:val="right"/>
              <w:ind w:right="281"/>
              <w:spacing w:after="0" w:line="201" w:lineRule="exact"/>
              <w:rPr>
                <w:sz w:val="20"/>
                <w:szCs w:val="20"/>
                <w:color w:val="auto"/>
              </w:rPr>
            </w:pPr>
            <w:r>
              <w:rPr>
                <w:rFonts w:ascii="Arial" w:cs="Arial" w:eastAsia="Arial" w:hAnsi="Arial"/>
                <w:sz w:val="18"/>
                <w:szCs w:val="18"/>
                <w:color w:val="auto"/>
              </w:rPr>
              <w:t>67,104(7)</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1" w:lineRule="exact"/>
              <w:rPr>
                <w:sz w:val="20"/>
                <w:szCs w:val="20"/>
                <w:color w:val="auto"/>
              </w:rPr>
            </w:pPr>
            <w:r>
              <w:rPr>
                <w:rFonts w:ascii="Arial" w:cs="Arial" w:eastAsia="Arial" w:hAnsi="Arial"/>
                <w:sz w:val="18"/>
                <w:szCs w:val="18"/>
                <w:color w:val="auto"/>
              </w:rPr>
              <w:t>5,015,353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7/26/2018</w:t>
            </w:r>
          </w:p>
        </w:tc>
        <w:tc>
          <w:tcPr>
            <w:tcW w:w="22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4,858(9)</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363,087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10/27/2017</w:t>
            </w:r>
          </w:p>
        </w:tc>
        <w:tc>
          <w:tcPr>
            <w:tcW w:w="22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55,722(5)</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4,164,662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4/28/2017</w:t>
            </w:r>
          </w:p>
        </w:tc>
        <w:tc>
          <w:tcPr>
            <w:tcW w:w="22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47,162(6)</w:t>
            </w:r>
          </w:p>
        </w:tc>
        <w:tc>
          <w:tcPr>
            <w:tcW w:w="220" w:type="dxa"/>
            <w:vAlign w:val="bottom"/>
          </w:tcPr>
          <w:p>
            <w:pPr>
              <w:spacing w:after="0"/>
              <w:rPr>
                <w:sz w:val="17"/>
                <w:szCs w:val="17"/>
                <w:color w:val="auto"/>
              </w:rPr>
            </w:pPr>
          </w:p>
        </w:tc>
        <w:tc>
          <w:tcPr>
            <w:tcW w:w="236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3,524,888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4/28/2016</w:t>
            </w:r>
          </w:p>
        </w:tc>
        <w:tc>
          <w:tcPr>
            <w:tcW w:w="2260" w:type="dxa"/>
            <w:vAlign w:val="bottom"/>
            <w:gridSpan w:val="2"/>
          </w:tcPr>
          <w:p>
            <w:pPr>
              <w:jc w:val="right"/>
              <w:ind w:right="281"/>
              <w:spacing w:after="0"/>
              <w:rPr>
                <w:sz w:val="20"/>
                <w:szCs w:val="20"/>
                <w:color w:val="auto"/>
              </w:rPr>
            </w:pPr>
            <w:r>
              <w:rPr>
                <w:rFonts w:ascii="Arial" w:cs="Arial" w:eastAsia="Arial" w:hAnsi="Arial"/>
                <w:sz w:val="18"/>
                <w:szCs w:val="18"/>
                <w:color w:val="auto"/>
              </w:rPr>
              <w:t>22,294(10)</w:t>
            </w:r>
          </w:p>
        </w:tc>
        <w:tc>
          <w:tcPr>
            <w:tcW w:w="220" w:type="dxa"/>
            <w:vAlign w:val="bottom"/>
          </w:tcPr>
          <w:p>
            <w:pPr>
              <w:spacing w:after="0"/>
              <w:rPr>
                <w:sz w:val="18"/>
                <w:szCs w:val="18"/>
                <w:color w:val="auto"/>
              </w:rPr>
            </w:pPr>
          </w:p>
        </w:tc>
        <w:tc>
          <w:tcPr>
            <w:tcW w:w="2360" w:type="dxa"/>
            <w:vAlign w:val="bottom"/>
            <w:gridSpan w:val="2"/>
          </w:tcPr>
          <w:p>
            <w:pPr>
              <w:jc w:val="right"/>
              <w:ind w:right="556"/>
              <w:spacing w:after="0"/>
              <w:rPr>
                <w:sz w:val="20"/>
                <w:szCs w:val="20"/>
                <w:color w:val="auto"/>
              </w:rPr>
            </w:pPr>
            <w:r>
              <w:rPr>
                <w:rFonts w:ascii="Arial" w:cs="Arial" w:eastAsia="Arial" w:hAnsi="Arial"/>
                <w:sz w:val="18"/>
                <w:szCs w:val="18"/>
                <w:color w:val="auto"/>
              </w:rPr>
              <w:t>1,666,254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 S. Deeba</w:t>
            </w:r>
          </w:p>
        </w:tc>
        <w:tc>
          <w:tcPr>
            <w:tcW w:w="3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340" w:type="dxa"/>
            <w:vAlign w:val="bottom"/>
            <w:shd w:val="clear" w:color="auto" w:fill="CCEEFF"/>
          </w:tcPr>
          <w:p>
            <w:pPr>
              <w:jc w:val="right"/>
              <w:ind w:right="656"/>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4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restricted stock units (RSUs) referenced in this table were granted under the 2012 Plan.</w:t>
      </w:r>
    </w:p>
    <w:p>
      <w:pPr>
        <w:ind w:left="440" w:right="8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will vest based on the achievement of goals that are not market price goals but based on operating performance goals for the period January 2019 through December 2021.</w:t>
      </w:r>
    </w:p>
    <w:p>
      <w:pPr>
        <w:spacing w:after="0" w:line="1" w:lineRule="exact"/>
        <w:rPr>
          <w:rFonts w:ascii="Arial" w:cs="Arial" w:eastAsia="Arial" w:hAnsi="Arial"/>
          <w:sz w:val="18"/>
          <w:szCs w:val="18"/>
          <w:color w:val="auto"/>
        </w:rPr>
      </w:pPr>
    </w:p>
    <w:p>
      <w:pPr>
        <w:ind w:left="440" w:right="30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will vest in three increments based on the achievement of goals that are not market price goals but based on operating performance goals for each of fiscal 2019, 2020 and 2021.</w:t>
      </w:r>
    </w:p>
    <w:p>
      <w:pPr>
        <w:spacing w:after="0" w:line="1" w:lineRule="exact"/>
        <w:rPr>
          <w:rFonts w:ascii="Arial" w:cs="Arial" w:eastAsia="Arial" w:hAnsi="Arial"/>
          <w:sz w:val="18"/>
          <w:szCs w:val="18"/>
          <w:color w:val="auto"/>
        </w:rPr>
      </w:pP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beginning on April 1, 2019</w:t>
      </w: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beginning on February 1, 2018.</w:t>
      </w: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beginning on August 1, 2017.</w:t>
      </w: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beginning on November 1, 2018.</w:t>
      </w:r>
    </w:p>
    <w:p>
      <w:pPr>
        <w:ind w:left="440" w:right="8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Twenty-five percent (25%) of the RSUs vested on May 1, 2017, and the remaining RSUs vest quarterly in equal installments through May 1, 2020.</w:t>
      </w:r>
    </w:p>
    <w:p>
      <w:pPr>
        <w:spacing w:after="0" w:line="1" w:lineRule="exact"/>
        <w:rPr>
          <w:rFonts w:ascii="Arial" w:cs="Arial" w:eastAsia="Arial" w:hAnsi="Arial"/>
          <w:sz w:val="18"/>
          <w:szCs w:val="18"/>
          <w:color w:val="auto"/>
        </w:rPr>
      </w:pP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two years beginning on August 1, 2018.</w:t>
      </w:r>
    </w:p>
    <w:p>
      <w:pPr>
        <w:ind w:left="440" w:hanging="436"/>
        <w:spacing w:after="0" w:line="23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beginning on August 1, 2016.</w:t>
      </w:r>
    </w:p>
    <w:p>
      <w:pPr>
        <w:ind w:left="440" w:right="200" w:hanging="436"/>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value of shares or units of stock that have not vested is computed by multiplying (i) $74.74, the closing price on the Nasdaq Stock Market of our common stock on December 31, 2018, the last business day of 2018, by (ii) the number of shares or units of stock.</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40"/>
          </w:cols>
          <w:pgMar w:left="440" w:top="275" w:right="4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in 2018 Table</w:t>
      </w:r>
    </w:p>
    <w:p>
      <w:pPr>
        <w:spacing w:after="0" w:line="126"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The following table sets forth the number of shares of common stock acquired during 2018 by our named executive officers upon the exercise of stock options and the vesting of restricted stock unit awards and the value realized upon such exercise or vesting.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5"/>
                <w:szCs w:val="15"/>
                <w:color w:val="auto"/>
              </w:rPr>
            </w:pPr>
          </w:p>
        </w:tc>
        <w:tc>
          <w:tcPr>
            <w:tcW w:w="2480" w:type="dxa"/>
            <w:vAlign w:val="bottom"/>
            <w:gridSpan w:val="4"/>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6"/>
              </w:rPr>
              <w:t>Value</w:t>
            </w:r>
          </w:p>
        </w:tc>
        <w:tc>
          <w:tcPr>
            <w:tcW w:w="540" w:type="dxa"/>
            <w:vAlign w:val="bottom"/>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5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Realized on</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62"/>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spacing w:after="0"/>
              <w:rPr>
                <w:sz w:val="14"/>
                <w:szCs w:val="14"/>
                <w:color w:val="auto"/>
              </w:rPr>
            </w:pPr>
          </w:p>
        </w:tc>
        <w:tc>
          <w:tcPr>
            <w:tcW w:w="10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Acquired on</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rPr>
              <w:t>Acquired on</w:t>
            </w:r>
          </w:p>
        </w:tc>
        <w:tc>
          <w:tcPr>
            <w:tcW w:w="5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62"/>
        </w:trPr>
        <w:tc>
          <w:tcPr>
            <w:tcW w:w="3440" w:type="dxa"/>
            <w:vAlign w:val="bottom"/>
            <w:gridSpan w:val="3"/>
            <w:vMerge w:val="continue"/>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Exercise (#)</w:t>
            </w:r>
          </w:p>
        </w:tc>
        <w:tc>
          <w:tcPr>
            <w:tcW w:w="140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rPr>
              <w:t>($) (1)</w:t>
            </w:r>
          </w:p>
        </w:tc>
        <w:tc>
          <w:tcPr>
            <w:tcW w:w="5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Vesting (#)</w:t>
            </w:r>
          </w:p>
        </w:tc>
        <w:tc>
          <w:tcPr>
            <w:tcW w:w="1400" w:type="dxa"/>
            <w:vAlign w:val="bottom"/>
            <w:gridSpan w:val="2"/>
          </w:tcPr>
          <w:p>
            <w:pPr>
              <w:jc w:val="center"/>
              <w:ind w:left="431"/>
              <w:spacing w:after="0"/>
              <w:rPr>
                <w:sz w:val="20"/>
                <w:szCs w:val="20"/>
                <w:color w:val="auto"/>
              </w:rPr>
            </w:pPr>
            <w:r>
              <w:rPr>
                <w:rFonts w:ascii="Arial" w:cs="Arial" w:eastAsia="Arial" w:hAnsi="Arial"/>
                <w:sz w:val="14"/>
                <w:szCs w:val="14"/>
                <w:b w:val="1"/>
                <w:bCs w:val="1"/>
                <w:color w:val="auto"/>
              </w:rPr>
              <w:t>($) (2)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1,707,582</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11,143</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702,009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1,706,544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9,327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587,601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1,782,665</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9,327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686,467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1,694,772</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9,327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793,261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1,685,881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47,695</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3,510,352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1,771,178</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47,694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3,004,722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1,759,034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11,143</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820,125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11,927</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1,015,999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11,143</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947,712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1,761,357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11,143</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830,711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1,731,110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695,328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1,737,522</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1,710,189</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440" w:type="dxa"/>
            <w:vAlign w:val="bottom"/>
            <w:gridSpan w:val="3"/>
          </w:tcPr>
          <w:p>
            <w:pPr>
              <w:spacing w:after="0"/>
              <w:rPr>
                <w:sz w:val="20"/>
                <w:szCs w:val="20"/>
                <w:color w:val="auto"/>
              </w:rPr>
            </w:pPr>
            <w:r>
              <w:rPr>
                <w:rFonts w:ascii="Arial" w:cs="Arial" w:eastAsia="Arial" w:hAnsi="Arial"/>
                <w:sz w:val="18"/>
                <w:szCs w:val="18"/>
                <w:color w:val="auto"/>
              </w:rPr>
              <w:t>Melissa B. Fisher</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1,500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133,529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1,981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153,131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111,525</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168,569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121,950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167,290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108,585</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366,055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1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130,262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2,243</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141,309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332,699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4,303</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271,089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173,461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2,243</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190,767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124,866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1,982</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147,758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4,303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320,789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180" w:type="dxa"/>
            <w:vAlign w:val="bottom"/>
            <w:gridSpan w:val="3"/>
          </w:tcPr>
          <w:p>
            <w:pPr>
              <w:spacing w:after="0"/>
              <w:rPr>
                <w:sz w:val="8"/>
                <w:szCs w:val="8"/>
                <w:color w:val="auto"/>
              </w:rPr>
            </w:pPr>
          </w:p>
        </w:tc>
        <w:tc>
          <w:tcPr>
            <w:tcW w:w="1400" w:type="dxa"/>
            <w:vAlign w:val="bottom"/>
            <w:gridSpan w:val="2"/>
          </w:tcPr>
          <w:p>
            <w:pPr>
              <w:spacing w:after="0"/>
              <w:rPr>
                <w:sz w:val="8"/>
                <w:szCs w:val="8"/>
                <w:color w:val="auto"/>
              </w:rPr>
            </w:pPr>
          </w:p>
        </w:tc>
        <w:tc>
          <w:tcPr>
            <w:tcW w:w="140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2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176,987</w:t>
            </w:r>
          </w:p>
        </w:tc>
        <w:tc>
          <w:tcPr>
            <w:tcW w:w="14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555</w:t>
            </w:r>
          </w:p>
        </w:tc>
        <w:tc>
          <w:tcPr>
            <w:tcW w:w="14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41,375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1,687,750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62,433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152,557</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73,879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5,756</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419,209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84,200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152,751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76,604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156,689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46,557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184,190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740</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55,167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62,852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739</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57,125</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65,977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55,692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75,184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885</w:t>
            </w:r>
          </w:p>
        </w:tc>
        <w:tc>
          <w:tcPr>
            <w:tcW w:w="1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68,411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20" w:type="dxa"/>
            <w:vAlign w:val="bottom"/>
            <w:gridSpan w:val="2"/>
          </w:tcPr>
          <w:p>
            <w:pPr>
              <w:jc w:val="right"/>
              <w:ind w:right="59"/>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5" w:right="41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Sumedh S. Thakar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Amer S. Deeba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5"/>
          </w:tcPr>
          <w:p>
            <w:pPr>
              <w:jc w:val="right"/>
              <w:ind w:right="539"/>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5"/>
          </w:tcPr>
          <w:p>
            <w:pPr>
              <w:ind w:left="520"/>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r>
      <w:tr>
        <w:trPr>
          <w:trHeight w:val="162"/>
        </w:trPr>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Realized on</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on</w:t>
            </w:r>
          </w:p>
        </w:tc>
      </w:tr>
      <w:tr>
        <w:trPr>
          <w:trHeight w:val="162"/>
        </w:trPr>
        <w:tc>
          <w:tcPr>
            <w:tcW w:w="108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rPr>
              <w:t>Acquired on</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1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rPr>
              <w:t>Acquired on</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Vesting</w:t>
            </w:r>
          </w:p>
        </w:tc>
      </w:tr>
      <w:tr>
        <w:trPr>
          <w:trHeight w:val="175"/>
        </w:trPr>
        <w:tc>
          <w:tcPr>
            <w:tcW w:w="2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w:t>
            </w:r>
          </w:p>
        </w:tc>
        <w:tc>
          <w:tcPr>
            <w:tcW w:w="1400" w:type="dxa"/>
            <w:vAlign w:val="bottom"/>
            <w:gridSpan w:val="4"/>
          </w:tcPr>
          <w:p>
            <w:pPr>
              <w:jc w:val="center"/>
              <w:ind w:left="431"/>
              <w:spacing w:after="0"/>
              <w:rPr>
                <w:sz w:val="20"/>
                <w:szCs w:val="20"/>
                <w:color w:val="auto"/>
              </w:rPr>
            </w:pPr>
            <w:r>
              <w:rPr>
                <w:rFonts w:ascii="Arial" w:cs="Arial" w:eastAsia="Arial" w:hAnsi="Arial"/>
                <w:sz w:val="14"/>
                <w:szCs w:val="14"/>
                <w:b w:val="1"/>
                <w:bCs w:val="1"/>
                <w:color w:val="auto"/>
              </w:rPr>
              <w:t>($) (1)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Vesting (#)</w:t>
            </w:r>
          </w:p>
        </w:tc>
        <w:tc>
          <w:tcPr>
            <w:tcW w:w="1320" w:type="dxa"/>
            <w:vAlign w:val="bottom"/>
            <w:gridSpan w:val="3"/>
          </w:tcPr>
          <w:p>
            <w:pPr>
              <w:jc w:val="center"/>
              <w:ind w:left="431"/>
              <w:spacing w:after="0"/>
              <w:rPr>
                <w:sz w:val="20"/>
                <w:szCs w:val="20"/>
                <w:color w:val="auto"/>
              </w:rPr>
            </w:pPr>
            <w:r>
              <w:rPr>
                <w:rFonts w:ascii="Arial" w:cs="Arial" w:eastAsia="Arial" w:hAnsi="Arial"/>
                <w:sz w:val="14"/>
                <w:szCs w:val="14"/>
                <w:b w:val="1"/>
                <w:bCs w:val="1"/>
                <w:color w:val="auto"/>
              </w:rPr>
              <w:t>($) (2)</w:t>
            </w:r>
          </w:p>
        </w:tc>
        <w:tc>
          <w:tcPr>
            <w:tcW w:w="220" w:type="dxa"/>
            <w:vAlign w:val="bottom"/>
          </w:tcPr>
          <w:p>
            <w:pPr>
              <w:spacing w:after="0"/>
              <w:rPr>
                <w:sz w:val="15"/>
                <w:szCs w:val="15"/>
                <w:color w:val="auto"/>
              </w:rPr>
            </w:pPr>
          </w:p>
        </w:tc>
      </w:tr>
      <w:tr>
        <w:trPr>
          <w:trHeight w:val="195"/>
        </w:trPr>
        <w:tc>
          <w:tcPr>
            <w:tcW w:w="220" w:type="dxa"/>
            <w:vAlign w:val="bottom"/>
          </w:tcPr>
          <w:p>
            <w:pPr>
              <w:spacing w:after="0"/>
              <w:rPr>
                <w:sz w:val="16"/>
                <w:szCs w:val="16"/>
                <w:color w:val="auto"/>
              </w:rPr>
            </w:pPr>
          </w:p>
        </w:tc>
        <w:tc>
          <w:tcPr>
            <w:tcW w:w="8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1,600</w:t>
            </w:r>
          </w:p>
        </w:tc>
        <w:tc>
          <w:tcPr>
            <w:tcW w:w="540" w:type="dxa"/>
            <w:vAlign w:val="bottom"/>
            <w:gridSpan w:val="2"/>
          </w:tcPr>
          <w:p>
            <w:pPr>
              <w:spacing w:after="0"/>
              <w:rPr>
                <w:sz w:val="16"/>
                <w:szCs w:val="16"/>
                <w:color w:val="auto"/>
              </w:rPr>
            </w:pPr>
          </w:p>
        </w:tc>
        <w:tc>
          <w:tcPr>
            <w:tcW w:w="8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123,340</w:t>
            </w:r>
          </w:p>
        </w:tc>
        <w:tc>
          <w:tcPr>
            <w:tcW w:w="540" w:type="dxa"/>
            <w:vAlign w:val="bottom"/>
            <w:gridSpan w:val="2"/>
          </w:tcPr>
          <w:p>
            <w:pPr>
              <w:spacing w:after="0"/>
              <w:rPr>
                <w:sz w:val="16"/>
                <w:szCs w:val="16"/>
                <w:color w:val="auto"/>
              </w:rPr>
            </w:pPr>
          </w:p>
        </w:tc>
        <w:tc>
          <w:tcPr>
            <w:tcW w:w="8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3,716</w:t>
            </w:r>
          </w:p>
        </w:tc>
        <w:tc>
          <w:tcPr>
            <w:tcW w:w="540" w:type="dxa"/>
            <w:vAlign w:val="bottom"/>
            <w:gridSpan w:val="2"/>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287,247</w:t>
            </w:r>
          </w:p>
        </w:tc>
        <w:tc>
          <w:tcPr>
            <w:tcW w:w="220" w:type="dxa"/>
            <w:vAlign w:val="bottom"/>
          </w:tcPr>
          <w:p>
            <w:pPr>
              <w:spacing w:after="0"/>
              <w:rPr>
                <w:sz w:val="16"/>
                <w:szCs w:val="16"/>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665,365</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694</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51,738</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950,227</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4,716</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351,578</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117,425</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4,643</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358,904</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156,880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4,644</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394,972</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119,702</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4,643</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346,136</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126,783</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4,643</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292,509</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149,085</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4,716</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401,096</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120,999</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4,716</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364,547</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154,557</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3,479</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219,177</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169,357</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3,479</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268,927</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147,231</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3,715</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315,961</w:t>
            </w:r>
          </w:p>
        </w:tc>
        <w:tc>
          <w:tcPr>
            <w:tcW w:w="220" w:type="dxa"/>
            <w:vAlign w:val="bottom"/>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177,423</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3,716</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277,028</w:t>
            </w:r>
          </w:p>
        </w:tc>
        <w:tc>
          <w:tcPr>
            <w:tcW w:w="2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3,716</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234,108</w:t>
            </w:r>
          </w:p>
        </w:tc>
        <w:tc>
          <w:tcPr>
            <w:tcW w:w="220" w:type="dxa"/>
            <w:vAlign w:val="bottom"/>
          </w:tcPr>
          <w:p>
            <w:pPr>
              <w:spacing w:after="0"/>
              <w:rPr>
                <w:sz w:val="17"/>
                <w:szCs w:val="17"/>
                <w:color w:val="auto"/>
              </w:rPr>
            </w:pPr>
          </w:p>
        </w:tc>
      </w:tr>
      <w:tr>
        <w:trPr>
          <w:trHeight w:val="21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4,716</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297,108</w:t>
            </w:r>
          </w:p>
        </w:tc>
        <w:tc>
          <w:tcPr>
            <w:tcW w:w="220" w:type="dxa"/>
            <w:vAlign w:val="bottom"/>
          </w:tcPr>
          <w:p>
            <w:pPr>
              <w:spacing w:after="0"/>
              <w:rPr>
                <w:sz w:val="18"/>
                <w:szCs w:val="18"/>
                <w:color w:val="auto"/>
              </w:rPr>
            </w:pPr>
          </w:p>
        </w:tc>
      </w:tr>
      <w:tr>
        <w:trPr>
          <w:trHeight w:val="297"/>
        </w:trPr>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28,096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2,589,046</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568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43,906</w:t>
            </w:r>
          </w:p>
        </w:tc>
        <w:tc>
          <w:tcPr>
            <w:tcW w:w="220" w:type="dxa"/>
            <w:vAlign w:val="bottom"/>
          </w:tcPr>
          <w:p>
            <w:pPr>
              <w:spacing w:after="0"/>
              <w:rPr>
                <w:sz w:val="24"/>
                <w:szCs w:val="24"/>
                <w:color w:val="auto"/>
              </w:rPr>
            </w:pPr>
          </w:p>
        </w:tc>
      </w:tr>
      <w:tr>
        <w:trPr>
          <w:trHeight w:val="203"/>
        </w:trPr>
        <w:tc>
          <w:tcPr>
            <w:tcW w:w="108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9,424</w:t>
            </w: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816,247</w:t>
            </w:r>
          </w:p>
        </w:tc>
        <w:tc>
          <w:tcPr>
            <w:tcW w:w="1400" w:type="dxa"/>
            <w:vAlign w:val="bottom"/>
            <w:gridSpan w:val="4"/>
            <w:shd w:val="clear" w:color="auto" w:fill="CCEEFF"/>
          </w:tcPr>
          <w:p>
            <w:pPr>
              <w:jc w:val="right"/>
              <w:spacing w:after="0" w:line="201" w:lineRule="exact"/>
              <w:rPr>
                <w:sz w:val="20"/>
                <w:szCs w:val="20"/>
                <w:color w:val="auto"/>
              </w:rPr>
            </w:pPr>
            <w:r>
              <w:rPr>
                <w:rFonts w:ascii="Arial" w:cs="Arial" w:eastAsia="Arial" w:hAnsi="Arial"/>
                <w:sz w:val="18"/>
                <w:szCs w:val="18"/>
                <w:color w:val="auto"/>
              </w:rPr>
              <w:t>568</w:t>
            </w:r>
          </w:p>
        </w:tc>
        <w:tc>
          <w:tcPr>
            <w:tcW w:w="13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35,784</w:t>
            </w:r>
          </w:p>
        </w:tc>
        <w:tc>
          <w:tcPr>
            <w:tcW w:w="22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3,191</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273,628</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1,203</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92,992</w:t>
            </w:r>
          </w:p>
        </w:tc>
        <w:tc>
          <w:tcPr>
            <w:tcW w:w="220" w:type="dxa"/>
            <w:vAlign w:val="bottom"/>
            <w:shd w:val="clear" w:color="auto" w:fill="CCEEFF"/>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6,404</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549,143</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1,202</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102,230</w:t>
            </w:r>
          </w:p>
        </w:tc>
        <w:tc>
          <w:tcPr>
            <w:tcW w:w="220" w:type="dxa"/>
            <w:vAlign w:val="bottom"/>
            <w:shd w:val="clear" w:color="auto" w:fill="CCEEFF"/>
          </w:tcPr>
          <w:p>
            <w:pPr>
              <w:spacing w:after="0"/>
              <w:rPr>
                <w:sz w:val="17"/>
                <w:szCs w:val="17"/>
                <w:color w:val="auto"/>
              </w:rPr>
            </w:pPr>
          </w:p>
        </w:tc>
      </w:tr>
      <w:tr>
        <w:trPr>
          <w:trHeight w:val="203"/>
        </w:trPr>
        <w:tc>
          <w:tcPr>
            <w:tcW w:w="300" w:type="dxa"/>
            <w:vAlign w:val="bottom"/>
            <w:gridSpan w:val="2"/>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5,509</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496,085</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1,203</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75,789</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3,543</w:t>
            </w:r>
          </w:p>
        </w:tc>
        <w:tc>
          <w:tcPr>
            <w:tcW w:w="220" w:type="dxa"/>
            <w:vAlign w:val="bottom"/>
          </w:tcPr>
          <w:p>
            <w:pPr>
              <w:spacing w:after="0"/>
              <w:rPr>
                <w:sz w:val="17"/>
                <w:szCs w:val="17"/>
                <w:color w:val="auto"/>
              </w:rPr>
            </w:pP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309,658</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534</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33,642</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588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50,450</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105,377</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8,255</w:t>
            </w:r>
          </w:p>
        </w:tc>
        <w:tc>
          <w:tcPr>
            <w:tcW w:w="5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720,662</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77,994</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4,973</w:t>
            </w:r>
          </w:p>
        </w:tc>
        <w:tc>
          <w:tcPr>
            <w:tcW w:w="580" w:type="dxa"/>
            <w:vAlign w:val="bottom"/>
            <w:gridSpan w:val="3"/>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423,202</w:t>
            </w:r>
          </w:p>
        </w:tc>
        <w:tc>
          <w:tcPr>
            <w:tcW w:w="14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41,356</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11,904</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1,029,618</w:t>
            </w:r>
          </w:p>
        </w:tc>
        <w:tc>
          <w:tcPr>
            <w:tcW w:w="220" w:type="dxa"/>
            <w:vAlign w:val="bottom"/>
          </w:tcPr>
          <w:p>
            <w:pPr>
              <w:spacing w:after="0"/>
              <w:rPr>
                <w:sz w:val="17"/>
                <w:szCs w:val="17"/>
                <w:color w:val="auto"/>
              </w:rPr>
            </w:pP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45,502</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152,680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1,239</w:t>
            </w:r>
          </w:p>
        </w:tc>
        <w:tc>
          <w:tcPr>
            <w:tcW w:w="13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95,775</w:t>
            </w: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149,160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125,421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1,547,750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170,040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2"/>
        </w:trPr>
        <w:tc>
          <w:tcPr>
            <w:tcW w:w="108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2,000</w:t>
            </w:r>
          </w:p>
        </w:tc>
        <w:tc>
          <w:tcPr>
            <w:tcW w:w="140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155,999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-4784090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-2056765</wp:posOffset>
            </wp:positionV>
            <wp:extent cx="6997700" cy="47593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4759325"/>
                    </a:xfrm>
                    <a:prstGeom prst="rect">
                      <a:avLst/>
                    </a:prstGeom>
                    <a:noFill/>
                  </pic:spPr>
                </pic:pic>
              </a:graphicData>
            </a:graphic>
          </wp:anchor>
        </w:drawing>
      </w:r>
    </w:p>
    <w:p>
      <w:pPr>
        <w:ind w:left="2120" w:hanging="1151"/>
        <w:spacing w:after="0" w:line="234" w:lineRule="auto"/>
        <w:tabs>
          <w:tab w:leader="none" w:pos="2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17,346</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2,000143,690</w:t>
      </w:r>
    </w:p>
    <w:p>
      <w:pPr>
        <w:ind w:left="720"/>
        <w:spacing w:after="0" w:line="235" w:lineRule="auto"/>
        <w:tabs>
          <w:tab w:leader="none" w:pos="1860" w:val="left"/>
        </w:tabs>
        <w:rPr>
          <w:sz w:val="20"/>
          <w:szCs w:val="20"/>
          <w:color w:val="auto"/>
        </w:rPr>
      </w:pPr>
      <w:r>
        <w:rPr>
          <w:rFonts w:ascii="Arial" w:cs="Arial" w:eastAsia="Arial" w:hAnsi="Arial"/>
          <w:sz w:val="18"/>
          <w:szCs w:val="18"/>
          <w:color w:val="auto"/>
        </w:rPr>
        <w:t>13,617</w:t>
      </w:r>
      <w:r>
        <w:rPr>
          <w:sz w:val="20"/>
          <w:szCs w:val="20"/>
          <w:color w:val="auto"/>
        </w:rPr>
        <w:tab/>
      </w:r>
      <w:r>
        <w:rPr>
          <w:rFonts w:ascii="Arial" w:cs="Arial" w:eastAsia="Arial" w:hAnsi="Arial"/>
          <w:sz w:val="18"/>
          <w:szCs w:val="18"/>
          <w:color w:val="auto"/>
        </w:rPr>
        <w:t>1,150,851</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6,809</w:t>
      </w:r>
      <w:r>
        <w:rPr>
          <w:sz w:val="20"/>
          <w:szCs w:val="20"/>
          <w:color w:val="auto"/>
        </w:rPr>
        <w:tab/>
      </w:r>
      <w:r>
        <w:rPr>
          <w:rFonts w:ascii="Arial" w:cs="Arial" w:eastAsia="Arial" w:hAnsi="Arial"/>
          <w:sz w:val="18"/>
          <w:szCs w:val="18"/>
          <w:color w:val="auto"/>
        </w:rPr>
        <w:t>575,361</w:t>
      </w:r>
    </w:p>
    <w:p>
      <w:pPr>
        <w:ind w:left="720"/>
        <w:spacing w:after="0" w:line="235" w:lineRule="auto"/>
        <w:tabs>
          <w:tab w:leader="none" w:pos="1860" w:val="left"/>
        </w:tabs>
        <w:rPr>
          <w:sz w:val="20"/>
          <w:szCs w:val="20"/>
          <w:color w:val="auto"/>
        </w:rPr>
      </w:pPr>
      <w:r>
        <w:rPr>
          <w:rFonts w:ascii="Arial" w:cs="Arial" w:eastAsia="Arial" w:hAnsi="Arial"/>
          <w:sz w:val="18"/>
          <w:szCs w:val="18"/>
          <w:color w:val="auto"/>
        </w:rPr>
        <w:t>13,596</w:t>
      </w:r>
      <w:r>
        <w:rPr>
          <w:sz w:val="20"/>
          <w:szCs w:val="20"/>
          <w:color w:val="auto"/>
        </w:rPr>
        <w:tab/>
      </w:r>
      <w:r>
        <w:rPr>
          <w:rFonts w:ascii="Arial" w:cs="Arial" w:eastAsia="Arial" w:hAnsi="Arial"/>
          <w:sz w:val="18"/>
          <w:szCs w:val="18"/>
          <w:color w:val="auto"/>
        </w:rPr>
        <w:t>1,157,758</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435,402</w:t>
      </w:r>
    </w:p>
    <w:p>
      <w:pPr>
        <w:ind w:left="2220" w:hanging="1151"/>
        <w:spacing w:after="0" w:line="235" w:lineRule="auto"/>
        <w:tabs>
          <w:tab w:leader="none" w:pos="2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7,228</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4,311388,502</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5,000450,094</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5,000444,844</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5,000445,594</w:t>
      </w:r>
    </w:p>
    <w:p>
      <w:pPr>
        <w:ind w:left="820"/>
        <w:spacing w:after="0" w:line="234" w:lineRule="auto"/>
        <w:rPr>
          <w:rFonts w:ascii="Arial" w:cs="Arial" w:eastAsia="Arial" w:hAnsi="Arial"/>
          <w:sz w:val="18"/>
          <w:szCs w:val="18"/>
          <w:color w:val="auto"/>
        </w:rPr>
      </w:pPr>
      <w:r>
        <w:rPr>
          <w:rFonts w:ascii="Arial" w:cs="Arial" w:eastAsia="Arial" w:hAnsi="Arial"/>
          <w:sz w:val="18"/>
          <w:szCs w:val="18"/>
          <w:color w:val="auto"/>
        </w:rPr>
        <w:t>6,148570,652</w:t>
      </w:r>
    </w:p>
    <w:p>
      <w:pPr>
        <w:ind w:left="720"/>
        <w:spacing w:after="0" w:line="235" w:lineRule="auto"/>
        <w:tabs>
          <w:tab w:leader="none" w:pos="2000" w:val="left"/>
        </w:tabs>
        <w:rPr>
          <w:sz w:val="20"/>
          <w:szCs w:val="20"/>
          <w:color w:val="auto"/>
        </w:rPr>
      </w:pPr>
      <w:r>
        <w:rPr>
          <w:rFonts w:ascii="Arial" w:cs="Arial" w:eastAsia="Arial" w:hAnsi="Arial"/>
          <w:sz w:val="18"/>
          <w:szCs w:val="18"/>
          <w:color w:val="auto"/>
        </w:rPr>
        <w:t>10,000</w:t>
      </w:r>
      <w:r>
        <w:rPr>
          <w:sz w:val="20"/>
          <w:szCs w:val="20"/>
          <w:color w:val="auto"/>
        </w:rPr>
        <w:tab/>
      </w:r>
      <w:r>
        <w:rPr>
          <w:rFonts w:ascii="Arial" w:cs="Arial" w:eastAsia="Arial" w:hAnsi="Arial"/>
          <w:sz w:val="18"/>
          <w:szCs w:val="18"/>
          <w:color w:val="auto"/>
        </w:rPr>
        <w:t>915,594</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457,750</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4,462</w:t>
      </w:r>
      <w:r>
        <w:rPr>
          <w:sz w:val="20"/>
          <w:szCs w:val="20"/>
          <w:color w:val="auto"/>
        </w:rPr>
        <w:tab/>
      </w:r>
      <w:r>
        <w:rPr>
          <w:rFonts w:ascii="Arial" w:cs="Arial" w:eastAsia="Arial" w:hAnsi="Arial"/>
          <w:sz w:val="18"/>
          <w:szCs w:val="18"/>
          <w:color w:val="auto"/>
        </w:rPr>
        <w:t>406,030</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8"/>
          <w:szCs w:val="18"/>
          <w:color w:val="auto"/>
        </w:rPr>
        <w:t>103,957</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9,972</w:t>
      </w:r>
      <w:r>
        <w:rPr>
          <w:sz w:val="20"/>
          <w:szCs w:val="20"/>
          <w:color w:val="auto"/>
        </w:rPr>
        <w:tab/>
      </w:r>
      <w:r>
        <w:rPr>
          <w:rFonts w:ascii="Arial" w:cs="Arial" w:eastAsia="Arial" w:hAnsi="Arial"/>
          <w:sz w:val="18"/>
          <w:szCs w:val="18"/>
          <w:color w:val="auto"/>
        </w:rPr>
        <w:t>887,964</w:t>
      </w:r>
    </w:p>
    <w:p>
      <w:pPr>
        <w:ind w:left="820"/>
        <w:spacing w:after="0" w:line="235" w:lineRule="auto"/>
        <w:tabs>
          <w:tab w:leader="none" w:pos="2000" w:val="left"/>
        </w:tabs>
        <w:rPr>
          <w:sz w:val="20"/>
          <w:szCs w:val="20"/>
          <w:color w:val="auto"/>
        </w:rPr>
      </w:pPr>
      <w:r>
        <w:rPr>
          <w:rFonts w:ascii="Arial" w:cs="Arial" w:eastAsia="Arial" w:hAnsi="Arial"/>
          <w:sz w:val="18"/>
          <w:szCs w:val="18"/>
          <w:color w:val="auto"/>
        </w:rPr>
        <w:t>6,457</w:t>
      </w:r>
      <w:r>
        <w:rPr>
          <w:sz w:val="20"/>
          <w:szCs w:val="20"/>
          <w:color w:val="auto"/>
        </w:rPr>
        <w:tab/>
      </w:r>
      <w:r>
        <w:rPr>
          <w:rFonts w:ascii="Arial" w:cs="Arial" w:eastAsia="Arial" w:hAnsi="Arial"/>
          <w:sz w:val="18"/>
          <w:szCs w:val="18"/>
          <w:color w:val="auto"/>
        </w:rPr>
        <w:t>568,458</w:t>
      </w:r>
    </w:p>
    <w:p>
      <w:pPr>
        <w:ind w:left="820"/>
        <w:spacing w:after="0" w:line="235" w:lineRule="auto"/>
        <w:tabs>
          <w:tab w:leader="none" w:pos="21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8"/>
          <w:szCs w:val="18"/>
          <w:color w:val="auto"/>
        </w:rPr>
        <w:t>96,361</w:t>
      </w:r>
    </w:p>
    <w:p>
      <w:pPr>
        <w:ind w:left="720"/>
        <w:spacing w:after="0" w:line="235" w:lineRule="auto"/>
        <w:tabs>
          <w:tab w:leader="none" w:pos="1860" w:val="left"/>
        </w:tabs>
        <w:rPr>
          <w:sz w:val="20"/>
          <w:szCs w:val="20"/>
          <w:color w:val="auto"/>
        </w:rPr>
      </w:pPr>
      <w:r>
        <w:rPr>
          <w:rFonts w:ascii="Arial" w:cs="Arial" w:eastAsia="Arial" w:hAnsi="Arial"/>
          <w:sz w:val="18"/>
          <w:szCs w:val="18"/>
          <w:color w:val="auto"/>
        </w:rPr>
        <w:t>15,646</w:t>
      </w:r>
      <w:r>
        <w:rPr>
          <w:sz w:val="20"/>
          <w:szCs w:val="20"/>
          <w:color w:val="auto"/>
        </w:rPr>
        <w:tab/>
      </w:r>
      <w:r>
        <w:rPr>
          <w:rFonts w:ascii="Arial" w:cs="Arial" w:eastAsia="Arial" w:hAnsi="Arial"/>
          <w:sz w:val="18"/>
          <w:szCs w:val="18"/>
          <w:color w:val="auto"/>
        </w:rPr>
        <w:t>1,357,563</w:t>
      </w:r>
    </w:p>
    <w:p>
      <w:pPr>
        <w:ind w:left="820"/>
        <w:spacing w:after="0"/>
        <w:tabs>
          <w:tab w:leader="none" w:pos="2000" w:val="left"/>
        </w:tabs>
        <w:rPr>
          <w:sz w:val="20"/>
          <w:szCs w:val="20"/>
          <w:color w:val="auto"/>
        </w:rPr>
      </w:pPr>
      <w:r>
        <w:rPr>
          <w:rFonts w:ascii="Arial" w:cs="Arial" w:eastAsia="Arial" w:hAnsi="Arial"/>
          <w:sz w:val="18"/>
          <w:szCs w:val="18"/>
          <w:color w:val="auto"/>
        </w:rPr>
        <w:t>6,383</w:t>
      </w:r>
      <w:r>
        <w:rPr>
          <w:sz w:val="20"/>
          <w:szCs w:val="20"/>
          <w:color w:val="auto"/>
        </w:rPr>
        <w:tab/>
      </w:r>
      <w:r>
        <w:rPr>
          <w:rFonts w:ascii="Arial" w:cs="Arial" w:eastAsia="Arial" w:hAnsi="Arial"/>
          <w:sz w:val="18"/>
          <w:szCs w:val="18"/>
          <w:color w:val="auto"/>
        </w:rPr>
        <w:t>539,364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2">
            <w:col w:w="4700" w:space="720"/>
            <w:col w:w="5620"/>
          </w:cols>
          <w:pgMar w:left="440" w:top="275" w:right="419" w:bottom="1440" w:gutter="0" w:footer="0" w:header="0"/>
        </w:sectPr>
      </w:pPr>
    </w:p>
    <w:bookmarkStart w:id="52" w:name="page53"/>
    <w:bookmarkEnd w:id="52"/>
    <w:p>
      <w:pPr>
        <w:ind w:left="440" w:right="60" w:hanging="436"/>
        <w:spacing w:after="0" w:line="234"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269240</wp:posOffset>
            </wp:positionV>
            <wp:extent cx="694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4690" cy="8890"/>
                    </a:xfrm>
                    <a:prstGeom prst="rect">
                      <a:avLst/>
                    </a:prstGeom>
                    <a:noFill/>
                  </pic:spPr>
                </pic:pic>
              </a:graphicData>
            </a:graphic>
          </wp:anchor>
        </w:drawing>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2" w:lineRule="exact"/>
        <w:rPr>
          <w:rFonts w:ascii="Arial" w:cs="Arial" w:eastAsia="Arial" w:hAnsi="Arial"/>
          <w:sz w:val="18"/>
          <w:szCs w:val="18"/>
          <w:color w:val="auto"/>
        </w:rPr>
      </w:pPr>
    </w:p>
    <w:p>
      <w:pPr>
        <w:ind w:left="440" w:right="20" w:hanging="436"/>
        <w:spacing w:after="0" w:line="246"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26" w:lineRule="exact"/>
        <w:rPr>
          <w:sz w:val="20"/>
          <w:szCs w:val="20"/>
          <w:color w:val="auto"/>
        </w:rPr>
      </w:pPr>
    </w:p>
    <w:p>
      <w:pPr>
        <w:ind w:right="640" w:firstLine="441"/>
        <w:spacing w:after="0" w:line="246"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6" w:lineRule="exact"/>
        <w:rPr>
          <w:sz w:val="20"/>
          <w:szCs w:val="20"/>
          <w:color w:val="auto"/>
        </w:rPr>
      </w:pPr>
    </w:p>
    <w:p>
      <w:pPr>
        <w:ind w:right="460" w:firstLine="441"/>
        <w:spacing w:after="0"/>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Courtot, our Chairman, President and Chief Executive Officer, and the median annual total compensation of our employees (other than Mr. Courtot) for fiscal 2018:</w:t>
      </w:r>
    </w:p>
    <w:p>
      <w:pPr>
        <w:spacing w:after="0" w:line="108" w:lineRule="exact"/>
        <w:rPr>
          <w:sz w:val="20"/>
          <w:szCs w:val="20"/>
          <w:color w:val="auto"/>
        </w:rPr>
      </w:pPr>
    </w:p>
    <w:p>
      <w:pPr>
        <w:ind w:left="860" w:right="800" w:hanging="424"/>
        <w:spacing w:after="0" w:line="246"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Courtot) of the Company (including our consolidated subsidiaries) was $48,268.</w:t>
      </w:r>
    </w:p>
    <w:p>
      <w:pPr>
        <w:spacing w:after="0" w:line="102" w:lineRule="exact"/>
        <w:rPr>
          <w:rFonts w:ascii="Arial" w:cs="Arial" w:eastAsia="Arial" w:hAnsi="Arial"/>
          <w:sz w:val="18"/>
          <w:szCs w:val="18"/>
          <w:color w:val="auto"/>
        </w:rPr>
      </w:pPr>
    </w:p>
    <w:p>
      <w:pPr>
        <w:ind w:left="860" w:right="760" w:hanging="424"/>
        <w:spacing w:after="0" w:line="246"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Courtot’s annual total compensation, as reported in the 2018 Summary Compensation Table included in this proxy statement, was $9,096,098.</w:t>
      </w:r>
    </w:p>
    <w:p>
      <w:pPr>
        <w:spacing w:after="0" w:line="102" w:lineRule="exact"/>
        <w:rPr>
          <w:rFonts w:ascii="Arial" w:cs="Arial" w:eastAsia="Arial" w:hAnsi="Arial"/>
          <w:sz w:val="18"/>
          <w:szCs w:val="18"/>
          <w:color w:val="auto"/>
        </w:rPr>
      </w:pPr>
    </w:p>
    <w:p>
      <w:pPr>
        <w:ind w:left="860" w:right="980" w:hanging="424"/>
        <w:spacing w:after="0" w:line="246"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the above, for 2018, the ratio of Mr. Courtot’s annual total compensation to the median of the annual total compensation of all employees other than Mr. Courtot was approximately 188 to 1.</w:t>
      </w:r>
    </w:p>
    <w:p>
      <w:pPr>
        <w:spacing w:after="0" w:line="197"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This pay ratio is a reasonable estimate calculated in a manner consistent with Item 402(u) of SEC Regulation S-K. We determined the median of the annual total compensation of our employees as of December 31, 2018, at which time we (including our consolidated subsidiaries) had 1,194 full-time, part-time and temporary employees, 418 of whom are U.S. employees, and 776 (or approximately 65% of our total employee population) of whom are located outside of the United States (4 in Australia, 2 in Brazil, 4 in Canada, 1 in Colombia, 1 in the Czech Republic, 39 in France, 9 in Germany, 1 in Hong Kong, 656 in India, 5 in Italy, 3 in Japan, 2 in Mexico, 7 in the Netherlands, 1 in the Philippines, 1 in Poland, 2 in Russia, 2 in Singapore, 2 in South Africa, 2 in Spain, 3 in the United Arab Emirates, and 29 in the United Kingdom). In accordance with the permitted methodology for determining the “median employee”, we re-identified the “median employee” for 2018 fiscal year due to the change in employee population, and we excluded all non-U.S. employees (other than those located in France, Germany, India, and the United Kingdom) from our calculations. We then compared the base salaries paid, bonuses earned and equity awards granted to our 1,151 employees in the U.S., France, Germany, India, and the United Kingdom (which consisted of 418 U.S. employees and 733 non-U.S. employees) in 2018 to determine the median employee. Once we identified our median employee, we calculated such employee’s annual total compensation as though such median employee was reported in the Summary Compensation Table in accordance with the requirements of Item 402(c)(2)(x) of SEC Regulation S-K, yielding the median annual total compensation disclosed above. With respect to the annual total compensation of Mr. Courtot, we used the amount reported in the “Total” column in the 2018 Summary Compensation Table included in this proxy 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476"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Potential Payments upon Termination or Change in Control</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Philippe F. Courtot</w:t>
      </w:r>
    </w:p>
    <w:p>
      <w:pPr>
        <w:spacing w:after="0" w:line="12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Mr. Courtot was granted a stock option on April 28, 2016, covering 500,000 shares of our common stock, with a vesting commencement date of April 28, 2016, and an exercise price per share of $25.56. This option, which was granted pursuant to our 2012 Plan and an individual stock option agreement thereunder, is scheduled to vest as to 1/48th of the total shares on each monthly anniversary of the vesting commencement date, subject to Mr. Courtot’s continued service through each such date. Following a “change of control” of the Company (as defined in the stock option grant notice), Mr. Courtot receives 100% vesting acceleration of the option, subject to his continued service through such transaction.</w:t>
      </w: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Mr. Courtot was granted (i) on April 28, 2017, an award of 190,778 restricted stock units with a vesting commencement date of</w:t>
      </w:r>
    </w:p>
    <w:p>
      <w:pPr>
        <w:ind w:right="80"/>
        <w:spacing w:after="0" w:line="236" w:lineRule="auto"/>
        <w:rPr>
          <w:sz w:val="20"/>
          <w:szCs w:val="20"/>
          <w:color w:val="auto"/>
        </w:rPr>
      </w:pPr>
      <w:r>
        <w:rPr>
          <w:rFonts w:ascii="Arial" w:cs="Arial" w:eastAsia="Arial" w:hAnsi="Arial"/>
          <w:sz w:val="18"/>
          <w:szCs w:val="18"/>
          <w:color w:val="auto"/>
        </w:rPr>
        <w:t>May 1, 2017, which was his annual refresh award for 2017, (ii) on April 28, 2017, an award of 178,287 restricted stock units with a vesting commencement date of May 1, 2017, which was a catch-up award granted because the Compensation Committee determined that the value of the equity awards in the prior three years were not competitive with the value of the equity awards provided by companies in our compensation peer group to their similarly situated executives, (iii) on October 27, 2017, an award of 149,232 restricted stock units with a vesting commencement date of November 1, 2017, which was his annual refresh award for 2018. Other than as set forth above, these awards, which were each granted pursuant to our 2012 Plan and an individual restricted stock unit agreement thereunder, are scheduled to vest in equal quarterly installments over one year following the vesting commencement date with respect to grant (i) and in equal quarterly installments over four years following the applicable vesting commencement date with respect to grants (ii) and (iii). Following a “change of control” of the Company (as defined in the respective restricted stock unit agreement), Mr. Courtot receives 100% vesting acceleration of these awards, subject to his continued service through such transaction.</w:t>
      </w:r>
    </w:p>
    <w:p>
      <w:pPr>
        <w:spacing w:after="0" w:line="207"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Mr. Courtot was granted on December 21, 2018, restricted stock units consisting of (i) 56,250 time-based restricted stock units with a vesting commencement date of January 1, 2019, (ii) performance-based restricted stock units (covering a target number of 33,089 restricted stock units) that will vest based on achievement of goals related to revenue growth for a three-year period from January 2019 through December 2021 and adjusted EBITDA margin for the 2021 fiscal year and (iii) performance-based restricted stock units (covering a target number of 33,088 restricted stock units) that will vest in three increments based on the achievement of goals related to revenue growth and adjusted EBITDA margin for each of the 2019, 2020 and 2021 fiscal years, which in aggregate was his annual refresh award for 2019. This award was granted pursuant to our 2012 Plan and an individual restricted stock unit agreement thereunder. Other than as set forth above, the 56,250 time-based restricted stock units are scheduled to vest in 16 quarterly increments following the applicable vesting commencement date with respect to grant, subject in each case to Mr. Courtot’s continued service through each such date.</w:t>
      </w:r>
    </w:p>
    <w:p>
      <w:pPr>
        <w:spacing w:after="0" w:line="207" w:lineRule="exact"/>
        <w:rPr>
          <w:sz w:val="20"/>
          <w:szCs w:val="20"/>
          <w:color w:val="auto"/>
        </w:rPr>
      </w:pPr>
    </w:p>
    <w:p>
      <w:pPr>
        <w:ind w:right="220" w:firstLine="441"/>
        <w:spacing w:after="0" w:line="239" w:lineRule="auto"/>
        <w:rPr>
          <w:sz w:val="20"/>
          <w:szCs w:val="20"/>
          <w:color w:val="auto"/>
        </w:rPr>
      </w:pPr>
      <w:r>
        <w:rPr>
          <w:rFonts w:ascii="Arial" w:cs="Arial" w:eastAsia="Arial" w:hAnsi="Arial"/>
          <w:sz w:val="18"/>
          <w:szCs w:val="18"/>
          <w:color w:val="auto"/>
        </w:rPr>
        <w:t>For Mr. Courtot’s 2019 award granted in 2018, if Mr. Courtot’s employment (i) is terminated by reason of death or disability or (ii) is terminated by the Company other than for “cause” (as defined in the restricted stock unit agreement) or he resigns for “good reason” (as defined in the restricted stock unit agreement) within 12 months following a “change in control” of the Company (as defined in the 2012 Plan), then, in each case, 100% of the then-unvested shares subject to the award of restricted stock units will accelerate.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Melissa B. Fisher</w:t>
      </w:r>
    </w:p>
    <w:p>
      <w:pPr>
        <w:spacing w:after="0" w:line="122" w:lineRule="exact"/>
        <w:rPr>
          <w:sz w:val="20"/>
          <w:szCs w:val="20"/>
          <w:color w:val="auto"/>
        </w:rPr>
      </w:pPr>
    </w:p>
    <w:p>
      <w:pPr>
        <w:ind w:right="1040" w:firstLine="441"/>
        <w:spacing w:after="0" w:line="246" w:lineRule="auto"/>
        <w:rPr>
          <w:sz w:val="20"/>
          <w:szCs w:val="20"/>
          <w:color w:val="auto"/>
        </w:rPr>
      </w:pPr>
      <w:r>
        <w:rPr>
          <w:rFonts w:ascii="Arial" w:cs="Arial" w:eastAsia="Arial" w:hAnsi="Arial"/>
          <w:sz w:val="18"/>
          <w:szCs w:val="18"/>
          <w:color w:val="auto"/>
        </w:rPr>
        <w:t>Ms. Fisher was granted (i) on April 28, 2016, a stock option covering 67,911 shares of our common stock, with a vesting commencement date of April 28, 2016 and an exercise price per share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65" w:right="439" w:bottom="1440" w:gutter="0" w:footer="0" w:header="0"/>
        </w:sectPr>
      </w:pPr>
    </w:p>
    <w:bookmarkStart w:id="54" w:name="page55"/>
    <w:bookmarkEnd w:id="54"/>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$25.56, (ii) on April 28, 2016, an award of 31,707 restricted stock units with a vesting commencement date of May 1, 2016, (iii) on April 28, 2017, an award of 68,858 restricted stock units with a vesting commencement date of May 1, 2017, (iv) on October 27, 2017, an award of 35,897 restricted stock units with a vesting commencement date of November 1, 2017, and (v) on October 25, 2018, an award of 40,667 restricted stock units with a vesting commencement date of November 1, 2018. These awards, which were each granted pursuant to our 2012 Plan and an individual stock option or restricted stock unit agreement thereunder, are scheduled to vest as to 25% of the shares subject to the option on the one-year anniversary of the vesting commencement date and as to 1/48th of the shares subject to the option in each month during the three years after the one-year anniversary of the vesting commencement date with respect to grant (i), as to 25% of the restricted stock units on the one-year anniversary of the vesting commencement date and as to 1/16th of the restricted stock units in each quarter during the three years after the one-year anniversary of the vesting commencement date with respect to grant (ii), and in equal quarterly installments over four years following the applicable vesting commencement date with respect to grants (iii), (iv) and (v), subject to Ms. Fisher’s continued service through each such date.</w:t>
      </w:r>
    </w:p>
    <w:p>
      <w:pPr>
        <w:spacing w:after="0" w:line="206"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If, within 12 months following a “change in control” of the Company (as defined in the 2012 Plan), Ms. Fisher’s employment is terminated by Qualys other than for “cause” (as defined in her option agreement for grant (i) and her restricted stock unit agreements for grants (ii), (iii), (iv) and (v)), death, or disability or she resigns for “good reason” (as defined in her option agreement and the respective restricted stock unit agreements), then, in each case, 100% of the then-unvested shares subject to her option and her awards of restricted stock units shall accelerate, pursuant to her offer letter agreement dated April 15, 2016 and the respective restricted stock unit agreements). In addition, pursuant to Ms. Fisher’s offer letter agreement, if her employment is terminated by Qualys without cause, she will be entitled to severance equal to 6 months of her base salary and COBRA continuation coverage, subject to her entering into a severance agreement with and a general release of claims in favor of Qualys.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Bruce K. Posey</w:t>
      </w:r>
    </w:p>
    <w:p>
      <w:pPr>
        <w:spacing w:after="0" w:line="122" w:lineRule="exact"/>
        <w:rPr>
          <w:sz w:val="20"/>
          <w:szCs w:val="20"/>
          <w:color w:val="auto"/>
        </w:rPr>
      </w:pPr>
    </w:p>
    <w:p>
      <w:pPr>
        <w:ind w:right="200" w:firstLine="441"/>
        <w:spacing w:after="0" w:line="237" w:lineRule="auto"/>
        <w:rPr>
          <w:sz w:val="20"/>
          <w:szCs w:val="20"/>
          <w:color w:val="auto"/>
        </w:rPr>
      </w:pPr>
      <w:r>
        <w:rPr>
          <w:rFonts w:ascii="Arial" w:cs="Arial" w:eastAsia="Arial" w:hAnsi="Arial"/>
          <w:sz w:val="18"/>
          <w:szCs w:val="18"/>
          <w:color w:val="auto"/>
        </w:rPr>
        <w:t>Mr. Posey was granted stock options on April 28, 2016, covering 36,300 shares, with a vesting commencement date of April 28, 2016, and an exercise price per share of $25.56. These options, which were each granted pursuant to our 2012 Plan and an individual stock option agreement thereunder, are scheduled to vest as to 1/48</w:t>
      </w:r>
      <w:r>
        <w:rPr>
          <w:rFonts w:ascii="Arial" w:cs="Arial" w:eastAsia="Arial" w:hAnsi="Arial"/>
          <w:sz w:val="15"/>
          <w:szCs w:val="15"/>
          <w:color w:val="auto"/>
        </w:rPr>
        <w:t>th</w:t>
      </w:r>
      <w:r>
        <w:rPr>
          <w:rFonts w:ascii="Arial" w:cs="Arial" w:eastAsia="Arial" w:hAnsi="Arial"/>
          <w:sz w:val="18"/>
          <w:szCs w:val="18"/>
          <w:color w:val="auto"/>
        </w:rPr>
        <w:t xml:space="preserve"> of the total shares on each monthly anniversary of the vesting commencement date, subject to Mr. Posey’s continued service through each such date. Upon a “change in control” of the Company (as defined in the 2012 Plan), Mr. Posey will receive 75% vesting acceleration of the then-unvested shares subject to the options, subject to his continued service through such transaction.</w:t>
      </w:r>
    </w:p>
    <w:p>
      <w:pPr>
        <w:spacing w:after="0" w:line="205"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Mr. Posey was granted (i) on April 28, 2016, an award of 15,854 restricted stock units with a vesting commencement date of May 1, 2016, (ii) on April 28, 2017, an award of 11,827 restricted stock units with a vesting commencement date of May 1, 2017, (iii) on October 27, 2017, an award of 14,153 restricted stock units, with a vesting commencement date of November 1, 2017, (iv) on July 26, 2018, an award of 4,442 restricted stock units, with a vesting commencement date of August 1, 2018, and (v) on October 25, 2018, an award of 23,468 restricted stock units, with a vesting commencement date of November 1, 2018. These awards, which were each granted pursuant to our 2012 Plan and an individual restricted stock unit agreement thereunder, are scheduled to vest in equal quarterly installments over four years following the applicable vesting commencement date with respect to grants (i), (ii), (iii) and (v), and in equal quarterly installments over two years following the applicable vesting commencement date with respect to grant (iv), subject in each case to Mr. Posey’s continued service through each such date. Upon a “change in control” of the Company (as defined in the 2012 Plan), Mr. Posey will receive 75% vesting acceleration of the then-unvested portion of the awards</w:t>
      </w:r>
    </w:p>
    <w:p>
      <w:pPr>
        <w:spacing w:after="0" w:line="13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87" w:right="459" w:bottom="1440" w:gutter="0" w:footer="0" w:header="0"/>
        </w:sectPr>
      </w:pPr>
    </w:p>
    <w:bookmarkStart w:id="55" w:name="page56"/>
    <w:bookmarkEnd w:id="55"/>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granted on April 28, 2016 and April 28, 2017, subject to his continued service through such transaction. If, within 12 months following a “change in control” of the Company (as defined in the 2012 Plan), Mr. Posey’s employment is terminated without “cause” (as defined in his applicable agreement) or Mr. Posey resigns for “good reason” (as defined in his applicable agreement), then, in each case, subject to the execution of a release of claims, he receives vesting acceleration of 50% of the then-unvested portion of the awards granted on October 27, 2017, July 26, 2018 and October 25, 2018.</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Sumedh S. Thakar</w:t>
      </w:r>
    </w:p>
    <w:p>
      <w:pPr>
        <w:spacing w:after="0" w:line="122" w:lineRule="exact"/>
        <w:rPr>
          <w:sz w:val="20"/>
          <w:szCs w:val="20"/>
          <w:color w:val="auto"/>
        </w:rPr>
      </w:pPr>
    </w:p>
    <w:p>
      <w:pPr>
        <w:ind w:right="160" w:firstLine="441"/>
        <w:spacing w:after="0" w:line="236" w:lineRule="auto"/>
        <w:rPr>
          <w:sz w:val="20"/>
          <w:szCs w:val="20"/>
          <w:color w:val="auto"/>
        </w:rPr>
      </w:pPr>
      <w:r>
        <w:rPr>
          <w:rFonts w:ascii="Arial" w:cs="Arial" w:eastAsia="Arial" w:hAnsi="Arial"/>
          <w:sz w:val="18"/>
          <w:szCs w:val="18"/>
          <w:color w:val="auto"/>
        </w:rPr>
        <w:t>Mr. Thakar was granted a stock option on April 28, 2016, covering 136,000 shares of our common stock, with a vesting commencement date of April 28, 2016, and an exercise price per share of $25.56. This option, which was granted pursuant to our 2012 Plan and an individual stock option agreement thereunder, is scheduled to vest as to 1/48</w:t>
      </w:r>
      <w:r>
        <w:rPr>
          <w:rFonts w:ascii="Arial" w:cs="Arial" w:eastAsia="Arial" w:hAnsi="Arial"/>
          <w:sz w:val="15"/>
          <w:szCs w:val="15"/>
          <w:color w:val="auto"/>
        </w:rPr>
        <w:t>th</w:t>
      </w:r>
      <w:r>
        <w:rPr>
          <w:rFonts w:ascii="Arial" w:cs="Arial" w:eastAsia="Arial" w:hAnsi="Arial"/>
          <w:sz w:val="18"/>
          <w:szCs w:val="18"/>
          <w:color w:val="auto"/>
        </w:rPr>
        <w:t xml:space="preserve"> of the total shares on each monthly anniversary of the vesting commencement date, subject to Mr. Thakar’s continued service through each such date. If, within 12 months following a “change in control” of the Company (as defined in the 2012 Plan), Mr. Thakar’s employment is terminated without “cause” (as defined in his stock option grant notice) or Mr. Thakar resigns for “good reason” (as defined in stock option grant notice), then, in each case, subject to the execution of a release of claims, he receives vesting acceleration of 50% of the then-unvested shares subject to the option.</w:t>
      </w:r>
    </w:p>
    <w:p>
      <w:pPr>
        <w:spacing w:after="0" w:line="208"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Mr. Thakar was granted (i) on April 28, 2016, an award of 59,450 restricted stock units with a vesting commencement date of May 1, 2016, (ii) on April 28, 2017, an award of 75,458 restricted stock units with a vesting commencement date of May 1, 2017, (iii) on April 28, 2017, an award of 13,916 restricted stock units with a vesting commencement date of May 1, 2017, (iv) on October 27, 2017, an award of 74,295 restricted stock units with a vesting commencement date of November 1, 2017, (v) on July 26, 2018, an award of 5,552 restricted stock units, with a vesting commencement date of August 1, 2018, and (vi) on October 25, 2018, an award of 67,104 restricted stock units, with a vesting commencement date of November 1, 2018. These awards, which were each granted pursuant to our 2012 Plan and an individual restricted stock unit agreement thereunder, are scheduled to vest in equal quarterly installments over four years following the applicable vesting commencement date with respect to grants (i), (ii), (iv) and (vi), in equal quarterly installments over one year following the vesting commencement date with respect to grant (iii), and in equal quarterly installments over two years following the vesting commencement date with respect to grant (v), subject in each case to Mr. Thakar’s continued service through each such date. If, within 12 months following a “change in control” of the Company (as defined in the 2012 Plan), Mr. Thakar’s employment is terminated without “cause” (as defined in the respective restricted stock unit agreement) or Mr. Thakar resigns for “good reason” (as defined in the respective restricted stock unit agreement), then, in each case, subject to the execution of a release of claims, he receives vesting acceleration of 50% of the then-unvested portion of each award.</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Amer S. Deeba</w:t>
      </w:r>
    </w:p>
    <w:p>
      <w:pPr>
        <w:spacing w:after="0" w:line="122" w:lineRule="exact"/>
        <w:rPr>
          <w:sz w:val="20"/>
          <w:szCs w:val="20"/>
          <w:color w:val="auto"/>
        </w:rPr>
      </w:pPr>
    </w:p>
    <w:p>
      <w:pPr>
        <w:ind w:right="140" w:firstLine="441"/>
        <w:spacing w:after="0"/>
        <w:rPr>
          <w:sz w:val="20"/>
          <w:szCs w:val="20"/>
          <w:color w:val="auto"/>
        </w:rPr>
      </w:pPr>
      <w:r>
        <w:rPr>
          <w:rFonts w:ascii="Arial" w:cs="Arial" w:eastAsia="Arial" w:hAnsi="Arial"/>
          <w:sz w:val="18"/>
          <w:szCs w:val="18"/>
          <w:color w:val="auto"/>
        </w:rPr>
        <w:t>Upon his resignation as Chief Commercial Officer of the Company effective as of August 2, 2018, Mr. Deeba received no additional compensation, and the vesting of his outstanding equity awards was not accelerated. Therefore, Mr. Deeba is not included in the Estimated Payments upon Termination or Change in Control table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Payments upon Termination or Change in Control</w:t>
      </w:r>
    </w:p>
    <w:p>
      <w:pPr>
        <w:spacing w:after="0" w:line="126" w:lineRule="exact"/>
        <w:rPr>
          <w:sz w:val="20"/>
          <w:szCs w:val="20"/>
          <w:color w:val="auto"/>
        </w:rPr>
      </w:pPr>
    </w:p>
    <w:p>
      <w:pPr>
        <w:jc w:val="both"/>
        <w:ind w:right="60" w:firstLine="441"/>
        <w:spacing w:after="0"/>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2018 (the last business day of 2018) and based on the $74.74 closing price per share of our common stock on the Nasdaq Stock Market on that date. A number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87" w:right="459" w:bottom="1440" w:gutter="0" w:footer="0" w:header="0"/>
        </w:sectPr>
      </w:pPr>
    </w:p>
    <w:bookmarkStart w:id="56" w:name="page57"/>
    <w:bookmarkEnd w:id="56"/>
    <w:p>
      <w:pPr>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factors may affect the nature and amount of any potential payments or benefits, and as a result, the payments and benefits actually paid (if any) may be different. For example, a triggering event may occur on a date other than December 31, 2018, the price per share of our common stock on the date of the triggering event may be higher or lower than $ 74.74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Upon a Qualifying</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Termination of Employment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2"/>
              <w:spacing w:after="0" w:line="143" w:lineRule="exact"/>
              <w:rPr>
                <w:sz w:val="20"/>
                <w:szCs w:val="20"/>
                <w:color w:val="auto"/>
              </w:rPr>
            </w:pPr>
            <w:r>
              <w:rPr>
                <w:rFonts w:ascii="Arial" w:cs="Arial" w:eastAsia="Arial" w:hAnsi="Arial"/>
                <w:sz w:val="14"/>
                <w:szCs w:val="14"/>
                <w:b w:val="1"/>
                <w:bCs w:val="1"/>
                <w:color w:val="auto"/>
              </w:rPr>
              <w:t>Not in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rPr>
              <w:t>Connection</w:t>
            </w:r>
          </w:p>
        </w:tc>
        <w:tc>
          <w:tcPr>
            <w:tcW w:w="3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Connection</w:t>
            </w:r>
          </w:p>
        </w:tc>
        <w:tc>
          <w:tcPr>
            <w:tcW w:w="3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Upon Change</w:t>
            </w:r>
          </w:p>
        </w:tc>
        <w:tc>
          <w:tcPr>
            <w:tcW w:w="3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 a Change</w:t>
            </w:r>
          </w:p>
        </w:tc>
        <w:tc>
          <w:tcPr>
            <w:tcW w:w="38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 a Change</w:t>
            </w:r>
          </w:p>
        </w:tc>
        <w:tc>
          <w:tcPr>
            <w:tcW w:w="3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Disability or</w:t>
            </w:r>
          </w:p>
        </w:tc>
        <w:tc>
          <w:tcPr>
            <w:tcW w:w="0" w:type="dxa"/>
            <w:vAlign w:val="bottom"/>
          </w:tcPr>
          <w:p>
            <w:pPr>
              <w:spacing w:after="0"/>
              <w:rPr>
                <w:sz w:val="1"/>
                <w:szCs w:val="1"/>
                <w:color w:val="auto"/>
              </w:rPr>
            </w:pPr>
          </w:p>
        </w:tc>
      </w:tr>
      <w:tr>
        <w:trPr>
          <w:trHeight w:val="162"/>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rPr>
              <w:t>of Control</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rPr>
              <w:t>of Control</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0"/>
              <w:spacing w:after="0"/>
              <w:rPr>
                <w:sz w:val="20"/>
                <w:szCs w:val="20"/>
                <w:color w:val="auto"/>
              </w:rPr>
            </w:pPr>
            <w:r>
              <w:rPr>
                <w:rFonts w:ascii="Arial" w:cs="Arial" w:eastAsia="Arial" w:hAnsi="Arial"/>
                <w:sz w:val="14"/>
                <w:szCs w:val="14"/>
                <w:b w:val="1"/>
                <w:bCs w:val="1"/>
                <w:color w:val="auto"/>
              </w:rPr>
              <w:t>of Control</w:t>
            </w:r>
          </w:p>
        </w:tc>
        <w:tc>
          <w:tcPr>
            <w:tcW w:w="3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62"/>
        </w:trPr>
        <w:tc>
          <w:tcPr>
            <w:tcW w:w="172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2200" w:type="dxa"/>
            <w:vAlign w:val="bottom"/>
          </w:tcPr>
          <w:p>
            <w:pPr>
              <w:ind w:left="580"/>
              <w:spacing w:after="0"/>
              <w:rPr>
                <w:sz w:val="20"/>
                <w:szCs w:val="20"/>
                <w:color w:val="auto"/>
              </w:rPr>
            </w:pPr>
            <w:r>
              <w:rPr>
                <w:rFonts w:ascii="Arial" w:cs="Arial" w:eastAsia="Arial" w:hAnsi="Arial"/>
                <w:sz w:val="14"/>
                <w:szCs w:val="14"/>
                <w:b w:val="1"/>
                <w:bCs w:val="1"/>
                <w:color w:val="auto"/>
              </w:rPr>
              <w:t>Type of Benefit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rPr>
              <w:t>($) (1)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0"/>
              <w:spacing w:after="0"/>
              <w:rPr>
                <w:sz w:val="20"/>
                <w:szCs w:val="20"/>
                <w:color w:val="auto"/>
              </w:rPr>
            </w:pPr>
            <w:r>
              <w:rPr>
                <w:rFonts w:ascii="Arial" w:cs="Arial" w:eastAsia="Arial" w:hAnsi="Arial"/>
                <w:sz w:val="14"/>
                <w:szCs w:val="14"/>
                <w:b w:val="1"/>
                <w:bCs w:val="1"/>
                <w:color w:val="auto"/>
              </w:rPr>
              <w:t>($) (1)(2)</w:t>
            </w:r>
          </w:p>
        </w:tc>
        <w:tc>
          <w:tcPr>
            <w:tcW w:w="126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99"/>
              </w:rPr>
              <w:t>($) (1)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6"/>
                <w:szCs w:val="16"/>
                <w:color w:val="auto"/>
              </w:rPr>
              <w:t>Philippe F. Courtot</w:t>
            </w:r>
          </w:p>
        </w:tc>
        <w:tc>
          <w:tcPr>
            <w:tcW w:w="1580" w:type="dxa"/>
            <w:vAlign w:val="bottom"/>
            <w:shd w:val="clear" w:color="auto" w:fill="CCEEFF"/>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3780" w:type="dxa"/>
            <w:vAlign w:val="bottom"/>
            <w:gridSpan w:val="2"/>
            <w:shd w:val="clear" w:color="auto" w:fill="CCEEFF"/>
          </w:tcPr>
          <w:p>
            <w:pPr>
              <w:ind w:left="1580"/>
              <w:spacing w:after="0" w:line="176" w:lineRule="exact"/>
              <w:rPr>
                <w:sz w:val="20"/>
                <w:szCs w:val="20"/>
                <w:color w:val="auto"/>
              </w:rPr>
            </w:pPr>
            <w:r>
              <w:rPr>
                <w:rFonts w:ascii="Arial" w:cs="Arial" w:eastAsia="Arial" w:hAnsi="Arial"/>
                <w:sz w:val="16"/>
                <w:szCs w:val="16"/>
                <w:color w:val="auto"/>
              </w:rPr>
              <w:t>Vesting Acceleration</w:t>
            </w:r>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24,890,161</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line="176"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9,150,194</w:t>
            </w:r>
          </w:p>
        </w:tc>
        <w:tc>
          <w:tcPr>
            <w:tcW w:w="1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$ 9,150,194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780" w:type="dxa"/>
            <w:vAlign w:val="bottom"/>
            <w:gridSpan w:val="2"/>
          </w:tcPr>
          <w:p>
            <w:pPr>
              <w:ind w:left="1580"/>
              <w:spacing w:after="0"/>
              <w:rPr>
                <w:sz w:val="20"/>
                <w:szCs w:val="20"/>
                <w:color w:val="auto"/>
              </w:rPr>
            </w:pPr>
            <w:r>
              <w:rPr>
                <w:rFonts w:ascii="Arial" w:cs="Arial" w:eastAsia="Arial" w:hAnsi="Arial"/>
                <w:sz w:val="16"/>
                <w:szCs w:val="16"/>
                <w:b w:val="1"/>
                <w:bCs w:val="1"/>
                <w:color w:val="auto"/>
              </w:rPr>
              <w:t>Total Termination Benefits:</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24,890,161</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9,150,194</w:t>
            </w:r>
          </w:p>
        </w:tc>
        <w:tc>
          <w:tcPr>
            <w:tcW w:w="3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$ 9,150,194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Melissa B. Fisher</w:t>
            </w:r>
          </w:p>
        </w:tc>
        <w:tc>
          <w:tcPr>
            <w:tcW w:w="37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Vesting Acceleration</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10,270,208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$ 3,039,452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780" w:type="dxa"/>
            <w:vAlign w:val="bottom"/>
            <w:gridSpan w:val="2"/>
          </w:tcPr>
          <w:p>
            <w:pPr>
              <w:ind w:left="1580"/>
              <w:spacing w:after="0"/>
              <w:rPr>
                <w:sz w:val="20"/>
                <w:szCs w:val="20"/>
                <w:color w:val="auto"/>
              </w:rPr>
            </w:pPr>
            <w:r>
              <w:rPr>
                <w:rFonts w:ascii="Arial" w:cs="Arial" w:eastAsia="Arial" w:hAnsi="Arial"/>
                <w:sz w:val="16"/>
                <w:szCs w:val="16"/>
                <w:color w:val="auto"/>
              </w:rPr>
              <w:t>Base Salary Severance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162,500</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162,500</w:t>
            </w:r>
          </w:p>
        </w:tc>
        <w:tc>
          <w:tcPr>
            <w:tcW w:w="380" w:type="dxa"/>
            <w:vAlign w:val="bottom"/>
          </w:tcPr>
          <w:p>
            <w:pPr>
              <w:spacing w:after="0"/>
              <w:rPr>
                <w:sz w:val="16"/>
                <w:szCs w:val="16"/>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7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COBRA Coverage</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780" w:type="dxa"/>
            <w:vAlign w:val="bottom"/>
            <w:gridSpan w:val="2"/>
          </w:tcPr>
          <w:p>
            <w:pPr>
              <w:ind w:left="1580"/>
              <w:spacing w:after="0"/>
              <w:rPr>
                <w:sz w:val="20"/>
                <w:szCs w:val="20"/>
                <w:color w:val="auto"/>
              </w:rPr>
            </w:pPr>
            <w:r>
              <w:rPr>
                <w:rFonts w:ascii="Arial" w:cs="Arial" w:eastAsia="Arial" w:hAnsi="Arial"/>
                <w:sz w:val="16"/>
                <w:szCs w:val="16"/>
                <w:b w:val="1"/>
                <w:bCs w:val="1"/>
                <w:color w:val="auto"/>
              </w:rPr>
              <w:t>Total Termination Benefits:</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167,009</w:t>
            </w:r>
          </w:p>
        </w:tc>
        <w:tc>
          <w:tcPr>
            <w:tcW w:w="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10,437,217</w:t>
            </w:r>
          </w:p>
        </w:tc>
        <w:tc>
          <w:tcPr>
            <w:tcW w:w="3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$ 3,039,452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Bruce K. Posey</w:t>
            </w:r>
          </w:p>
        </w:tc>
        <w:tc>
          <w:tcPr>
            <w:tcW w:w="37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Vesting Acceleration</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1,193,933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1,418,864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$ 1,753,998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780" w:type="dxa"/>
            <w:vAlign w:val="bottom"/>
            <w:gridSpan w:val="2"/>
          </w:tcPr>
          <w:p>
            <w:pPr>
              <w:ind w:left="1580"/>
              <w:spacing w:after="0"/>
              <w:rPr>
                <w:sz w:val="20"/>
                <w:szCs w:val="20"/>
                <w:color w:val="auto"/>
              </w:rPr>
            </w:pPr>
            <w:r>
              <w:rPr>
                <w:rFonts w:ascii="Arial" w:cs="Arial" w:eastAsia="Arial" w:hAnsi="Arial"/>
                <w:sz w:val="16"/>
                <w:szCs w:val="16"/>
                <w:b w:val="1"/>
                <w:bCs w:val="1"/>
                <w:color w:val="auto"/>
              </w:rPr>
              <w:t>Total Termination Benefits:</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1,193,933</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1,418,864</w:t>
            </w:r>
          </w:p>
        </w:tc>
        <w:tc>
          <w:tcPr>
            <w:tcW w:w="3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$ 1,753,998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Sumedh S. Thakar</w:t>
            </w:r>
          </w:p>
        </w:tc>
        <w:tc>
          <w:tcPr>
            <w:tcW w:w="378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Vesting Acceleration</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8,481,885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$ 5,015,353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780" w:type="dxa"/>
            <w:vAlign w:val="bottom"/>
            <w:gridSpan w:val="2"/>
          </w:tcPr>
          <w:p>
            <w:pPr>
              <w:ind w:left="1580"/>
              <w:spacing w:after="0"/>
              <w:rPr>
                <w:sz w:val="20"/>
                <w:szCs w:val="20"/>
                <w:color w:val="auto"/>
              </w:rPr>
            </w:pPr>
            <w:r>
              <w:rPr>
                <w:rFonts w:ascii="Arial" w:cs="Arial" w:eastAsia="Arial" w:hAnsi="Arial"/>
                <w:sz w:val="16"/>
                <w:szCs w:val="16"/>
                <w:b w:val="1"/>
                <w:bCs w:val="1"/>
                <w:color w:val="auto"/>
              </w:rPr>
              <w:t>Total Termination Benefits:</w:t>
            </w: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8,481,885</w:t>
            </w:r>
          </w:p>
        </w:tc>
        <w:tc>
          <w:tcPr>
            <w:tcW w:w="3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$ 5,015,353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94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440" w:right="40" w:hanging="436"/>
        <w:spacing w:after="0" w:line="237"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listed represent the vesting acceleration benefits described above in the section entitled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 as of December 31, 2018. For restricted stock units, the value of such vesting acceleration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multiplying (i) the number of shares of our common stock subject to the restricted stock units that are being accelerated (at target for performance-based restricted stock units) by (ii) the closing sales price per share of our common stock on December 31, 2018 ($74.74). For options, the value of such vesting acceleration is computed by multiplying (i) the number of shares of our common stock subject to the option that are being accelerated by (ii) the difference between the closing sales price per share of our common stock on December 31, 2018 ($74.74) and the option’s exercise price per share.</w:t>
      </w:r>
    </w:p>
    <w:p>
      <w:pPr>
        <w:spacing w:after="0" w:line="5" w:lineRule="exact"/>
        <w:rPr>
          <w:rFonts w:ascii="Arial" w:cs="Arial" w:eastAsia="Arial" w:hAnsi="Arial"/>
          <w:sz w:val="18"/>
          <w:szCs w:val="18"/>
          <w:color w:val="auto"/>
        </w:rPr>
      </w:pPr>
    </w:p>
    <w:p>
      <w:pPr>
        <w:ind w:left="440" w:right="260" w:hanging="436"/>
        <w:spacing w:after="0" w:line="23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named executive officer has a qualifying termination in connection with a change of control, he or she would also receive the vesting acceleration benefits in the column titled “Upon Change of Control”. As a result, Total Termination Benefits for each named executive officer would be $34,040,355 for Mr. Courtot; $10,437,217 for Ms. Fisher, $2,612,797 for Mr. Posey, and $8,481,885 for Mr. Thakar.</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440" w:top="287" w:right="41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OWNERSHIP OF CERTAIN BENEFICIAL OWNERS AND MANAGEMENT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8, 2019 for:</w:t>
      </w:r>
    </w:p>
    <w:p>
      <w:pPr>
        <w:spacing w:after="0" w:line="117" w:lineRule="exact"/>
        <w:rPr>
          <w:sz w:val="20"/>
          <w:szCs w:val="20"/>
          <w:color w:val="auto"/>
        </w:rPr>
      </w:pPr>
    </w:p>
    <w:p>
      <w:pPr>
        <w:ind w:left="860" w:hanging="31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212"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2"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Applicable percentage ownership is based on 39,151,573 shares of common stock outstanding at April 8, 2019.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8, 2019. However, we did not deem such shares outstanding for the purpose of computing the percentage ownership of any other person.</w:t>
      </w:r>
    </w:p>
    <w:p>
      <w:pPr>
        <w:spacing w:after="0" w:line="203" w:lineRule="exact"/>
        <w:rPr>
          <w:sz w:val="20"/>
          <w:szCs w:val="20"/>
          <w:color w:val="auto"/>
        </w:rPr>
      </w:pPr>
    </w:p>
    <w:p>
      <w:pPr>
        <w:ind w:right="340" w:firstLine="441"/>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4840" w:type="dxa"/>
            <w:vAlign w:val="bottom"/>
            <w:vMerge w:val="restart"/>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Beneficially</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16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4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Named Executive Officers:</w:t>
            </w:r>
          </w:p>
        </w:tc>
        <w:tc>
          <w:tcPr>
            <w:tcW w:w="8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Philippe F. Courtot (1)</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6,122,724</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Melissa B. Fisher (2)</w:t>
            </w:r>
          </w:p>
        </w:tc>
        <w:tc>
          <w:tcPr>
            <w:tcW w:w="16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92,038</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Bruce K. Posey (3)</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139,767</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Sumedh S. Thakar (4)</w:t>
            </w:r>
          </w:p>
        </w:tc>
        <w:tc>
          <w:tcPr>
            <w:tcW w:w="16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438,517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Amer S. Deeba (5)</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31,867</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Sandra E. Bergeron (6)</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69,655</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Jeffrey P. Hank (7)</w:t>
            </w:r>
          </w:p>
        </w:tc>
        <w:tc>
          <w:tcPr>
            <w:tcW w:w="16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64,655</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Gen. Peter Pace (8)</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63,655</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Kristi M. Rogers (9)</w:t>
            </w:r>
          </w:p>
        </w:tc>
        <w:tc>
          <w:tcPr>
            <w:tcW w:w="16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39,982</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Jason Ream</w:t>
            </w:r>
          </w:p>
        </w:tc>
        <w:tc>
          <w:tcPr>
            <w:tcW w:w="160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Patricia Hatter</w:t>
            </w:r>
          </w:p>
        </w:tc>
        <w:tc>
          <w:tcPr>
            <w:tcW w:w="160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All directors and current executive officers as a group (10 persons)</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3"/>
          </w:tcPr>
          <w:p>
            <w:pPr>
              <w:jc w:val="right"/>
              <w:ind w:right="850"/>
              <w:spacing w:after="0" w:line="203" w:lineRule="exact"/>
              <w:rPr>
                <w:sz w:val="20"/>
                <w:szCs w:val="20"/>
                <w:color w:val="auto"/>
              </w:rPr>
            </w:pPr>
            <w:r>
              <w:rPr>
                <w:rFonts w:ascii="Arial" w:cs="Arial" w:eastAsia="Arial" w:hAnsi="Arial"/>
                <w:sz w:val="18"/>
                <w:szCs w:val="18"/>
                <w:color w:val="auto"/>
              </w:rPr>
              <w:t>(10)</w:t>
            </w:r>
          </w:p>
        </w:tc>
        <w:tc>
          <w:tcPr>
            <w:tcW w:w="4840" w:type="dxa"/>
            <w:vAlign w:val="bottom"/>
          </w:tcPr>
          <w:p>
            <w:pPr>
              <w:spacing w:after="0"/>
              <w:rPr>
                <w:sz w:val="17"/>
                <w:szCs w:val="17"/>
                <w:color w:val="auto"/>
              </w:rPr>
            </w:pPr>
          </w:p>
        </w:tc>
        <w:tc>
          <w:tcPr>
            <w:tcW w:w="1600" w:type="dxa"/>
            <w:vAlign w:val="bottom"/>
            <w:gridSpan w:val="2"/>
          </w:tcPr>
          <w:p>
            <w:pPr>
              <w:jc w:val="right"/>
              <w:ind w:right="740"/>
              <w:spacing w:after="0" w:line="203" w:lineRule="exact"/>
              <w:rPr>
                <w:sz w:val="20"/>
                <w:szCs w:val="20"/>
                <w:color w:val="auto"/>
              </w:rPr>
            </w:pPr>
            <w:r>
              <w:rPr>
                <w:rFonts w:ascii="Arial" w:cs="Arial" w:eastAsia="Arial" w:hAnsi="Arial"/>
                <w:sz w:val="18"/>
                <w:szCs w:val="18"/>
                <w:color w:val="auto"/>
              </w:rPr>
              <w:t>7,030,993</w:t>
            </w:r>
          </w:p>
        </w:tc>
        <w:tc>
          <w:tcPr>
            <w:tcW w:w="10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BlackRock, Inc. (11)</w:t>
            </w:r>
          </w:p>
        </w:tc>
        <w:tc>
          <w:tcPr>
            <w:tcW w:w="160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4,979,525</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Neuberger Berman Group LLC (12)</w:t>
            </w:r>
          </w:p>
        </w:tc>
        <w:tc>
          <w:tcPr>
            <w:tcW w:w="160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2,423,665</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20" w:type="dxa"/>
            <w:vAlign w:val="bottom"/>
            <w:gridSpan w:val="2"/>
          </w:tcPr>
          <w:p>
            <w:pPr>
              <w:ind w:left="140"/>
              <w:spacing w:after="0"/>
              <w:rPr>
                <w:sz w:val="20"/>
                <w:szCs w:val="20"/>
                <w:color w:val="auto"/>
              </w:rPr>
            </w:pPr>
            <w:r>
              <w:rPr>
                <w:rFonts w:ascii="Arial" w:cs="Arial" w:eastAsia="Arial" w:hAnsi="Arial"/>
                <w:sz w:val="18"/>
                <w:szCs w:val="18"/>
                <w:color w:val="auto"/>
              </w:rPr>
              <w:t>The Vanguard Group (13)</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3,498,902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6420" w:type="dxa"/>
            <w:vAlign w:val="bottom"/>
            <w:gridSpan w:val="2"/>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w:t>
            </w:r>
          </w:p>
        </w:tc>
        <w:tc>
          <w:tcPr>
            <w:tcW w:w="7260" w:type="dxa"/>
            <w:vAlign w:val="bottom"/>
            <w:gridSpan w:val="4"/>
          </w:tcPr>
          <w:p>
            <w:pPr>
              <w:jc w:val="right"/>
              <w:ind w:right="3160"/>
              <w:spacing w:after="0"/>
              <w:rPr>
                <w:sz w:val="20"/>
                <w:szCs w:val="20"/>
                <w:color w:val="auto"/>
              </w:rPr>
            </w:pPr>
            <w:r>
              <w:rPr>
                <w:rFonts w:ascii="Arial" w:cs="Arial" w:eastAsia="Arial" w:hAnsi="Arial"/>
                <w:sz w:val="18"/>
                <w:szCs w:val="18"/>
                <w:color w:val="auto"/>
              </w:rPr>
              <w:t>Represents beneficial ownership of less than 1%.</w:t>
            </w: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60" w:type="dxa"/>
            <w:vAlign w:val="bottom"/>
            <w:gridSpan w:val="4"/>
          </w:tcPr>
          <w:p>
            <w:pPr>
              <w:jc w:val="right"/>
              <w:ind w:right="190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65" w:right="559" w:bottom="1440" w:gutter="0" w:footer="0" w:header="0"/>
        </w:sectPr>
      </w:pPr>
    </w:p>
    <w:bookmarkStart w:id="58" w:name="page59"/>
    <w:bookmarkEnd w:id="58"/>
    <w:p>
      <w:pPr>
        <w:ind w:left="436" w:right="6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(i) 5,218,838 shares of common stock held by Mr. Courtot, (ii) 20,470 shares of common stock subject to restricted stock units that vest within 60 days of April 8, 2019, (iii) 783,416 shares of common stock subject to options exercisable within 60 days of April 8, 2019, and (iv) 100,000 shares of common stock held by Freya Anne Eduarte as custodian under the Uniform Gifts to Minors Act for Mr. Courtot’s minor child.</w:t>
      </w:r>
    </w:p>
    <w:p>
      <w:pPr>
        <w:spacing w:after="0" w:line="3" w:lineRule="exact"/>
        <w:rPr>
          <w:rFonts w:ascii="Arial" w:cs="Arial" w:eastAsia="Arial" w:hAnsi="Arial"/>
          <w:sz w:val="18"/>
          <w:szCs w:val="18"/>
          <w:color w:val="auto"/>
        </w:rPr>
      </w:pPr>
    </w:p>
    <w:p>
      <w:pPr>
        <w:ind w:left="436" w:right="10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42,118 shares of common stock held by Ms. Fisher, (ii) 11,072 shares of common stock subject to restricted stock units that vest within 60 days of April 8, 2019, and (iii) 38,848 shares of common stock subject to options exercisable within 60 days of April 8, 2019.</w:t>
      </w:r>
    </w:p>
    <w:p>
      <w:pPr>
        <w:spacing w:after="0" w:line="2" w:lineRule="exact"/>
        <w:rPr>
          <w:rFonts w:ascii="Arial" w:cs="Arial" w:eastAsia="Arial" w:hAnsi="Arial"/>
          <w:sz w:val="18"/>
          <w:szCs w:val="18"/>
          <w:color w:val="auto"/>
        </w:rPr>
      </w:pPr>
    </w:p>
    <w:p>
      <w:pPr>
        <w:ind w:left="436" w:right="8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14,905 shares of common stock held by Mr. Posey, (ii) 4,637 shares of common stock subject to restricted stock units that vest within 60 days of April 8, 2019, and (iii) 120,225 shares of common stock subject to options exercisable within 60 days of April 8, 2019.</w:t>
      </w:r>
    </w:p>
    <w:p>
      <w:pPr>
        <w:spacing w:after="0" w:line="2" w:lineRule="exact"/>
        <w:rPr>
          <w:rFonts w:ascii="Arial" w:cs="Arial" w:eastAsia="Arial" w:hAnsi="Arial"/>
          <w:sz w:val="18"/>
          <w:szCs w:val="18"/>
          <w:color w:val="auto"/>
        </w:rPr>
      </w:pPr>
    </w:p>
    <w:p>
      <w:pPr>
        <w:ind w:left="436"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17,409 shares of common stock held by Mr. Thakar, (ii) 17,964 shares of common stock subject to restricted stock units that vest within 60 days of April 8, 2019, and (iii) 403,144 shares of common stock subject to options exercisable within 60 days of April 8, 2019.</w:t>
      </w:r>
    </w:p>
    <w:p>
      <w:pPr>
        <w:spacing w:after="0" w:line="2" w:lineRule="exact"/>
        <w:rPr>
          <w:rFonts w:ascii="Arial" w:cs="Arial" w:eastAsia="Arial" w:hAnsi="Arial"/>
          <w:sz w:val="18"/>
          <w:szCs w:val="18"/>
          <w:color w:val="auto"/>
        </w:rPr>
      </w:pPr>
    </w:p>
    <w:p>
      <w:pPr>
        <w:ind w:left="436"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31,867 shares of common stock held by Mr. Deeba.</w:t>
      </w:r>
    </w:p>
    <w:p>
      <w:pPr>
        <w:ind w:left="436" w:right="40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33,655 shares of common stock held by Ms. Bergeron, and (ii) 36,000 shares of common stock subject to options exercisable within 60 days of April 8, 2019.</w:t>
      </w:r>
    </w:p>
    <w:p>
      <w:pPr>
        <w:spacing w:after="0" w:line="1" w:lineRule="exact"/>
        <w:rPr>
          <w:rFonts w:ascii="Arial" w:cs="Arial" w:eastAsia="Arial" w:hAnsi="Arial"/>
          <w:sz w:val="18"/>
          <w:szCs w:val="18"/>
          <w:color w:val="auto"/>
        </w:rPr>
      </w:pPr>
    </w:p>
    <w:p>
      <w:pPr>
        <w:ind w:left="436" w:right="86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6,155 shares of common stock held by Mr. Hank, and (ii) 58,500 shares of common stock subject to options exercisable within 60 days of April 8, 2019.</w:t>
      </w:r>
    </w:p>
    <w:p>
      <w:pPr>
        <w:spacing w:after="0" w:line="1" w:lineRule="exact"/>
        <w:rPr>
          <w:rFonts w:ascii="Arial" w:cs="Arial" w:eastAsia="Arial" w:hAnsi="Arial"/>
          <w:sz w:val="18"/>
          <w:szCs w:val="18"/>
          <w:color w:val="auto"/>
        </w:rPr>
      </w:pPr>
    </w:p>
    <w:p>
      <w:pPr>
        <w:ind w:left="436" w:right="72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5,155 shares of common stock held by Gen. Pace, and (ii) 58,500 shares of common stock subject to options exercisable within 60 days of April 8, 2019.</w:t>
      </w:r>
    </w:p>
    <w:p>
      <w:pPr>
        <w:spacing w:after="0" w:line="1" w:lineRule="exact"/>
        <w:rPr>
          <w:rFonts w:ascii="Arial" w:cs="Arial" w:eastAsia="Arial" w:hAnsi="Arial"/>
          <w:sz w:val="18"/>
          <w:szCs w:val="18"/>
          <w:color w:val="auto"/>
        </w:rPr>
      </w:pPr>
    </w:p>
    <w:p>
      <w:pPr>
        <w:ind w:left="436" w:right="66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Consists of (i) 4,982 shares of common stock held by Ms. Rogers, and (ii) 35,000 shares of common stock subject to options exercisable within 60 days of April 8, 2019.</w:t>
      </w:r>
    </w:p>
    <w:p>
      <w:pPr>
        <w:spacing w:after="0" w:line="1" w:lineRule="exact"/>
        <w:rPr>
          <w:rFonts w:ascii="Arial" w:cs="Arial" w:eastAsia="Arial" w:hAnsi="Arial"/>
          <w:sz w:val="18"/>
          <w:szCs w:val="18"/>
          <w:color w:val="auto"/>
        </w:rPr>
      </w:pPr>
    </w:p>
    <w:p>
      <w:pPr>
        <w:ind w:left="436" w:right="74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54,143 shares of common stock subject to restricted stock units that vest within 60 days of April 8, 2019, and (ii) 1,533,633 shares of common stock subject to options exercisable within 60 days of April 8, 2019.</w:t>
      </w:r>
    </w:p>
    <w:p>
      <w:pPr>
        <w:spacing w:after="0" w:line="1" w:lineRule="exact"/>
        <w:rPr>
          <w:rFonts w:ascii="Arial" w:cs="Arial" w:eastAsia="Arial" w:hAnsi="Arial"/>
          <w:sz w:val="18"/>
          <w:szCs w:val="18"/>
          <w:color w:val="auto"/>
        </w:rPr>
      </w:pPr>
    </w:p>
    <w:p>
      <w:pPr>
        <w:ind w:left="436" w:right="2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According to a Schedule 13G/A filed on January 31, 2019, BlackRock, Inc. beneficially owns 4,979,525 shares of our common stock. The principal address of BlackRock, Inc. is 55 East 52nd Street, New York, NY 10055.</w:t>
      </w:r>
    </w:p>
    <w:p>
      <w:pPr>
        <w:spacing w:after="0" w:line="1" w:lineRule="exact"/>
        <w:rPr>
          <w:rFonts w:ascii="Arial" w:cs="Arial" w:eastAsia="Arial" w:hAnsi="Arial"/>
          <w:sz w:val="18"/>
          <w:szCs w:val="18"/>
          <w:color w:val="auto"/>
        </w:rPr>
      </w:pPr>
    </w:p>
    <w:p>
      <w:pPr>
        <w:ind w:left="436" w:right="140" w:hanging="436"/>
        <w:spacing w:after="0" w:line="234"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According to a Schedule 13G filed on February 13, 2019, Neuberger Berman Group LLC beneficially owns 2,423,665 shares of our common stock. The principal address of Neuberger Berman Group LLC is 1290 Avenue of the Americas, New York, NY 10104.</w:t>
      </w:r>
    </w:p>
    <w:p>
      <w:pPr>
        <w:spacing w:after="0" w:line="1" w:lineRule="exact"/>
        <w:rPr>
          <w:rFonts w:ascii="Arial" w:cs="Arial" w:eastAsia="Arial" w:hAnsi="Arial"/>
          <w:sz w:val="18"/>
          <w:szCs w:val="18"/>
          <w:color w:val="auto"/>
        </w:rPr>
      </w:pPr>
    </w:p>
    <w:p>
      <w:pPr>
        <w:ind w:left="436" w:right="200" w:hanging="436"/>
        <w:spacing w:after="0" w:line="246" w:lineRule="auto"/>
        <w:tabs>
          <w:tab w:leader="none" w:pos="4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According to a Schedule 13G filed on February 12, 2019, The Vanguard Group beneficially owns 3,498,902 shares of our common stock. The principal address of The Vanguard Group is 100 Vanguard Blvd., Malvern, PA 19355.</w:t>
      </w:r>
    </w:p>
    <w:p>
      <w:pPr>
        <w:spacing w:after="0" w:line="12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96"/>
          </w:cols>
          <w:pgMar w:left="444" w:top="287" w:right="4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234" w:lineRule="exact"/>
        <w:rPr>
          <w:sz w:val="20"/>
          <w:szCs w:val="20"/>
          <w:color w:val="auto"/>
        </w:rPr>
      </w:pPr>
    </w:p>
    <w:p>
      <w:pPr>
        <w:ind w:right="180" w:firstLine="441"/>
        <w:spacing w:after="0" w:line="246"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102" w:lineRule="exact"/>
        <w:rPr>
          <w:sz w:val="20"/>
          <w:szCs w:val="20"/>
          <w:color w:val="auto"/>
        </w:rPr>
      </w:pPr>
    </w:p>
    <w:p>
      <w:pPr>
        <w:ind w:left="860" w:hanging="316"/>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860" w:right="20" w:hanging="316"/>
        <w:spacing w:after="0" w:line="246"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97" w:lineRule="exact"/>
        <w:rPr>
          <w:sz w:val="20"/>
          <w:szCs w:val="20"/>
          <w:color w:val="auto"/>
        </w:rPr>
      </w:pPr>
    </w:p>
    <w:p>
      <w:pPr>
        <w:ind w:right="840" w:firstLine="441"/>
        <w:spacing w:after="0" w:line="246"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126" w:lineRule="exact"/>
        <w:rPr>
          <w:sz w:val="20"/>
          <w:szCs w:val="20"/>
          <w:color w:val="auto"/>
        </w:rPr>
      </w:pPr>
    </w:p>
    <w:p>
      <w:pPr>
        <w:ind w:right="520" w:firstLine="441"/>
        <w:spacing w:after="0" w:line="246" w:lineRule="auto"/>
        <w:rPr>
          <w:sz w:val="20"/>
          <w:szCs w:val="20"/>
          <w:color w:val="auto"/>
        </w:rPr>
      </w:pPr>
      <w:r>
        <w:rPr>
          <w:rFonts w:ascii="Arial" w:cs="Arial" w:eastAsia="Arial" w:hAnsi="Arial"/>
          <w:sz w:val="18"/>
          <w:szCs w:val="18"/>
          <w:color w:val="auto"/>
        </w:rPr>
        <w:t>We have entered into offer letter agreements with certain of our executive officers, as discussed in the section titled “Executive Compensation—Executive Employment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126"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Nicolas Courtot, son of Philippe F. Courtot, our Chairman, President and Chief Executive Officer, was employed by us during fiscal 2018 as a Creative Director. During fiscal 2018, Nicolas Courtot earned total compensation of $279,473.35, consisting of base salary, bonus and equity compensation. In addition, Nicolas Courtot participated in our employee benefit plans and arrangements which are generally made available to other employees at his level, including employee equity incentive and benefit plans, including health, vacation, Section 401(k) retirement savings plans and insurance plans. The compensation of Nicolas Courtot was established in accordance with our employment and compensation practices applicable to employees with equivalent qualifications, experience and responsibilities. In addition, a member of Philippe F. Courtot’s household is employed by us as a Web and Media Designer and, in 2018, such member of Mr. Courtot’s household received less than $120,000 in total compensation.</w:t>
      </w:r>
    </w:p>
    <w:p>
      <w:pPr>
        <w:spacing w:after="0" w:line="208"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6"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97"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65" w:right="459" w:bottom="1440" w:gutter="0" w:footer="0" w:header="0"/>
        </w:sectPr>
      </w:pPr>
    </w:p>
    <w:bookmarkStart w:id="60" w:name="page61"/>
    <w:bookmarkEnd w:id="60"/>
    <w:p>
      <w:pPr>
        <w:ind w:left="4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6" w:lineRule="exact"/>
        <w:rPr>
          <w:sz w:val="20"/>
          <w:szCs w:val="20"/>
          <w:color w:val="auto"/>
        </w:rPr>
      </w:pPr>
    </w:p>
    <w:p>
      <w:pPr>
        <w:ind w:right="240" w:firstLine="441"/>
        <w:spacing w:after="0" w:line="261" w:lineRule="auto"/>
        <w:rPr>
          <w:sz w:val="20"/>
          <w:szCs w:val="20"/>
          <w:color w:val="auto"/>
        </w:rPr>
      </w:pPr>
      <w:r>
        <w:rPr>
          <w:rFonts w:ascii="Arial" w:cs="Arial" w:eastAsia="Arial" w:hAnsi="Arial"/>
          <w:sz w:val="17"/>
          <w:szCs w:val="17"/>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6" w:lineRule="exact"/>
        <w:rPr>
          <w:sz w:val="20"/>
          <w:szCs w:val="20"/>
          <w:color w:val="auto"/>
        </w:rPr>
      </w:pPr>
    </w:p>
    <w:p>
      <w:pPr>
        <w:jc w:val="both"/>
        <w:ind w:right="340" w:firstLine="441"/>
        <w:spacing w:after="0"/>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2018, all Section 16(a) filing requirements were satisfied on a timely basis, except as follows:</w:t>
      </w:r>
    </w:p>
    <w:p>
      <w:pPr>
        <w:spacing w:after="0" w:line="108" w:lineRule="exact"/>
        <w:rPr>
          <w:sz w:val="20"/>
          <w:szCs w:val="20"/>
          <w:color w:val="auto"/>
        </w:rPr>
      </w:pPr>
    </w:p>
    <w:p>
      <w:pPr>
        <w:ind w:left="860" w:right="160" w:hanging="316"/>
        <w:spacing w:after="0" w:line="246"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February 6, 2018, Mr. Deeba filed a late Form 4 to report 1,302 shares withheld to pay taxes upon the vesting of restricted stock units on February 1, 2018, and the exercise and sale of 2,000 shares on February 1, 2018;</w:t>
      </w:r>
    </w:p>
    <w:p>
      <w:pPr>
        <w:spacing w:after="0" w:line="102" w:lineRule="exact"/>
        <w:rPr>
          <w:rFonts w:ascii="Arial" w:cs="Arial" w:eastAsia="Arial" w:hAnsi="Arial"/>
          <w:sz w:val="18"/>
          <w:szCs w:val="18"/>
          <w:color w:val="auto"/>
        </w:rPr>
      </w:pPr>
    </w:p>
    <w:p>
      <w:pPr>
        <w:ind w:left="860" w:hanging="316"/>
        <w:spacing w:after="0" w:line="246"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February 6, 2018, Mr. Courtot filed a late Form 4 to report 31,501 shares withheld to pay taxes upon the vesting of restricted stock units on February 1, 2018;</w:t>
      </w:r>
    </w:p>
    <w:p>
      <w:pPr>
        <w:spacing w:after="0" w:line="102" w:lineRule="exact"/>
        <w:rPr>
          <w:rFonts w:ascii="Arial" w:cs="Arial" w:eastAsia="Arial" w:hAnsi="Arial"/>
          <w:sz w:val="18"/>
          <w:szCs w:val="18"/>
          <w:color w:val="auto"/>
        </w:rPr>
      </w:pPr>
    </w:p>
    <w:p>
      <w:pPr>
        <w:ind w:left="860" w:right="160" w:hanging="316"/>
        <w:spacing w:after="0" w:line="246"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February 6, 2018, Ms. Fisher filed a late Form 4 to report 3,040 shares withheld to pay taxes upon the vesting of restricted stock units on February 1, 2018; and</w:t>
      </w:r>
    </w:p>
    <w:p>
      <w:pPr>
        <w:spacing w:after="0" w:line="102" w:lineRule="exact"/>
        <w:rPr>
          <w:rFonts w:ascii="Arial" w:cs="Arial" w:eastAsia="Arial" w:hAnsi="Arial"/>
          <w:sz w:val="18"/>
          <w:szCs w:val="18"/>
          <w:color w:val="auto"/>
        </w:rPr>
      </w:pPr>
    </w:p>
    <w:p>
      <w:pPr>
        <w:ind w:left="860" w:right="140" w:hanging="316"/>
        <w:spacing w:after="0" w:line="246"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February 6, 2018, Mr. Thakar filed a late Form 4 to report 6,060 shares withheld to pay taxes upon the vesting of restricted stock units on February 1,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Annual Report and SEC Filings</w:t>
      </w:r>
    </w:p>
    <w:p>
      <w:pPr>
        <w:spacing w:after="0" w:line="126" w:lineRule="exact"/>
        <w:rPr>
          <w:sz w:val="20"/>
          <w:szCs w:val="20"/>
          <w:color w:val="auto"/>
        </w:rPr>
      </w:pPr>
    </w:p>
    <w:p>
      <w:pPr>
        <w:ind w:right="20" w:firstLine="441"/>
        <w:spacing w:after="0" w:line="238" w:lineRule="auto"/>
        <w:rPr>
          <w:sz w:val="20"/>
          <w:szCs w:val="20"/>
          <w:color w:val="auto"/>
        </w:rPr>
      </w:pPr>
      <w:r>
        <w:rPr>
          <w:rFonts w:ascii="Arial" w:cs="Arial" w:eastAsia="Arial" w:hAnsi="Arial"/>
          <w:sz w:val="18"/>
          <w:szCs w:val="18"/>
          <w:color w:val="auto"/>
        </w:rPr>
        <w:t>Our financial statements for the year ended December 31, 2018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03" w:lineRule="exact"/>
        <w:rPr>
          <w:sz w:val="20"/>
          <w:szCs w:val="20"/>
          <w:color w:val="auto"/>
        </w:rPr>
      </w:pPr>
    </w:p>
    <w:p>
      <w:pPr>
        <w:ind w:left="5000"/>
        <w:spacing w:after="0"/>
        <w:tabs>
          <w:tab w:leader="none" w:pos="546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right="520" w:firstLine="441"/>
        <w:spacing w:after="0"/>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203" w:lineRule="exact"/>
        <w:rPr>
          <w:sz w:val="20"/>
          <w:szCs w:val="20"/>
          <w:color w:val="auto"/>
        </w:rPr>
      </w:pPr>
    </w:p>
    <w:p>
      <w:pPr>
        <w:ind w:right="360" w:firstLine="441"/>
        <w:spacing w:after="0"/>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Foster City, California</w:t>
      </w:r>
    </w:p>
    <w:p>
      <w:pPr>
        <w:ind w:left="5860"/>
        <w:spacing w:after="0"/>
        <w:rPr>
          <w:sz w:val="20"/>
          <w:szCs w:val="20"/>
          <w:color w:val="auto"/>
        </w:rPr>
      </w:pPr>
      <w:r>
        <w:rPr>
          <w:rFonts w:ascii="Arial" w:cs="Arial" w:eastAsia="Arial" w:hAnsi="Arial"/>
          <w:sz w:val="18"/>
          <w:szCs w:val="18"/>
          <w:color w:val="auto"/>
        </w:rPr>
        <w:t>April 22, 2019</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65" w:right="4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621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926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QUALYS, INC.</w:t>
      </w:r>
    </w:p>
    <w:p>
      <w:pPr>
        <w:sectPr>
          <w:pgSz w:w="11900" w:h="16838" w:orient="portrait"/>
          <w:cols w:equalWidth="0" w:num="1">
            <w:col w:w="10019"/>
          </w:cols>
          <w:pgMar w:left="440" w:top="1440" w:right="1440" w:bottom="1137"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262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926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Important Notice Regarding the Availability of Proxy Materials for the Annual Meeting:</w:t>
      </w:r>
    </w:p>
    <w:sectPr>
      <w:pgSz w:w="11900" w:h="16838" w:orient="portrait"/>
      <w:cols w:equalWidth="0" w:num="1">
        <w:col w:w="10019"/>
      </w:cols>
      <w:pgMar w:left="440" w:top="1440" w:right="1440" w:bottom="11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2"/>
    </w:lvl>
  </w:abstractNum>
  <w:abstractNum w:abstractNumId="20">
    <w:nsid w:val="5C482A97"/>
    <w:multiLevelType w:val="hybridMultilevel"/>
    <w:lvl w:ilvl="0">
      <w:lvlJc w:val="left"/>
      <w:lvlText w:val="(%1)"/>
      <w:numFmt w:val="decimal"/>
      <w:start w:val="3"/>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lvl w:ilvl="1">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6"/>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4"/>
    </w:lvl>
  </w:abstractNum>
  <w:abstractNum w:abstractNumId="31">
    <w:nsid w:val="1D4ED43B"/>
    <w:multiLevelType w:val="hybridMultilevel"/>
    <w:lvl w:ilvl="0">
      <w:lvlJc w:val="left"/>
      <w:lvlText w:val="*"/>
      <w:numFmt w:val="bullet"/>
      <w:start w:val="1"/>
    </w:lvl>
    <w:lvl w:ilvl="1">
      <w:lvlJc w:val="left"/>
      <w:lvlText w:val="•"/>
      <w:numFmt w:val="bullet"/>
      <w:start w:val="1"/>
    </w:lvl>
  </w:abstractNum>
  <w:abstractNum w:abstractNumId="32">
    <w:nsid w:val="725A06FB"/>
    <w:multiLevelType w:val="hybridMultilevel"/>
    <w:lvl w:ilvl="0">
      <w:lvlJc w:val="left"/>
      <w:lvlText w:val="(%1)"/>
      <w:numFmt w:val="lowerRoman"/>
      <w:start w:val="2"/>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3"/>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286"/>
    </w:lvl>
  </w:abstractNum>
  <w:abstractNum w:abstractNumId="47">
    <w:nsid w:val="79A1DEAA"/>
    <w:multiLevelType w:val="hybridMultilevel"/>
    <w:lvl w:ilvl="0">
      <w:lvlJc w:val="left"/>
      <w:lvlText w:val="%1"/>
      <w:numFmt w:val="decimal"/>
      <w:start w:val="79"/>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2019-12-03T08:13:02Z</dcterms:created>
  <dcterms:modified xsi:type="dcterms:W3CDTF">2019-12-03T08:13:02Z</dcterms:modified>
</cp:coreProperties>
</file>